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thumbnail.emf" ContentType="image/x-emf"/>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thumbnail" Target="docProps/thumbnail.emf" /><Relationship Id="rId3" Type="http://schemas.openxmlformats.org/package/2006/relationships/metadata/core-properties" Target="docProps/core.xml" /><Relationship Id="rId4"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15"/>
        <w:rPr>
          <w:rFonts w:hint="default"/>
          <w:b w:val="1"/>
          <w:sz w:val="44"/>
        </w:rPr>
      </w:pPr>
    </w:p>
    <w:p>
      <w:pPr>
        <w:pStyle w:val="15"/>
        <w:rPr>
          <w:rFonts w:hint="default"/>
          <w:b w:val="1"/>
          <w:color w:val="4472C4" w:themeColor="accent1"/>
          <w:sz w:val="44"/>
        </w:rPr>
      </w:pPr>
    </w:p>
    <w:p>
      <w:pPr>
        <w:pStyle w:val="15"/>
        <w:spacing w:before="8" w:beforeLines="0" w:beforeAutospacing="0"/>
        <w:rPr>
          <w:rFonts w:hint="default" w:ascii="Times New Roman" w:hAnsi="Times New Roman"/>
          <w:sz w:val="29"/>
        </w:rPr>
      </w:pPr>
    </w:p>
    <w:p>
      <w:pPr>
        <w:pStyle w:val="15"/>
        <w:spacing w:before="8" w:beforeLines="0" w:beforeAutospacing="0"/>
        <w:rPr>
          <w:rFonts w:hint="default" w:ascii="Times New Roman" w:hAnsi="Times New Roman"/>
          <w:sz w:val="29"/>
        </w:rPr>
      </w:pPr>
    </w:p>
    <w:p>
      <w:pPr>
        <w:pStyle w:val="15"/>
        <w:spacing w:before="8" w:beforeLines="0" w:beforeAutospacing="0"/>
        <w:rPr>
          <w:rFonts w:hint="default" w:ascii="Times New Roman" w:hAnsi="Times New Roman"/>
          <w:sz w:val="29"/>
        </w:rPr>
      </w:pPr>
    </w:p>
    <w:p>
      <w:pPr>
        <w:pStyle w:val="15"/>
        <w:spacing w:before="8" w:beforeLines="0" w:beforeAutospacing="0"/>
        <w:rPr>
          <w:rFonts w:hint="default" w:ascii="Times New Roman" w:hAnsi="Times New Roman"/>
          <w:sz w:val="29"/>
        </w:rPr>
      </w:pPr>
    </w:p>
    <w:p>
      <w:pPr>
        <w:pStyle w:val="0"/>
        <w:spacing w:line="540" w:lineRule="exact"/>
        <w:ind w:right="1107"/>
        <w:jc w:val="both"/>
        <w:rPr>
          <w:rFonts w:hint="default"/>
          <w:b w:val="1"/>
          <w:w w:val="95"/>
          <w:sz w:val="44"/>
        </w:rPr>
      </w:pPr>
    </w:p>
    <w:p>
      <w:pPr>
        <w:pStyle w:val="0"/>
        <w:spacing w:line="540" w:lineRule="exact"/>
        <w:ind w:right="40" w:rightChars="0"/>
        <w:jc w:val="center"/>
        <w:rPr>
          <w:rFonts w:hint="default"/>
          <w:b w:val="1"/>
          <w:w w:val="95"/>
          <w:sz w:val="44"/>
        </w:rPr>
      </w:pPr>
      <w:r>
        <w:rPr>
          <w:rFonts w:hint="eastAsia"/>
          <w:b w:val="1"/>
          <w:w w:val="95"/>
          <w:sz w:val="44"/>
        </w:rPr>
        <w:t>南風原町災害廃棄物処理計画</w:t>
      </w:r>
    </w:p>
    <w:p>
      <w:pPr>
        <w:pStyle w:val="0"/>
        <w:spacing w:line="540" w:lineRule="exact"/>
        <w:ind w:right="0" w:rightChars="0"/>
        <w:jc w:val="center"/>
        <w:rPr>
          <w:rFonts w:hint="default"/>
          <w:b w:val="1"/>
          <w:w w:val="95"/>
          <w:sz w:val="44"/>
        </w:rPr>
      </w:pPr>
    </w:p>
    <w:p>
      <w:pPr>
        <w:pStyle w:val="0"/>
        <w:spacing w:line="540" w:lineRule="exact"/>
        <w:ind w:right="1107"/>
        <w:jc w:val="both"/>
        <w:rPr>
          <w:rFonts w:hint="default"/>
          <w:b w:val="1"/>
          <w:color w:val="FF0000"/>
          <w:w w:val="95"/>
          <w:sz w:val="28"/>
        </w:rPr>
      </w:pPr>
    </w:p>
    <w:p>
      <w:pPr>
        <w:pStyle w:val="15"/>
        <w:jc w:val="both"/>
        <w:rPr>
          <w:rFonts w:hint="default"/>
          <w:b w:val="1"/>
          <w:color w:val="FF0000"/>
          <w:sz w:val="28"/>
        </w:rPr>
      </w:pPr>
    </w:p>
    <w:p>
      <w:pPr>
        <w:pStyle w:val="0"/>
        <w:spacing w:line="540" w:lineRule="exact"/>
        <w:ind w:left="1107" w:right="1107"/>
        <w:jc w:val="center"/>
        <w:rPr>
          <w:rFonts w:hint="default"/>
          <w:b w:val="1"/>
          <w:w w:val="95"/>
          <w:sz w:val="44"/>
        </w:rPr>
      </w:pPr>
    </w:p>
    <w:p>
      <w:pPr>
        <w:pStyle w:val="0"/>
        <w:spacing w:line="540" w:lineRule="exact"/>
        <w:ind w:left="1107" w:right="1107"/>
        <w:jc w:val="center"/>
        <w:rPr>
          <w:rFonts w:hint="default"/>
          <w:b w:val="1"/>
          <w:w w:val="95"/>
          <w:sz w:val="44"/>
        </w:rPr>
      </w:pPr>
    </w:p>
    <w:p>
      <w:pPr>
        <w:pStyle w:val="0"/>
        <w:spacing w:line="540" w:lineRule="exact"/>
        <w:ind w:left="1107" w:right="1107"/>
        <w:jc w:val="center"/>
        <w:rPr>
          <w:rFonts w:hint="default"/>
          <w:b w:val="1"/>
          <w:w w:val="95"/>
          <w:sz w:val="44"/>
        </w:rPr>
      </w:pPr>
    </w:p>
    <w:p>
      <w:pPr>
        <w:pStyle w:val="0"/>
        <w:spacing w:line="540" w:lineRule="exact"/>
        <w:ind w:left="1107" w:right="1107"/>
        <w:jc w:val="center"/>
        <w:rPr>
          <w:rFonts w:hint="default"/>
          <w:b w:val="1"/>
          <w:w w:val="95"/>
          <w:sz w:val="44"/>
        </w:rPr>
      </w:pPr>
    </w:p>
    <w:p>
      <w:pPr>
        <w:pStyle w:val="0"/>
        <w:spacing w:line="540" w:lineRule="exact"/>
        <w:ind w:left="1107" w:right="1107"/>
        <w:jc w:val="center"/>
        <w:rPr>
          <w:rFonts w:hint="default"/>
          <w:b w:val="1"/>
          <w:w w:val="95"/>
          <w:sz w:val="44"/>
        </w:rPr>
      </w:pPr>
    </w:p>
    <w:p>
      <w:pPr>
        <w:pStyle w:val="0"/>
        <w:spacing w:line="540" w:lineRule="exact"/>
        <w:ind w:left="1107" w:right="1107"/>
        <w:jc w:val="center"/>
        <w:rPr>
          <w:rFonts w:hint="default"/>
          <w:b w:val="1"/>
          <w:w w:val="95"/>
          <w:sz w:val="44"/>
        </w:rPr>
      </w:pPr>
    </w:p>
    <w:p>
      <w:pPr>
        <w:pStyle w:val="0"/>
        <w:spacing w:line="540" w:lineRule="exact"/>
        <w:ind w:left="1107" w:right="1107"/>
        <w:jc w:val="center"/>
        <w:rPr>
          <w:rFonts w:hint="default"/>
          <w:b w:val="1"/>
          <w:w w:val="95"/>
          <w:sz w:val="44"/>
        </w:rPr>
      </w:pPr>
    </w:p>
    <w:p>
      <w:pPr>
        <w:pStyle w:val="0"/>
        <w:spacing w:line="540" w:lineRule="exact"/>
        <w:ind w:left="1107" w:right="1107"/>
        <w:jc w:val="center"/>
        <w:rPr>
          <w:rFonts w:hint="default"/>
          <w:b w:val="1"/>
          <w:w w:val="95"/>
          <w:sz w:val="44"/>
        </w:rPr>
      </w:pPr>
    </w:p>
    <w:p>
      <w:pPr>
        <w:pStyle w:val="15"/>
        <w:rPr>
          <w:rFonts w:hint="default"/>
          <w:b w:val="1"/>
          <w:sz w:val="44"/>
        </w:rPr>
      </w:pPr>
    </w:p>
    <w:p>
      <w:pPr>
        <w:pStyle w:val="15"/>
        <w:rPr>
          <w:rFonts w:hint="default"/>
          <w:b w:val="1"/>
          <w:sz w:val="44"/>
        </w:rPr>
      </w:pPr>
    </w:p>
    <w:p>
      <w:pPr>
        <w:pStyle w:val="15"/>
        <w:rPr>
          <w:rFonts w:hint="default"/>
          <w:b w:val="1"/>
          <w:sz w:val="44"/>
        </w:rPr>
      </w:pPr>
    </w:p>
    <w:p>
      <w:pPr>
        <w:pStyle w:val="15"/>
        <w:jc w:val="center"/>
        <w:rPr>
          <w:rFonts w:hint="default"/>
          <w:sz w:val="40"/>
        </w:rPr>
      </w:pPr>
      <w:r>
        <w:rPr>
          <w:rFonts w:hint="eastAsia"/>
          <w:sz w:val="40"/>
        </w:rPr>
        <w:t>令和６年８月</w:t>
      </w:r>
    </w:p>
    <w:p>
      <w:pPr>
        <w:pStyle w:val="0"/>
        <w:widowControl w:val="1"/>
        <w:autoSpaceDE w:val="1"/>
        <w:autoSpaceDN w:val="1"/>
        <w:jc w:val="center"/>
        <w:rPr>
          <w:rFonts w:hint="default"/>
        </w:rPr>
      </w:pPr>
    </w:p>
    <w:p>
      <w:pPr>
        <w:pStyle w:val="0"/>
        <w:widowControl w:val="1"/>
        <w:autoSpaceDE w:val="1"/>
        <w:autoSpaceDN w:val="1"/>
        <w:jc w:val="center"/>
        <w:rPr>
          <w:rFonts w:hint="default"/>
        </w:rPr>
      </w:pPr>
    </w:p>
    <w:p>
      <w:pPr>
        <w:pStyle w:val="0"/>
        <w:widowControl w:val="1"/>
        <w:autoSpaceDE w:val="1"/>
        <w:autoSpaceDN w:val="1"/>
        <w:jc w:val="center"/>
        <w:rPr>
          <w:rFonts w:hint="default"/>
        </w:rPr>
      </w:pPr>
    </w:p>
    <w:p>
      <w:pPr>
        <w:pStyle w:val="0"/>
        <w:widowControl w:val="1"/>
        <w:autoSpaceDE w:val="1"/>
        <w:autoSpaceDN w:val="1"/>
        <w:jc w:val="center"/>
        <w:rPr>
          <w:rFonts w:hint="default"/>
        </w:rPr>
      </w:pPr>
    </w:p>
    <w:p>
      <w:pPr>
        <w:pStyle w:val="0"/>
        <w:widowControl w:val="1"/>
        <w:autoSpaceDE w:val="1"/>
        <w:autoSpaceDN w:val="1"/>
        <w:jc w:val="center"/>
        <w:rPr>
          <w:rFonts w:hint="default"/>
        </w:rPr>
      </w:pPr>
      <w:r>
        <w:rPr>
          <w:rFonts w:hint="eastAsia"/>
          <w:sz w:val="36"/>
        </w:rPr>
        <w:t>南風原町</w:t>
      </w: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p>
    <w:p>
      <w:pPr>
        <w:pStyle w:val="0"/>
        <w:jc w:val="center"/>
        <w:rPr>
          <w:rFonts w:hint="default" w:ascii="HGP創英角ｺﾞｼｯｸUB" w:hAnsi="HGP創英角ｺﾞｼｯｸUB" w:eastAsia="HGP創英角ｺﾞｼｯｸUB"/>
          <w:sz w:val="28"/>
        </w:rPr>
      </w:pPr>
      <w:r>
        <w:rPr>
          <w:rFonts w:hint="eastAsia" w:ascii="HGP創英角ｺﾞｼｯｸUB" w:hAnsi="HGP創英角ｺﾞｼｯｸUB" w:eastAsia="HGP創英角ｺﾞｼｯｸUB"/>
          <w:sz w:val="28"/>
        </w:rPr>
        <w:t>目次</w:t>
      </w:r>
    </w:p>
    <w:p>
      <w:pPr>
        <w:pStyle w:val="0"/>
        <w:jc w:val="center"/>
        <w:rPr>
          <w:rFonts w:hint="default" w:ascii="HGP創英角ｺﾞｼｯｸUB" w:hAnsi="HGP創英角ｺﾞｼｯｸUB" w:eastAsia="HGP創英角ｺﾞｼｯｸUB"/>
        </w:rPr>
      </w:pPr>
    </w:p>
    <w:p>
      <w:pPr>
        <w:pStyle w:val="21"/>
        <w:rPr>
          <w:rFonts w:hint="default" w:asciiTheme="minorHAnsi" w:hAnsiTheme="minorHAnsi" w:eastAsiaTheme="minorEastAsia"/>
          <w:b w:val="0"/>
          <w:sz w:val="21"/>
        </w:rPr>
      </w:pPr>
      <w:r>
        <w:rPr>
          <w:rFonts w:hint="default"/>
        </w:rPr>
        <w:fldChar w:fldCharType="begin"/>
      </w:r>
      <w:r>
        <w:rPr>
          <w:rFonts w:hint="default"/>
        </w:rPr>
        <w:instrText xml:space="preserve"> TOC \o "1-3" \h \z \u </w:instrText>
      </w:r>
      <w:r>
        <w:rPr>
          <w:rFonts w:hint="default"/>
        </w:rPr>
        <w:fldChar w:fldCharType="separate"/>
      </w:r>
      <w:r>
        <w:rPr>
          <w:rFonts w:hint="eastAsia"/>
        </w:rPr>
        <w:fldChar w:fldCharType="begin"/>
      </w:r>
      <w:r>
        <w:rPr>
          <w:rFonts w:hint="eastAsia"/>
        </w:rPr>
        <w:instrText xml:space="preserve"> HYPERLINK  \l "_Toc60838735"</w:instrText>
      </w:r>
      <w:r>
        <w:rPr>
          <w:rFonts w:hint="eastAsia"/>
        </w:rPr>
        <w:fldChar w:fldCharType="separate"/>
      </w:r>
      <w:r>
        <w:rPr>
          <w:rFonts w:hint="default" w:ascii="ＭＳ ゴシック" w:hAnsi="ＭＳ ゴシック" w:eastAsia="ＭＳ ゴシック"/>
        </w:rPr>
        <w:t>1</w:t>
      </w:r>
      <w:r>
        <w:rPr>
          <w:rFonts w:hint="default" w:ascii="ＭＳ ゴシック" w:hAnsi="ＭＳ ゴシック" w:eastAsia="ＭＳ ゴシック"/>
        </w:rPr>
        <w:t>編　総則</w:t>
      </w:r>
      <w:r>
        <w:rPr>
          <w:rFonts w:hint="default"/>
        </w:rPr>
        <w:tab/>
      </w:r>
      <w:r>
        <w:rPr>
          <w:rFonts w:hint="eastAsia"/>
        </w:rPr>
        <w:fldChar w:fldCharType="end"/>
      </w:r>
      <w:r>
        <w:rPr>
          <w:rFonts w:hint="eastAsia"/>
        </w:rPr>
        <w:fldChar w:fldCharType="begin"/>
      </w:r>
      <w:r>
        <w:rPr>
          <w:rFonts w:hint="default"/>
        </w:rPr>
        <w:instrText xml:space="preserve">PageRef _Toc60838735 \h </w:instrText>
      </w:r>
      <w:r>
        <w:rPr>
          <w:rFonts w:hint="eastAsia"/>
        </w:rPr>
        <w:fldChar w:fldCharType="separate"/>
      </w:r>
      <w:r>
        <w:rPr>
          <w:rFonts w:hint="default"/>
        </w:rPr>
        <w:t>1</w:t>
      </w:r>
      <w:r>
        <w:rPr>
          <w:rFonts w:hint="eastAsia"/>
        </w:rPr>
        <w:fldChar w:fldCharType="end"/>
      </w:r>
    </w:p>
    <w:p>
      <w:pPr>
        <w:pStyle w:val="23"/>
        <w:rPr>
          <w:rFonts w:hint="default" w:asciiTheme="minorHAnsi" w:hAnsiTheme="minorHAnsi" w:eastAsiaTheme="minorEastAsia"/>
          <w:b w:val="0"/>
          <w:sz w:val="21"/>
        </w:rPr>
      </w:pPr>
      <w:r>
        <w:rPr>
          <w:rFonts w:hint="eastAsia"/>
        </w:rPr>
        <w:fldChar w:fldCharType="begin"/>
      </w:r>
      <w:r>
        <w:rPr>
          <w:rFonts w:hint="eastAsia"/>
        </w:rPr>
        <w:instrText xml:space="preserve"> HYPERLINK  \l "_Toc60838736"</w:instrText>
      </w:r>
      <w:r>
        <w:rPr>
          <w:rFonts w:hint="eastAsia"/>
        </w:rPr>
        <w:fldChar w:fldCharType="separate"/>
      </w:r>
      <w:r>
        <w:rPr>
          <w:rFonts w:hint="default"/>
        </w:rPr>
        <w:t>1</w:t>
      </w:r>
      <w:r>
        <w:rPr>
          <w:rFonts w:hint="default"/>
        </w:rPr>
        <w:t>章　背景及び目的</w:t>
      </w:r>
      <w:r>
        <w:rPr>
          <w:rFonts w:hint="default"/>
        </w:rPr>
        <w:tab/>
      </w:r>
      <w:r>
        <w:rPr>
          <w:rFonts w:hint="eastAsia"/>
        </w:rPr>
        <w:fldChar w:fldCharType="end"/>
      </w:r>
      <w:r>
        <w:rPr>
          <w:rFonts w:hint="eastAsia"/>
        </w:rPr>
        <w:fldChar w:fldCharType="begin"/>
      </w:r>
      <w:r>
        <w:rPr>
          <w:rFonts w:hint="default"/>
        </w:rPr>
        <w:instrText xml:space="preserve">PageRef _Toc60838736 \h </w:instrText>
      </w:r>
      <w:r>
        <w:rPr>
          <w:rFonts w:hint="eastAsia"/>
        </w:rPr>
        <w:fldChar w:fldCharType="separate"/>
      </w:r>
      <w:r>
        <w:rPr>
          <w:rFonts w:hint="default"/>
        </w:rPr>
        <w:t>1</w:t>
      </w:r>
      <w:r>
        <w:rPr>
          <w:rFonts w:hint="eastAsia"/>
        </w:rPr>
        <w:fldChar w:fldCharType="end"/>
      </w:r>
    </w:p>
    <w:p>
      <w:pPr>
        <w:pStyle w:val="23"/>
        <w:rPr>
          <w:rFonts w:hint="default" w:asciiTheme="minorHAnsi" w:hAnsiTheme="minorHAnsi" w:eastAsiaTheme="minorEastAsia"/>
          <w:b w:val="0"/>
          <w:sz w:val="21"/>
        </w:rPr>
      </w:pPr>
      <w:r>
        <w:rPr>
          <w:rFonts w:hint="eastAsia"/>
        </w:rPr>
        <w:fldChar w:fldCharType="begin"/>
      </w:r>
      <w:r>
        <w:rPr>
          <w:rFonts w:hint="eastAsia"/>
        </w:rPr>
        <w:instrText xml:space="preserve"> HYPERLINK  \l "_Toc60838737"</w:instrText>
      </w:r>
      <w:r>
        <w:rPr>
          <w:rFonts w:hint="eastAsia"/>
        </w:rPr>
        <w:fldChar w:fldCharType="separate"/>
      </w:r>
      <w:r>
        <w:rPr>
          <w:rFonts w:hint="default"/>
        </w:rPr>
        <w:t>2</w:t>
      </w:r>
      <w:r>
        <w:rPr>
          <w:rFonts w:hint="default"/>
        </w:rPr>
        <w:t>章　本計画の位置づけ</w:t>
      </w:r>
      <w:r>
        <w:rPr>
          <w:rFonts w:hint="default"/>
        </w:rPr>
        <w:tab/>
      </w:r>
      <w:r>
        <w:rPr>
          <w:rFonts w:hint="eastAsia"/>
        </w:rPr>
        <w:fldChar w:fldCharType="end"/>
      </w:r>
      <w:r>
        <w:rPr>
          <w:rFonts w:hint="eastAsia"/>
        </w:rPr>
        <w:fldChar w:fldCharType="begin"/>
      </w:r>
      <w:r>
        <w:rPr>
          <w:rFonts w:hint="default"/>
        </w:rPr>
        <w:instrText xml:space="preserve">PageRef _Toc60838737 \h </w:instrText>
      </w:r>
      <w:r>
        <w:rPr>
          <w:rFonts w:hint="eastAsia"/>
        </w:rPr>
        <w:fldChar w:fldCharType="separate"/>
      </w:r>
      <w:r>
        <w:rPr>
          <w:rFonts w:hint="default"/>
        </w:rPr>
        <w:t>1</w:t>
      </w:r>
      <w:r>
        <w:rPr>
          <w:rFonts w:hint="eastAsia"/>
        </w:rPr>
        <w:fldChar w:fldCharType="end"/>
      </w:r>
    </w:p>
    <w:p>
      <w:pPr>
        <w:pStyle w:val="23"/>
        <w:rPr>
          <w:rFonts w:hint="default" w:asciiTheme="minorHAnsi" w:hAnsiTheme="minorHAnsi" w:eastAsiaTheme="minorEastAsia"/>
          <w:b w:val="0"/>
          <w:sz w:val="21"/>
        </w:rPr>
      </w:pPr>
      <w:r>
        <w:rPr>
          <w:rFonts w:hint="eastAsia"/>
        </w:rPr>
        <w:fldChar w:fldCharType="begin"/>
      </w:r>
      <w:r>
        <w:rPr>
          <w:rFonts w:hint="eastAsia"/>
        </w:rPr>
        <w:instrText xml:space="preserve"> HYPERLINK  \l "_Toc60838738"</w:instrText>
      </w:r>
      <w:r>
        <w:rPr>
          <w:rFonts w:hint="eastAsia"/>
        </w:rPr>
        <w:fldChar w:fldCharType="separate"/>
      </w:r>
      <w:r>
        <w:rPr>
          <w:rFonts w:hint="default"/>
        </w:rPr>
        <w:t>3</w:t>
      </w:r>
      <w:r>
        <w:rPr>
          <w:rFonts w:hint="default"/>
        </w:rPr>
        <w:t>章　基本的事項</w:t>
      </w:r>
      <w:r>
        <w:rPr>
          <w:rFonts w:hint="default"/>
        </w:rPr>
        <w:tab/>
      </w:r>
      <w:r>
        <w:rPr>
          <w:rFonts w:hint="eastAsia"/>
        </w:rPr>
        <w:fldChar w:fldCharType="end"/>
      </w:r>
      <w:r>
        <w:rPr>
          <w:rFonts w:hint="eastAsia"/>
        </w:rPr>
        <w:fldChar w:fldCharType="begin"/>
      </w:r>
      <w:r>
        <w:rPr>
          <w:rFonts w:hint="default"/>
        </w:rPr>
        <w:instrText xml:space="preserve">PageRef _Toc60838738 \h </w:instrText>
      </w:r>
      <w:r>
        <w:rPr>
          <w:rFonts w:hint="eastAsia"/>
        </w:rPr>
        <w:fldChar w:fldCharType="separate"/>
      </w:r>
      <w:r>
        <w:rPr>
          <w:rFonts w:hint="default"/>
        </w:rPr>
        <w:t>3</w:t>
      </w:r>
      <w:r>
        <w:rPr>
          <w:rFonts w:hint="eastAsia"/>
        </w:rPr>
        <w:fldChar w:fldCharType="end"/>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"_Toc60838739"</w:instrText>
      </w:r>
      <w:r>
        <w:rPr>
          <w:rFonts w:hint="eastAsia"/>
        </w:rPr>
        <w:fldChar w:fldCharType="separate"/>
      </w:r>
      <w:r>
        <w:rPr>
          <w:rFonts w:hint="default"/>
        </w:rPr>
        <w:t>（１）対象とする災害および災害廃棄物</w:t>
      </w:r>
      <w:r>
        <w:rPr>
          <w:rFonts w:hint="default"/>
        </w:rPr>
        <w:tab/>
      </w:r>
      <w:r>
        <w:rPr>
          <w:rFonts w:hint="eastAsia"/>
        </w:rPr>
        <w:fldChar w:fldCharType="end"/>
      </w:r>
      <w:r>
        <w:rPr>
          <w:rFonts w:hint="eastAsia"/>
        </w:rPr>
        <w:fldChar w:fldCharType="begin"/>
      </w:r>
      <w:r>
        <w:rPr>
          <w:rFonts w:hint="default"/>
        </w:rPr>
        <w:instrText xml:space="preserve">PageRef _Toc60838739 \h </w:instrText>
      </w:r>
      <w:r>
        <w:rPr>
          <w:rFonts w:hint="eastAsia"/>
        </w:rPr>
        <w:fldChar w:fldCharType="separate"/>
      </w:r>
      <w:r>
        <w:rPr>
          <w:rFonts w:hint="default"/>
        </w:rPr>
        <w:t>3</w:t>
      </w:r>
      <w:r>
        <w:rPr>
          <w:rFonts w:hint="eastAsia"/>
        </w:rPr>
        <w:fldChar w:fldCharType="end"/>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"_Toc60838740"</w:instrText>
      </w:r>
      <w:r>
        <w:rPr>
          <w:rFonts w:hint="eastAsia"/>
        </w:rPr>
        <w:fldChar w:fldCharType="separate"/>
      </w:r>
      <w:r>
        <w:rPr>
          <w:rFonts w:hint="default"/>
        </w:rPr>
        <w:t>（２）災害廃棄物処理の基本方針および処理主体</w:t>
      </w:r>
      <w:r>
        <w:rPr>
          <w:rFonts w:hint="default"/>
        </w:rPr>
        <w:tab/>
      </w:r>
      <w:r>
        <w:rPr>
          <w:rFonts w:hint="eastAsia"/>
        </w:rPr>
        <w:fldChar w:fldCharType="end"/>
      </w:r>
      <w:r>
        <w:rPr>
          <w:rFonts w:hint="eastAsia"/>
        </w:rPr>
        <w:t>5</w:t>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"_Toc60838741"</w:instrText>
      </w:r>
      <w:r>
        <w:rPr>
          <w:rFonts w:hint="eastAsia"/>
        </w:rPr>
        <w:fldChar w:fldCharType="separate"/>
      </w:r>
      <w:r>
        <w:rPr>
          <w:rFonts w:hint="default"/>
        </w:rPr>
        <w:t>（３）地域特性と災害廃棄物処理</w:t>
      </w:r>
      <w:r>
        <w:rPr>
          <w:rFonts w:hint="default"/>
        </w:rPr>
        <w:tab/>
      </w:r>
      <w:r>
        <w:rPr>
          <w:rFonts w:hint="eastAsia"/>
        </w:rPr>
        <w:fldChar w:fldCharType="end"/>
      </w:r>
      <w:r>
        <w:rPr>
          <w:rFonts w:hint="eastAsia"/>
        </w:rPr>
        <w:fldChar w:fldCharType="begin"/>
      </w:r>
      <w:r>
        <w:rPr>
          <w:rFonts w:hint="default"/>
        </w:rPr>
        <w:instrText xml:space="preserve">PageRef _Toc60838741 \h </w:instrText>
      </w:r>
      <w:r>
        <w:rPr>
          <w:rFonts w:hint="eastAsia"/>
        </w:rPr>
        <w:fldChar w:fldCharType="separate"/>
      </w:r>
      <w:r>
        <w:rPr>
          <w:rFonts w:hint="default"/>
        </w:rPr>
        <w:t>6</w:t>
      </w:r>
      <w:r>
        <w:rPr>
          <w:rFonts w:hint="eastAsia"/>
        </w:rPr>
        <w:fldChar w:fldCharType="end"/>
      </w:r>
    </w:p>
    <w:p>
      <w:pPr>
        <w:pStyle w:val="24"/>
        <w:rPr>
          <w:rFonts w:hint="default" w:asciiTheme="minorHAnsi" w:hAnsiTheme="minorHAnsi" w:eastAsiaTheme="minorEastAsia"/>
          <w:sz w:val="21"/>
        </w:rPr>
      </w:pPr>
      <w:r>
        <w:rPr>
          <w:rFonts w:hint="eastAsia"/>
        </w:rPr>
        <w:fldChar w:fldCharType="begin"/>
      </w:r>
      <w:r>
        <w:rPr>
          <w:rFonts w:hint="eastAsia"/>
        </w:rPr>
        <w:instrText xml:space="preserve"> HYPERLINK  \l "_Toc60838742"</w:instrText>
      </w:r>
      <w:r>
        <w:rPr>
          <w:rFonts w:hint="eastAsia"/>
        </w:rPr>
        <w:fldChar w:fldCharType="separate"/>
      </w:r>
      <w:r>
        <w:rPr>
          <w:rFonts w:hint="default"/>
          <w:b w:val="0"/>
          <w:u w:val="none" w:color="auto"/>
        </w:rPr>
        <w:t>（４）感染症の対策が必要な期間の災害廃棄物処理</w:t>
      </w:r>
      <w:r>
        <w:rPr>
          <w:rFonts w:hint="default"/>
        </w:rPr>
        <w:tab/>
      </w:r>
      <w:r>
        <w:rPr>
          <w:rFonts w:hint="eastAsia"/>
        </w:rPr>
        <w:fldChar w:fldCharType="end"/>
      </w:r>
      <w:r>
        <w:rPr>
          <w:rFonts w:hint="eastAsia"/>
        </w:rPr>
        <w:fldChar w:fldCharType="begin"/>
      </w:r>
      <w:r>
        <w:rPr>
          <w:rFonts w:hint="default"/>
        </w:rPr>
        <w:instrText xml:space="preserve">PageRef _Toc60838742 \h </w:instrText>
      </w:r>
      <w:r>
        <w:rPr>
          <w:rFonts w:hint="eastAsia"/>
        </w:rPr>
        <w:fldChar w:fldCharType="separate"/>
      </w:r>
      <w:r>
        <w:rPr>
          <w:rFonts w:hint="default"/>
        </w:rPr>
        <w:t>7</w:t>
      </w:r>
      <w:r>
        <w:rPr>
          <w:rFonts w:hint="eastAsia"/>
        </w:rPr>
        <w:fldChar w:fldCharType="end"/>
      </w:r>
    </w:p>
    <w:p>
      <w:pPr>
        <w:pStyle w:val="24"/>
        <w:rPr>
          <w:rFonts w:hint="default" w:asciiTheme="minorHAnsi" w:hAnsiTheme="minorHAnsi" w:eastAsiaTheme="minorEastAsia"/>
          <w:sz w:val="21"/>
        </w:rPr>
      </w:pPr>
      <w:r>
        <w:rPr>
          <w:rFonts w:hint="eastAsia"/>
        </w:rPr>
        <w:fldChar w:fldCharType="begin"/>
      </w:r>
      <w:r>
        <w:rPr>
          <w:rFonts w:hint="eastAsia"/>
        </w:rPr>
        <w:instrText xml:space="preserve"> HYPERLINK  \l "_Toc60838742"</w:instrText>
      </w:r>
      <w:r>
        <w:rPr>
          <w:rFonts w:hint="eastAsia"/>
        </w:rPr>
        <w:fldChar w:fldCharType="separate"/>
      </w:r>
      <w:r>
        <w:rPr>
          <w:rFonts w:hint="default"/>
          <w:sz w:val="21"/>
        </w:rPr>
        <w:t>（</w:t>
      </w:r>
      <w:r>
        <w:rPr>
          <w:rFonts w:hint="eastAsia"/>
          <w:sz w:val="21"/>
        </w:rPr>
        <w:t>５</w:t>
      </w:r>
      <w:r>
        <w:rPr>
          <w:rFonts w:hint="default"/>
          <w:sz w:val="21"/>
        </w:rPr>
        <w:t>）</w:t>
      </w:r>
      <w:r>
        <w:rPr>
          <w:rFonts w:hint="eastAsia"/>
          <w:sz w:val="21"/>
        </w:rPr>
        <w:t>計画の見直し</w:t>
      </w:r>
      <w:r>
        <w:rPr>
          <w:rFonts w:hint="eastAsia"/>
        </w:rPr>
        <w:fldChar w:fldCharType="end"/>
      </w:r>
      <w:r>
        <w:rPr>
          <w:rFonts w:hint="eastAsia"/>
        </w:rPr>
        <w:tab/>
      </w:r>
      <w:r>
        <w:rPr>
          <w:rFonts w:hint="eastAsia"/>
        </w:rPr>
        <w:fldChar w:fldCharType="begin"/>
      </w:r>
      <w:r>
        <w:rPr>
          <w:rFonts w:hint="default"/>
        </w:rPr>
        <w:instrText xml:space="preserve">PageRef _Toc60838742 \h </w:instrText>
      </w:r>
      <w:r>
        <w:rPr>
          <w:rFonts w:hint="eastAsia"/>
        </w:rPr>
        <w:fldChar w:fldCharType="separate"/>
      </w:r>
      <w:r>
        <w:rPr>
          <w:rFonts w:hint="default"/>
        </w:rPr>
        <w:t>7</w:t>
      </w:r>
      <w:r>
        <w:rPr>
          <w:rFonts w:hint="eastAsia"/>
        </w:rPr>
        <w:fldChar w:fldCharType="end"/>
      </w:r>
    </w:p>
    <w:p>
      <w:pPr>
        <w:pStyle w:val="21"/>
        <w:rPr>
          <w:rFonts w:hint="default" w:asciiTheme="minorHAnsi" w:hAnsiTheme="minorHAnsi" w:eastAsiaTheme="minorEastAsia"/>
          <w:b w:val="0"/>
          <w:sz w:val="21"/>
        </w:rPr>
      </w:pPr>
      <w:r>
        <w:rPr>
          <w:rFonts w:hint="eastAsia"/>
        </w:rPr>
        <w:fldChar w:fldCharType="begin"/>
      </w:r>
      <w:r>
        <w:rPr>
          <w:rFonts w:hint="eastAsia"/>
        </w:rPr>
        <w:instrText xml:space="preserve"> HYPERLINK  \l "_Toc60838743"</w:instrText>
      </w:r>
      <w:r>
        <w:rPr>
          <w:rFonts w:hint="eastAsia"/>
        </w:rPr>
        <w:fldChar w:fldCharType="separate"/>
      </w:r>
      <w:r>
        <w:rPr>
          <w:rFonts w:hint="default" w:ascii="ＭＳ ゴシック" w:hAnsi="ＭＳ ゴシック" w:eastAsia="ＭＳ ゴシック"/>
        </w:rPr>
        <w:t>2</w:t>
      </w:r>
      <w:r>
        <w:rPr>
          <w:rFonts w:hint="default" w:ascii="ＭＳ ゴシック" w:hAnsi="ＭＳ ゴシック" w:eastAsia="ＭＳ ゴシック"/>
        </w:rPr>
        <w:t>編　災害廃棄物対策</w:t>
      </w:r>
      <w:r>
        <w:rPr>
          <w:rFonts w:hint="default"/>
        </w:rPr>
        <w:tab/>
      </w:r>
      <w:r>
        <w:rPr>
          <w:rFonts w:hint="eastAsia"/>
        </w:rPr>
        <w:fldChar w:fldCharType="end"/>
      </w:r>
      <w:r>
        <w:rPr>
          <w:rFonts w:hint="eastAsia"/>
        </w:rPr>
        <w:fldChar w:fldCharType="begin"/>
      </w:r>
      <w:r>
        <w:rPr>
          <w:rFonts w:hint="default"/>
        </w:rPr>
        <w:instrText xml:space="preserve">PageRef _Toc60838743 \h </w:instrText>
      </w:r>
      <w:r>
        <w:rPr>
          <w:rFonts w:hint="eastAsia"/>
        </w:rPr>
        <w:fldChar w:fldCharType="separate"/>
      </w:r>
      <w:r>
        <w:rPr>
          <w:rFonts w:hint="default"/>
        </w:rPr>
        <w:t>8</w:t>
      </w:r>
      <w:r>
        <w:rPr>
          <w:rFonts w:hint="eastAsia"/>
        </w:rPr>
        <w:fldChar w:fldCharType="end"/>
      </w:r>
    </w:p>
    <w:p>
      <w:pPr>
        <w:pStyle w:val="23"/>
        <w:tabs>
          <w:tab w:val="left" w:leader="none" w:pos="1050"/>
        </w:tabs>
        <w:rPr>
          <w:rFonts w:hint="default" w:asciiTheme="minorHAnsi" w:hAnsiTheme="minorHAnsi" w:eastAsiaTheme="minorEastAsia"/>
          <w:b w:val="0"/>
          <w:sz w:val="21"/>
        </w:rPr>
      </w:pPr>
      <w:r>
        <w:rPr>
          <w:rFonts w:hint="eastAsia"/>
        </w:rPr>
        <w:fldChar w:fldCharType="begin"/>
      </w:r>
      <w:r>
        <w:rPr>
          <w:rFonts w:hint="eastAsia"/>
        </w:rPr>
        <w:instrText xml:space="preserve"> HYPERLINK  \l "_Toc60838744"</w:instrText>
      </w:r>
      <w:r>
        <w:rPr>
          <w:rFonts w:hint="eastAsia"/>
        </w:rPr>
        <w:fldChar w:fldCharType="separate"/>
      </w:r>
      <w:r>
        <w:rPr>
          <w:rFonts w:hint="default"/>
        </w:rPr>
        <w:t>1</w:t>
      </w:r>
      <w:r>
        <w:rPr>
          <w:rFonts w:hint="default"/>
        </w:rPr>
        <w:t>章</w:t>
      </w:r>
      <w:r>
        <w:rPr>
          <w:rFonts w:hint="default" w:asciiTheme="minorHAnsi" w:hAnsiTheme="minorHAnsi" w:eastAsiaTheme="minorEastAsia"/>
          <w:b w:val="0"/>
          <w:sz w:val="21"/>
        </w:rPr>
        <w:tab/>
      </w:r>
      <w:r>
        <w:rPr>
          <w:rFonts w:hint="default"/>
        </w:rPr>
        <w:t>組織体制・指揮命令系統</w:t>
      </w:r>
      <w:r>
        <w:rPr>
          <w:rFonts w:hint="default"/>
        </w:rPr>
        <w:tab/>
      </w:r>
      <w:r>
        <w:rPr>
          <w:rFonts w:hint="eastAsia"/>
        </w:rPr>
        <w:fldChar w:fldCharType="end"/>
      </w:r>
      <w:r>
        <w:rPr>
          <w:rFonts w:hint="eastAsia"/>
        </w:rPr>
        <w:fldChar w:fldCharType="begin"/>
      </w:r>
      <w:r>
        <w:rPr>
          <w:rFonts w:hint="default"/>
        </w:rPr>
        <w:instrText xml:space="preserve">PageRef _Toc60838744 \h </w:instrText>
      </w:r>
      <w:r>
        <w:rPr>
          <w:rFonts w:hint="eastAsia"/>
        </w:rPr>
        <w:fldChar w:fldCharType="separate"/>
      </w:r>
      <w:r>
        <w:rPr>
          <w:rFonts w:hint="default"/>
        </w:rPr>
        <w:t>8</w:t>
      </w:r>
      <w:r>
        <w:rPr>
          <w:rFonts w:hint="eastAsia"/>
        </w:rPr>
        <w:fldChar w:fldCharType="end"/>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"_Toc60838745"</w:instrText>
      </w:r>
      <w:r>
        <w:rPr>
          <w:rFonts w:hint="eastAsia"/>
        </w:rPr>
        <w:fldChar w:fldCharType="separate"/>
      </w:r>
      <w:r>
        <w:rPr>
          <w:rFonts w:hint="default"/>
        </w:rPr>
        <w:t>（１）</w:t>
      </w:r>
      <w:r>
        <w:rPr>
          <w:rFonts w:hint="eastAsia"/>
        </w:rPr>
        <w:t>町</w:t>
      </w:r>
      <w:r>
        <w:rPr>
          <w:rFonts w:hint="default"/>
        </w:rPr>
        <w:t>災害対策本部</w:t>
      </w:r>
      <w:r>
        <w:rPr>
          <w:rFonts w:hint="default"/>
        </w:rPr>
        <w:tab/>
      </w:r>
      <w:r>
        <w:rPr>
          <w:rFonts w:hint="eastAsia"/>
        </w:rPr>
        <w:fldChar w:fldCharType="end"/>
      </w:r>
      <w:r>
        <w:rPr>
          <w:rFonts w:hint="eastAsia"/>
        </w:rPr>
        <w:fldChar w:fldCharType="begin"/>
      </w:r>
      <w:r>
        <w:rPr>
          <w:rFonts w:hint="default"/>
        </w:rPr>
        <w:instrText xml:space="preserve">PageRef _Toc60838745 \h </w:instrText>
      </w:r>
      <w:r>
        <w:rPr>
          <w:rFonts w:hint="eastAsia"/>
        </w:rPr>
        <w:fldChar w:fldCharType="separate"/>
      </w:r>
      <w:r>
        <w:rPr>
          <w:rFonts w:hint="default"/>
        </w:rPr>
        <w:t>8</w:t>
      </w:r>
      <w:r>
        <w:rPr>
          <w:rFonts w:hint="eastAsia"/>
        </w:rPr>
        <w:fldChar w:fldCharType="end"/>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"_Toc60838746"</w:instrText>
      </w:r>
      <w:r>
        <w:rPr>
          <w:rFonts w:hint="eastAsia"/>
        </w:rPr>
        <w:fldChar w:fldCharType="separate"/>
      </w:r>
      <w:r>
        <w:rPr>
          <w:rFonts w:hint="default"/>
        </w:rPr>
        <w:t>（２）災害廃棄物対策の担当組織</w:t>
      </w:r>
      <w:r>
        <w:rPr>
          <w:rFonts w:hint="default"/>
        </w:rPr>
        <w:tab/>
      </w:r>
      <w:r>
        <w:rPr>
          <w:rFonts w:hint="eastAsia"/>
        </w:rPr>
        <w:fldChar w:fldCharType="end"/>
      </w:r>
      <w:r>
        <w:rPr>
          <w:rFonts w:hint="eastAsia"/>
        </w:rPr>
        <w:fldChar w:fldCharType="begin"/>
      </w:r>
      <w:r>
        <w:rPr>
          <w:rFonts w:hint="default"/>
        </w:rPr>
        <w:instrText xml:space="preserve">PageRef _Toc60838746 \h </w:instrText>
      </w:r>
      <w:r>
        <w:rPr>
          <w:rFonts w:hint="eastAsia"/>
        </w:rPr>
        <w:fldChar w:fldCharType="separate"/>
      </w:r>
      <w:r>
        <w:rPr>
          <w:rFonts w:hint="default"/>
        </w:rPr>
        <w:t>9</w:t>
      </w:r>
      <w:r>
        <w:rPr>
          <w:rFonts w:hint="eastAsia"/>
        </w:rPr>
        <w:fldChar w:fldCharType="end"/>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"_Toc60838748"</w:instrText>
      </w:r>
      <w:r>
        <w:rPr>
          <w:rFonts w:hint="eastAsia"/>
        </w:rPr>
        <w:fldChar w:fldCharType="separate"/>
      </w:r>
      <w:r>
        <w:rPr>
          <w:rFonts w:hint="default"/>
        </w:rPr>
        <w:t>（</w:t>
      </w:r>
      <w:r>
        <w:rPr>
          <w:rFonts w:hint="eastAsia"/>
        </w:rPr>
        <w:t>３</w:t>
      </w:r>
      <w:r>
        <w:rPr>
          <w:rFonts w:hint="default"/>
        </w:rPr>
        <w:t>）</w:t>
      </w:r>
      <w:r>
        <w:rPr>
          <w:rFonts w:hint="eastAsia"/>
        </w:rPr>
        <w:t>職員への研修・訓練</w:t>
      </w:r>
      <w:r>
        <w:rPr>
          <w:rFonts w:hint="default"/>
        </w:rPr>
        <w:tab/>
      </w:r>
      <w:r>
        <w:rPr>
          <w:rFonts w:hint="eastAsia"/>
        </w:rPr>
        <w:fldChar w:fldCharType="end"/>
      </w:r>
      <w:r>
        <w:rPr>
          <w:rFonts w:hint="eastAsia"/>
        </w:rPr>
        <w:fldChar w:fldCharType="begin"/>
      </w:r>
      <w:r>
        <w:rPr>
          <w:rFonts w:hint="default"/>
        </w:rPr>
        <w:instrText xml:space="preserve">PageRef _Toc60838748 \h </w:instrText>
      </w:r>
      <w:r>
        <w:rPr>
          <w:rFonts w:hint="eastAsia"/>
        </w:rPr>
        <w:fldChar w:fldCharType="separate"/>
      </w:r>
      <w:r>
        <w:rPr>
          <w:rFonts w:hint="default"/>
        </w:rPr>
        <w:t>12</w:t>
      </w:r>
      <w:r>
        <w:rPr>
          <w:rFonts w:hint="eastAsia"/>
        </w:rPr>
        <w:fldChar w:fldCharType="end"/>
      </w:r>
    </w:p>
    <w:p>
      <w:pPr>
        <w:pStyle w:val="23"/>
        <w:rPr>
          <w:rFonts w:hint="default" w:asciiTheme="minorHAnsi" w:hAnsiTheme="minorHAnsi" w:eastAsiaTheme="minorEastAsia"/>
          <w:b w:val="0"/>
          <w:sz w:val="21"/>
        </w:rPr>
      </w:pPr>
      <w:r>
        <w:rPr>
          <w:rFonts w:hint="eastAsia"/>
        </w:rPr>
        <w:fldChar w:fldCharType="begin"/>
      </w:r>
      <w:r>
        <w:rPr>
          <w:rFonts w:hint="eastAsia"/>
        </w:rPr>
        <w:instrText xml:space="preserve"> HYPERLINK  \l "_Toc60838747"</w:instrText>
      </w:r>
      <w:r>
        <w:rPr>
          <w:rFonts w:hint="eastAsia"/>
        </w:rPr>
        <w:fldChar w:fldCharType="separate"/>
      </w:r>
      <w:r>
        <w:rPr>
          <w:rFonts w:hint="default"/>
        </w:rPr>
        <w:t>2</w:t>
      </w:r>
      <w:r>
        <w:rPr>
          <w:rFonts w:hint="default"/>
        </w:rPr>
        <w:t>章　情報収集・連絡</w:t>
      </w:r>
      <w:r>
        <w:rPr>
          <w:rFonts w:hint="default"/>
        </w:rPr>
        <w:tab/>
      </w:r>
      <w:r>
        <w:rPr>
          <w:rFonts w:hint="eastAsia"/>
        </w:rPr>
        <w:fldChar w:fldCharType="end"/>
      </w:r>
      <w:r>
        <w:rPr>
          <w:rFonts w:hint="eastAsia"/>
        </w:rPr>
        <w:t>13</w:t>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"_Toc60838748"</w:instrText>
      </w:r>
      <w:r>
        <w:rPr>
          <w:rFonts w:hint="eastAsia"/>
        </w:rPr>
        <w:fldChar w:fldCharType="separate"/>
      </w:r>
      <w:r>
        <w:rPr>
          <w:rFonts w:hint="default"/>
        </w:rPr>
        <w:t>（１）</w:t>
      </w:r>
      <w:r>
        <w:rPr>
          <w:rFonts w:hint="eastAsia"/>
        </w:rPr>
        <w:t>町</w:t>
      </w:r>
      <w:r>
        <w:rPr>
          <w:rFonts w:hint="default"/>
        </w:rPr>
        <w:t>災害対策本部との連絡及び収集する情報</w:t>
      </w:r>
      <w:r>
        <w:rPr>
          <w:rFonts w:hint="default"/>
        </w:rPr>
        <w:tab/>
      </w:r>
      <w:r>
        <w:rPr>
          <w:rFonts w:hint="eastAsia"/>
        </w:rPr>
        <w:fldChar w:fldCharType="end"/>
      </w:r>
      <w:r>
        <w:rPr>
          <w:rFonts w:hint="eastAsia"/>
        </w:rPr>
        <w:t>13</w:t>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"_Toc60838749"</w:instrText>
      </w:r>
      <w:r>
        <w:rPr>
          <w:rFonts w:hint="eastAsia"/>
        </w:rPr>
        <w:fldChar w:fldCharType="separate"/>
      </w:r>
      <w:r>
        <w:rPr>
          <w:rFonts w:hint="default"/>
        </w:rPr>
        <w:t>（２）県との連絡及び報告する情報</w:t>
      </w:r>
      <w:r>
        <w:rPr>
          <w:rFonts w:hint="default"/>
        </w:rPr>
        <w:tab/>
      </w:r>
      <w:r>
        <w:rPr>
          <w:rFonts w:hint="eastAsia"/>
        </w:rPr>
        <w:fldChar w:fldCharType="end"/>
      </w:r>
      <w:r>
        <w:rPr>
          <w:rFonts w:hint="eastAsia"/>
        </w:rPr>
        <w:t>14</w:t>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"_Toc60838750"</w:instrText>
      </w:r>
      <w:r>
        <w:rPr>
          <w:rFonts w:hint="eastAsia"/>
        </w:rPr>
        <w:fldChar w:fldCharType="separate"/>
      </w:r>
      <w:r>
        <w:rPr>
          <w:rFonts w:hint="default"/>
        </w:rPr>
        <w:t>（３）国、近隣他都道府県等との連絡</w:t>
      </w:r>
      <w:r>
        <w:rPr>
          <w:rFonts w:hint="default"/>
        </w:rPr>
        <w:tab/>
      </w:r>
      <w:r>
        <w:rPr>
          <w:rFonts w:hint="eastAsia"/>
        </w:rPr>
        <w:fldChar w:fldCharType="end"/>
      </w:r>
      <w:r>
        <w:rPr>
          <w:rFonts w:hint="eastAsia"/>
        </w:rPr>
        <w:fldChar w:fldCharType="begin"/>
      </w:r>
      <w:r>
        <w:rPr>
          <w:rFonts w:hint="default"/>
        </w:rPr>
        <w:instrText xml:space="preserve">PageRef _Toc60838750 \h </w:instrText>
      </w:r>
      <w:r>
        <w:rPr>
          <w:rFonts w:hint="eastAsia"/>
        </w:rPr>
        <w:fldChar w:fldCharType="separate"/>
      </w:r>
      <w:r>
        <w:rPr>
          <w:rFonts w:hint="default"/>
        </w:rPr>
        <w:t>15</w:t>
      </w:r>
      <w:r>
        <w:rPr>
          <w:rFonts w:hint="eastAsia"/>
        </w:rPr>
        <w:fldChar w:fldCharType="end"/>
      </w:r>
    </w:p>
    <w:p>
      <w:pPr>
        <w:pStyle w:val="23"/>
        <w:rPr>
          <w:rFonts w:hint="default" w:asciiTheme="minorHAnsi" w:hAnsiTheme="minorHAnsi" w:eastAsiaTheme="minorEastAsia"/>
          <w:b w:val="0"/>
          <w:sz w:val="21"/>
        </w:rPr>
      </w:pPr>
      <w:r>
        <w:rPr>
          <w:rFonts w:hint="eastAsia"/>
        </w:rPr>
        <w:fldChar w:fldCharType="begin"/>
      </w:r>
      <w:r>
        <w:rPr>
          <w:rFonts w:hint="eastAsia"/>
        </w:rPr>
        <w:instrText xml:space="preserve"> HYPERLINK  \l "_Toc60838751"</w:instrText>
      </w:r>
      <w:r>
        <w:rPr>
          <w:rFonts w:hint="eastAsia"/>
        </w:rPr>
        <w:fldChar w:fldCharType="separate"/>
      </w:r>
      <w:r>
        <w:rPr>
          <w:rFonts w:hint="default"/>
        </w:rPr>
        <w:t>3</w:t>
      </w:r>
      <w:r>
        <w:rPr>
          <w:rFonts w:hint="default"/>
        </w:rPr>
        <w:t>章　協力・支援体制</w:t>
      </w:r>
      <w:r>
        <w:rPr>
          <w:rFonts w:hint="default"/>
        </w:rPr>
        <w:tab/>
      </w:r>
      <w:r>
        <w:rPr>
          <w:rFonts w:hint="eastAsia"/>
        </w:rPr>
        <w:fldChar w:fldCharType="end"/>
      </w:r>
      <w:r>
        <w:rPr>
          <w:rFonts w:hint="eastAsia"/>
        </w:rPr>
        <w:fldChar w:fldCharType="begin"/>
      </w:r>
      <w:r>
        <w:rPr>
          <w:rFonts w:hint="default"/>
        </w:rPr>
        <w:instrText xml:space="preserve">PageRef _Toc60838751 \h </w:instrText>
      </w:r>
      <w:r>
        <w:rPr>
          <w:rFonts w:hint="eastAsia"/>
        </w:rPr>
        <w:fldChar w:fldCharType="separate"/>
      </w:r>
      <w:r>
        <w:rPr>
          <w:rFonts w:hint="default"/>
        </w:rPr>
        <w:t>17</w:t>
      </w:r>
      <w:r>
        <w:rPr>
          <w:rFonts w:hint="eastAsia"/>
        </w:rPr>
        <w:fldChar w:fldCharType="end"/>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"_Toc60838752"</w:instrText>
      </w:r>
      <w:r>
        <w:rPr>
          <w:rFonts w:hint="eastAsia"/>
        </w:rPr>
        <w:fldChar w:fldCharType="separate"/>
      </w:r>
      <w:r>
        <w:rPr>
          <w:rFonts w:hint="default"/>
        </w:rPr>
        <w:t>（１）市町村等、都道府県及び国の協力・支援</w:t>
      </w:r>
      <w:r>
        <w:rPr>
          <w:rFonts w:hint="default"/>
        </w:rPr>
        <w:tab/>
      </w:r>
      <w:r>
        <w:rPr>
          <w:rFonts w:hint="eastAsia"/>
        </w:rPr>
        <w:fldChar w:fldCharType="end"/>
      </w:r>
      <w:r>
        <w:rPr>
          <w:rFonts w:hint="eastAsia"/>
        </w:rPr>
        <w:fldChar w:fldCharType="begin"/>
      </w:r>
      <w:r>
        <w:rPr>
          <w:rFonts w:hint="default"/>
        </w:rPr>
        <w:instrText xml:space="preserve">PageRef _Toc60838752 \h </w:instrText>
      </w:r>
      <w:r>
        <w:rPr>
          <w:rFonts w:hint="eastAsia"/>
        </w:rPr>
        <w:fldChar w:fldCharType="separate"/>
      </w:r>
      <w:r>
        <w:rPr>
          <w:rFonts w:hint="default"/>
        </w:rPr>
        <w:t>17</w:t>
      </w:r>
      <w:r>
        <w:rPr>
          <w:rFonts w:hint="eastAsia"/>
        </w:rPr>
        <w:fldChar w:fldCharType="end"/>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"_Toc60838753"</w:instrText>
      </w:r>
      <w:r>
        <w:rPr>
          <w:rFonts w:hint="eastAsia"/>
        </w:rPr>
        <w:fldChar w:fldCharType="separate"/>
      </w:r>
      <w:r>
        <w:rPr>
          <w:rFonts w:hint="default"/>
        </w:rPr>
        <w:t>（２）民間事業者団体等との連携</w:t>
      </w:r>
      <w:r>
        <w:rPr>
          <w:rFonts w:hint="default"/>
        </w:rPr>
        <w:tab/>
      </w:r>
      <w:r>
        <w:rPr>
          <w:rFonts w:hint="eastAsia"/>
        </w:rPr>
        <w:fldChar w:fldCharType="end"/>
      </w:r>
      <w:r>
        <w:rPr>
          <w:rFonts w:hint="eastAsia"/>
        </w:rPr>
        <w:t>18</w:t>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"_Toc60838754"</w:instrText>
      </w:r>
      <w:r>
        <w:rPr>
          <w:rFonts w:hint="eastAsia"/>
        </w:rPr>
        <w:fldChar w:fldCharType="separate"/>
      </w:r>
      <w:r>
        <w:rPr>
          <w:rFonts w:hint="default"/>
        </w:rPr>
        <w:t>（３）ボランティアとの連携</w:t>
      </w:r>
      <w:r>
        <w:rPr>
          <w:rFonts w:hint="default"/>
        </w:rPr>
        <w:tab/>
      </w:r>
      <w:r>
        <w:rPr>
          <w:rFonts w:hint="eastAsia"/>
        </w:rPr>
        <w:fldChar w:fldCharType="end"/>
      </w:r>
      <w:r>
        <w:rPr>
          <w:rFonts w:hint="eastAsia"/>
        </w:rPr>
        <w:t>19</w:t>
      </w:r>
    </w:p>
    <w:p>
      <w:pPr>
        <w:pStyle w:val="23"/>
        <w:rPr>
          <w:rFonts w:hint="default" w:asciiTheme="minorHAnsi" w:hAnsiTheme="minorHAnsi" w:eastAsiaTheme="minorEastAsia"/>
          <w:b w:val="0"/>
          <w:sz w:val="21"/>
        </w:rPr>
      </w:pPr>
      <w:r>
        <w:rPr>
          <w:rFonts w:hint="eastAsia"/>
        </w:rPr>
        <w:fldChar w:fldCharType="begin"/>
      </w:r>
      <w:r>
        <w:rPr>
          <w:rFonts w:hint="eastAsia"/>
        </w:rPr>
        <w:instrText xml:space="preserve"> HYPERLINK  \l "_Toc60838755"</w:instrText>
      </w:r>
      <w:r>
        <w:rPr>
          <w:rFonts w:hint="eastAsia"/>
        </w:rPr>
        <w:fldChar w:fldCharType="separate"/>
      </w:r>
      <w:r>
        <w:rPr>
          <w:rFonts w:hint="default"/>
        </w:rPr>
        <w:t>4</w:t>
      </w:r>
      <w:r>
        <w:rPr>
          <w:rFonts w:hint="default"/>
        </w:rPr>
        <w:t>章　住民等への啓発・広報</w:t>
      </w:r>
      <w:r>
        <w:rPr>
          <w:rFonts w:hint="default"/>
        </w:rPr>
        <w:tab/>
      </w:r>
      <w:r>
        <w:rPr>
          <w:rFonts w:hint="eastAsia"/>
        </w:rPr>
        <w:fldChar w:fldCharType="end"/>
      </w:r>
      <w:r>
        <w:rPr>
          <w:rFonts w:hint="eastAsia"/>
        </w:rPr>
        <w:fldChar w:fldCharType="begin"/>
      </w:r>
      <w:r>
        <w:rPr>
          <w:rFonts w:hint="default"/>
        </w:rPr>
        <w:instrText xml:space="preserve">PageRef _Toc60838755 \h </w:instrText>
      </w:r>
      <w:r>
        <w:rPr>
          <w:rFonts w:hint="eastAsia"/>
        </w:rPr>
        <w:fldChar w:fldCharType="separate"/>
      </w:r>
      <w:r>
        <w:rPr>
          <w:rFonts w:hint="default"/>
        </w:rPr>
        <w:t>20</w:t>
      </w:r>
      <w:r>
        <w:rPr>
          <w:rFonts w:hint="eastAsia"/>
        </w:rPr>
        <w:fldChar w:fldCharType="end"/>
      </w:r>
    </w:p>
    <w:p>
      <w:pPr>
        <w:pStyle w:val="23"/>
        <w:rPr>
          <w:rFonts w:hint="default" w:asciiTheme="minorHAnsi" w:hAnsiTheme="minorHAnsi" w:eastAsiaTheme="minorEastAsia"/>
          <w:b w:val="0"/>
          <w:sz w:val="21"/>
        </w:rPr>
      </w:pPr>
      <w:r>
        <w:rPr>
          <w:rFonts w:hint="eastAsia"/>
        </w:rPr>
        <w:fldChar w:fldCharType="begin"/>
      </w:r>
      <w:r>
        <w:rPr>
          <w:rFonts w:hint="eastAsia"/>
        </w:rPr>
        <w:instrText xml:space="preserve"> HYPERLINK  \l "_Toc60838756"</w:instrText>
      </w:r>
      <w:r>
        <w:rPr>
          <w:rFonts w:hint="eastAsia"/>
        </w:rPr>
        <w:fldChar w:fldCharType="separate"/>
      </w:r>
      <w:r>
        <w:rPr>
          <w:rFonts w:hint="default"/>
        </w:rPr>
        <w:t>5</w:t>
      </w:r>
      <w:r>
        <w:rPr>
          <w:rFonts w:hint="default"/>
        </w:rPr>
        <w:t>章　一般廃棄物処理施設の現況</w:t>
      </w:r>
      <w:r>
        <w:rPr>
          <w:rFonts w:hint="default"/>
        </w:rPr>
        <w:tab/>
      </w:r>
      <w:r>
        <w:rPr>
          <w:rFonts w:hint="eastAsia"/>
        </w:rPr>
        <w:fldChar w:fldCharType="end"/>
      </w:r>
      <w:r>
        <w:rPr>
          <w:rFonts w:hint="eastAsia"/>
        </w:rPr>
        <w:fldChar w:fldCharType="begin"/>
      </w:r>
      <w:r>
        <w:rPr>
          <w:rFonts w:hint="default"/>
        </w:rPr>
        <w:instrText xml:space="preserve">PageRef _Toc60838756 \h </w:instrText>
      </w:r>
      <w:r>
        <w:rPr>
          <w:rFonts w:hint="eastAsia"/>
        </w:rPr>
        <w:fldChar w:fldCharType="separate"/>
      </w:r>
      <w:r>
        <w:rPr>
          <w:rFonts w:hint="default"/>
        </w:rPr>
        <w:t>21</w:t>
      </w:r>
      <w:r>
        <w:rPr>
          <w:rFonts w:hint="eastAsia"/>
        </w:rPr>
        <w:fldChar w:fldCharType="end"/>
      </w:r>
    </w:p>
    <w:p>
      <w:pPr>
        <w:pStyle w:val="23"/>
        <w:rPr>
          <w:rFonts w:hint="default" w:asciiTheme="minorHAnsi" w:hAnsiTheme="minorHAnsi" w:eastAsiaTheme="minorEastAsia"/>
          <w:b w:val="0"/>
          <w:sz w:val="21"/>
        </w:rPr>
      </w:pPr>
      <w:r>
        <w:rPr>
          <w:rFonts w:hint="eastAsia"/>
        </w:rPr>
        <w:fldChar w:fldCharType="begin"/>
      </w:r>
      <w:r>
        <w:rPr>
          <w:rFonts w:hint="eastAsia"/>
        </w:rPr>
        <w:instrText xml:space="preserve"> HYPERLINK  \l "_Toc60838757"</w:instrText>
      </w:r>
      <w:r>
        <w:rPr>
          <w:rFonts w:hint="eastAsia"/>
        </w:rPr>
        <w:fldChar w:fldCharType="separate"/>
      </w:r>
      <w:r>
        <w:rPr>
          <w:rFonts w:hint="default"/>
        </w:rPr>
        <w:t>6</w:t>
      </w:r>
      <w:r>
        <w:rPr>
          <w:rFonts w:hint="default"/>
        </w:rPr>
        <w:t>章　災害廃棄物処理対策</w:t>
      </w:r>
      <w:r>
        <w:rPr>
          <w:rFonts w:hint="default"/>
        </w:rPr>
        <w:tab/>
      </w:r>
      <w:r>
        <w:rPr>
          <w:rFonts w:hint="eastAsia"/>
        </w:rPr>
        <w:fldChar w:fldCharType="end"/>
      </w:r>
      <w:r>
        <w:rPr>
          <w:rFonts w:hint="eastAsia"/>
        </w:rPr>
        <w:t>22</w:t>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"_Toc60838758"</w:instrText>
      </w:r>
      <w:r>
        <w:rPr>
          <w:rFonts w:hint="eastAsia"/>
        </w:rPr>
        <w:fldChar w:fldCharType="separate"/>
      </w:r>
      <w:r>
        <w:rPr>
          <w:rFonts w:hint="default"/>
        </w:rPr>
        <w:t>（１）災害廃棄物発生量</w:t>
      </w:r>
      <w:r>
        <w:rPr>
          <w:rFonts w:hint="default"/>
        </w:rPr>
        <w:tab/>
      </w:r>
      <w:r>
        <w:rPr>
          <w:rFonts w:hint="eastAsia"/>
        </w:rPr>
        <w:fldChar w:fldCharType="end"/>
      </w:r>
      <w:r>
        <w:rPr>
          <w:rFonts w:hint="eastAsia"/>
        </w:rPr>
        <w:fldChar w:fldCharType="begin"/>
      </w:r>
      <w:r>
        <w:rPr>
          <w:rFonts w:hint="default"/>
        </w:rPr>
        <w:instrText xml:space="preserve">PageRef _Toc60838758 \h </w:instrText>
      </w:r>
      <w:r>
        <w:rPr>
          <w:rFonts w:hint="eastAsia"/>
        </w:rPr>
        <w:fldChar w:fldCharType="separate"/>
      </w:r>
      <w:r>
        <w:rPr>
          <w:rFonts w:hint="default"/>
        </w:rPr>
        <w:t>22</w:t>
      </w:r>
      <w:r>
        <w:rPr>
          <w:rFonts w:hint="eastAsia"/>
        </w:rPr>
        <w:fldChar w:fldCharType="end"/>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"_Toc60838759"</w:instrText>
      </w:r>
      <w:r>
        <w:rPr>
          <w:rFonts w:hint="eastAsia"/>
        </w:rPr>
        <w:fldChar w:fldCharType="separate"/>
      </w:r>
      <w:r>
        <w:rPr>
          <w:rFonts w:hint="default"/>
        </w:rPr>
        <w:t>（２）処理可能量</w:t>
      </w:r>
      <w:r>
        <w:rPr>
          <w:rFonts w:hint="default"/>
        </w:rPr>
        <w:tab/>
      </w:r>
      <w:r>
        <w:rPr>
          <w:rFonts w:hint="eastAsia"/>
        </w:rPr>
        <w:fldChar w:fldCharType="end"/>
      </w:r>
      <w:r>
        <w:rPr>
          <w:rFonts w:hint="eastAsia"/>
        </w:rPr>
        <w:fldChar w:fldCharType="begin"/>
      </w:r>
      <w:r>
        <w:rPr>
          <w:rFonts w:hint="default"/>
        </w:rPr>
        <w:instrText xml:space="preserve">PageRef _Toc60838759 \h </w:instrText>
      </w:r>
      <w:r>
        <w:rPr>
          <w:rFonts w:hint="eastAsia"/>
        </w:rPr>
        <w:fldChar w:fldCharType="separate"/>
      </w:r>
      <w:r>
        <w:rPr>
          <w:rFonts w:hint="default"/>
        </w:rPr>
        <w:t>24</w:t>
      </w:r>
      <w:r>
        <w:rPr>
          <w:rFonts w:hint="eastAsia"/>
        </w:rPr>
        <w:fldChar w:fldCharType="end"/>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"_Toc60838760"</w:instrText>
      </w:r>
      <w:r>
        <w:rPr>
          <w:rFonts w:hint="eastAsia"/>
        </w:rPr>
        <w:fldChar w:fldCharType="separate"/>
      </w:r>
      <w:r>
        <w:rPr>
          <w:rFonts w:hint="default"/>
        </w:rPr>
        <w:t>（３）処理フローに係る項目</w:t>
      </w:r>
      <w:r>
        <w:rPr>
          <w:rFonts w:hint="default"/>
        </w:rPr>
        <w:tab/>
      </w:r>
      <w:r>
        <w:rPr>
          <w:rFonts w:hint="eastAsia"/>
        </w:rPr>
        <w:fldChar w:fldCharType="end"/>
      </w:r>
      <w:r>
        <w:rPr>
          <w:rFonts w:hint="eastAsia"/>
        </w:rPr>
        <w:fldChar w:fldCharType="begin"/>
      </w:r>
      <w:r>
        <w:rPr>
          <w:rFonts w:hint="default"/>
        </w:rPr>
        <w:instrText xml:space="preserve">PageRef _Toc60838760 \h </w:instrText>
      </w:r>
      <w:r>
        <w:rPr>
          <w:rFonts w:hint="eastAsia"/>
        </w:rPr>
        <w:fldChar w:fldCharType="separate"/>
      </w:r>
      <w:r>
        <w:rPr>
          <w:rFonts w:hint="default"/>
        </w:rPr>
        <w:t>27</w:t>
      </w:r>
      <w:r>
        <w:rPr>
          <w:rFonts w:hint="eastAsia"/>
        </w:rPr>
        <w:fldChar w:fldCharType="end"/>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"_Toc60838760"</w:instrText>
      </w:r>
      <w:r>
        <w:rPr>
          <w:rFonts w:hint="eastAsia"/>
        </w:rPr>
        <w:fldChar w:fldCharType="separate"/>
      </w:r>
      <w:r>
        <w:rPr>
          <w:rFonts w:hint="default"/>
        </w:rPr>
        <w:t>（</w:t>
      </w:r>
      <w:r>
        <w:rPr>
          <w:rFonts w:hint="eastAsia"/>
        </w:rPr>
        <w:t>４</w:t>
      </w:r>
      <w:r>
        <w:rPr>
          <w:rFonts w:hint="default"/>
        </w:rPr>
        <w:t>）</w:t>
      </w:r>
      <w:r>
        <w:rPr>
          <w:rFonts w:hint="eastAsia"/>
        </w:rPr>
        <w:t>片付けごみの回収</w:t>
      </w:r>
      <w:r>
        <w:rPr>
          <w:rFonts w:hint="default"/>
        </w:rPr>
        <w:tab/>
      </w:r>
      <w:r>
        <w:rPr>
          <w:rFonts w:hint="eastAsia"/>
        </w:rPr>
        <w:fldChar w:fldCharType="end"/>
      </w:r>
      <w:r>
        <w:rPr>
          <w:rFonts w:hint="eastAsia"/>
        </w:rPr>
        <w:t>30</w:t>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"_Toc60838761"</w:instrText>
      </w:r>
      <w:r>
        <w:rPr>
          <w:rFonts w:hint="eastAsia"/>
        </w:rPr>
        <w:fldChar w:fldCharType="separate"/>
      </w:r>
      <w:r>
        <w:rPr>
          <w:rFonts w:hint="default"/>
        </w:rPr>
        <w:t>（</w:t>
      </w:r>
      <w:r>
        <w:rPr>
          <w:rFonts w:hint="eastAsia"/>
        </w:rPr>
        <w:t>５</w:t>
      </w:r>
      <w:r>
        <w:rPr>
          <w:rFonts w:hint="default"/>
        </w:rPr>
        <w:t>）仮置場</w:t>
      </w:r>
      <w:r>
        <w:rPr>
          <w:rFonts w:hint="default"/>
        </w:rPr>
        <w:tab/>
      </w:r>
      <w:r>
        <w:rPr>
          <w:rFonts w:hint="eastAsia"/>
        </w:rPr>
        <w:fldChar w:fldCharType="end"/>
      </w:r>
      <w:r>
        <w:rPr>
          <w:rFonts w:hint="eastAsia"/>
        </w:rPr>
        <w:fldChar w:fldCharType="begin"/>
      </w:r>
      <w:r>
        <w:rPr>
          <w:rFonts w:hint="default"/>
        </w:rPr>
        <w:instrText xml:space="preserve">PageRef _Toc60838761 \h </w:instrText>
      </w:r>
      <w:r>
        <w:rPr>
          <w:rFonts w:hint="eastAsia"/>
        </w:rPr>
        <w:fldChar w:fldCharType="separate"/>
      </w:r>
      <w:r>
        <w:rPr>
          <w:rFonts w:hint="default"/>
        </w:rPr>
        <w:t>30</w:t>
      </w:r>
      <w:r>
        <w:rPr>
          <w:rFonts w:hint="eastAsia"/>
        </w:rPr>
        <w:fldChar w:fldCharType="end"/>
      </w:r>
    </w:p>
    <w:p>
      <w:pPr>
        <w:pStyle w:val="24"/>
        <w:rPr>
          <w:rFonts w:hint="default" w:asciiTheme="minorHAnsi" w:hAnsiTheme="minorHAnsi" w:eastAsiaTheme="minorEastAsia"/>
        </w:rPr>
      </w:pPr>
      <w:r>
        <w:rPr>
          <w:rFonts w:hint="eastAsia"/>
        </w:rPr>
        <w:fldChar w:fldCharType="begin"/>
      </w:r>
      <w:r>
        <w:rPr>
          <w:rFonts w:hint="eastAsia"/>
        </w:rPr>
        <w:instrText xml:space="preserve"> HYPERLINK  \l "_Toc60838762"</w:instrText>
      </w:r>
      <w:r>
        <w:rPr>
          <w:rFonts w:hint="eastAsia"/>
        </w:rPr>
        <w:fldChar w:fldCharType="separate"/>
      </w:r>
      <w:r>
        <w:rPr>
          <w:rFonts w:hint="default"/>
        </w:rPr>
        <w:t>（</w:t>
      </w:r>
      <w:r>
        <w:rPr>
          <w:rFonts w:hint="eastAsia"/>
        </w:rPr>
        <w:t>６</w:t>
      </w:r>
      <w:r>
        <w:rPr>
          <w:rFonts w:hint="default"/>
        </w:rPr>
        <w:t>）有害廃棄物・適正処理が困難な廃棄物の対策</w:t>
      </w:r>
      <w:r>
        <w:rPr>
          <w:rFonts w:hint="default"/>
        </w:rPr>
        <w:tab/>
      </w:r>
      <w:r>
        <w:rPr>
          <w:rFonts w:hint="eastAsia"/>
        </w:rPr>
        <w:fldChar w:fldCharType="end"/>
      </w:r>
      <w:r>
        <w:rPr>
          <w:rFonts w:hint="eastAsia"/>
        </w:rPr>
        <w:fldChar w:fldCharType="begin"/>
      </w:r>
      <w:r>
        <w:rPr>
          <w:rFonts w:hint="default"/>
        </w:rPr>
        <w:instrText xml:space="preserve">PageRef _Toc60838762 \h </w:instrText>
      </w:r>
      <w:r>
        <w:rPr>
          <w:rFonts w:hint="eastAsia"/>
        </w:rPr>
        <w:fldChar w:fldCharType="separate"/>
      </w:r>
      <w:r>
        <w:rPr>
          <w:rFonts w:hint="default"/>
        </w:rPr>
        <w:t>34</w:t>
      </w:r>
      <w:r>
        <w:rPr>
          <w:rFonts w:hint="eastAsia"/>
        </w:rPr>
        <w:fldChar w:fldCharType="end"/>
      </w:r>
    </w:p>
    <w:p>
      <w:pPr>
        <w:pStyle w:val="23"/>
        <w:rPr>
          <w:rFonts w:hint="default" w:asciiTheme="minorHAnsi" w:hAnsiTheme="minorHAnsi" w:eastAsiaTheme="minorEastAsia"/>
          <w:b w:val="0"/>
          <w:sz w:val="21"/>
        </w:rPr>
      </w:pPr>
      <w:r>
        <w:rPr>
          <w:rFonts w:hint="eastAsia"/>
        </w:rPr>
        <w:fldChar w:fldCharType="begin"/>
      </w:r>
      <w:r>
        <w:rPr>
          <w:rFonts w:hint="eastAsia"/>
        </w:rPr>
        <w:instrText xml:space="preserve"> HYPERLINK  \l "_Toc60838763"</w:instrText>
      </w:r>
      <w:r>
        <w:rPr>
          <w:rFonts w:hint="eastAsia"/>
        </w:rPr>
        <w:fldChar w:fldCharType="separate"/>
      </w:r>
      <w:r>
        <w:rPr>
          <w:rFonts w:hint="default"/>
        </w:rPr>
        <w:t>7</w:t>
      </w:r>
      <w:r>
        <w:rPr>
          <w:rFonts w:hint="default"/>
        </w:rPr>
        <w:t>章　風水害における処理対応</w:t>
      </w:r>
      <w:r>
        <w:rPr>
          <w:rFonts w:hint="default"/>
        </w:rPr>
        <w:tab/>
      </w:r>
      <w:r>
        <w:rPr>
          <w:rFonts w:hint="eastAsia"/>
        </w:rPr>
        <w:fldChar w:fldCharType="end"/>
      </w:r>
      <w:r>
        <w:rPr>
          <w:rFonts w:hint="eastAsia"/>
        </w:rPr>
        <w:fldChar w:fldCharType="begin"/>
      </w:r>
      <w:r>
        <w:rPr>
          <w:rFonts w:hint="default"/>
        </w:rPr>
        <w:instrText xml:space="preserve">PageRef _Toc60838763 \h </w:instrText>
      </w:r>
      <w:r>
        <w:rPr>
          <w:rFonts w:hint="eastAsia"/>
        </w:rPr>
        <w:fldChar w:fldCharType="separate"/>
      </w:r>
      <w:r>
        <w:rPr>
          <w:rFonts w:hint="default"/>
        </w:rPr>
        <w:t>37</w:t>
      </w:r>
      <w:r>
        <w:rPr>
          <w:rFonts w:hint="eastAsia"/>
        </w:rPr>
        <w:fldChar w:fldCharType="end"/>
      </w:r>
    </w:p>
    <w:p>
      <w:pPr>
        <w:pStyle w:val="23"/>
        <w:rPr>
          <w:rFonts w:hint="default" w:asciiTheme="minorHAnsi" w:hAnsiTheme="minorHAnsi" w:eastAsiaTheme="minorEastAsia"/>
          <w:b w:val="0"/>
          <w:sz w:val="21"/>
        </w:rPr>
      </w:pPr>
      <w:r>
        <w:rPr>
          <w:rFonts w:hint="eastAsia"/>
        </w:rPr>
        <w:fldChar w:fldCharType="begin"/>
      </w:r>
      <w:r>
        <w:rPr>
          <w:rFonts w:hint="eastAsia"/>
        </w:rPr>
        <w:instrText xml:space="preserve"> HYPERLINK  \l "_Toc60838764"</w:instrText>
      </w:r>
      <w:r>
        <w:rPr>
          <w:rFonts w:hint="eastAsia"/>
        </w:rPr>
        <w:fldChar w:fldCharType="separate"/>
      </w:r>
      <w:r>
        <w:rPr>
          <w:rFonts w:hint="default"/>
        </w:rPr>
        <w:t>8</w:t>
      </w:r>
      <w:r>
        <w:rPr>
          <w:rFonts w:hint="default"/>
        </w:rPr>
        <w:t>章　災害廃棄物処理実行計画の作成</w:t>
      </w:r>
      <w:r>
        <w:rPr>
          <w:rFonts w:hint="default"/>
        </w:rPr>
        <w:tab/>
      </w:r>
      <w:r>
        <w:rPr>
          <w:rFonts w:hint="eastAsia"/>
        </w:rPr>
        <w:fldChar w:fldCharType="end"/>
      </w:r>
      <w:r>
        <w:rPr>
          <w:rFonts w:hint="eastAsia"/>
        </w:rPr>
        <w:fldChar w:fldCharType="begin"/>
      </w:r>
      <w:r>
        <w:rPr>
          <w:rFonts w:hint="default"/>
        </w:rPr>
        <w:instrText xml:space="preserve">PageRef _Toc60838764 \h </w:instrText>
      </w:r>
      <w:r>
        <w:rPr>
          <w:rFonts w:hint="eastAsia"/>
        </w:rPr>
        <w:fldChar w:fldCharType="separate"/>
      </w:r>
      <w:r>
        <w:rPr>
          <w:rFonts w:hint="default"/>
        </w:rPr>
        <w:t>38</w:t>
      </w:r>
      <w:r>
        <w:rPr>
          <w:rFonts w:hint="eastAsia"/>
        </w:rPr>
        <w:fldChar w:fldCharType="end"/>
      </w:r>
    </w:p>
    <w:p>
      <w:pPr>
        <w:pStyle w:val="0"/>
        <w:rPr>
          <w:rFonts w:hint="default" w:ascii="HGP創英角ｺﾞｼｯｸUB" w:hAnsi="HGP創英角ｺﾞｼｯｸUB" w:eastAsia="HGP創英角ｺﾞｼｯｸUB"/>
          <w:sz w:val="20"/>
        </w:rPr>
        <w:sectPr>
          <w:footerReference r:id="rId6" w:type="default"/>
          <w:pgSz w:w="11910" w:h="16840"/>
          <w:pgMar w:top="1380" w:right="1200" w:bottom="1520" w:left="1540" w:header="0" w:footer="1277" w:gutter="0"/>
          <w:cols w:space="720"/>
          <w:textDirection w:val="lrTb"/>
          <w:docGrid w:linePitch="299"/>
        </w:sectPr>
      </w:pPr>
      <w:r>
        <w:rPr>
          <w:rFonts w:hint="default" w:ascii="HGP創英角ｺﾞｼｯｸUB" w:hAnsi="HGP創英角ｺﾞｼｯｸUB" w:eastAsia="HGP創英角ｺﾞｼｯｸUB"/>
          <w:sz w:val="20"/>
        </w:rPr>
        <w:fldChar w:fldCharType="end"/>
      </w:r>
    </w:p>
    <w:p>
      <w:pPr>
        <w:pStyle w:val="1"/>
        <w:rPr>
          <w:rFonts w:hint="default" w:ascii="ＭＳ ゴシック" w:hAnsi="ＭＳ ゴシック" w:eastAsia="ＭＳ ゴシック"/>
          <w:sz w:val="28"/>
        </w:rPr>
      </w:pPr>
      <w:bookmarkStart w:id="0" w:name="_Toc60838735"/>
      <w:r>
        <w:rPr>
          <w:rFonts w:hint="default" w:ascii="ＭＳ ゴシック" w:hAnsi="ＭＳ ゴシック" w:eastAsia="ＭＳ ゴシック"/>
          <w:sz w:val="28"/>
        </w:rPr>
        <w:t>1</w:t>
      </w:r>
      <w:r>
        <w:rPr>
          <w:rFonts w:hint="default" w:ascii="ＭＳ ゴシック" w:hAnsi="ＭＳ ゴシック" w:eastAsia="ＭＳ ゴシック"/>
          <w:sz w:val="28"/>
        </w:rPr>
        <w:t>編　総則</w:t>
      </w:r>
      <w:bookmarkEnd w:id="0"/>
    </w:p>
    <w:p>
      <w:pPr>
        <w:pStyle w:val="0"/>
        <w:rPr>
          <w:rFonts w:hint="default"/>
        </w:rPr>
      </w:pPr>
    </w:p>
    <w:p>
      <w:pPr>
        <w:pStyle w:val="2"/>
        <w:rPr>
          <w:rFonts w:hint="default" w:ascii="ＭＳ ゴシック" w:hAnsi="ＭＳ ゴシック" w:eastAsia="ＭＳ ゴシック"/>
          <w:sz w:val="24"/>
        </w:rPr>
      </w:pPr>
      <w:bookmarkStart w:id="1" w:name="_Toc60838736"/>
      <w:r>
        <w:rPr>
          <w:rFonts w:hint="default" w:ascii="ＭＳ ゴシック" w:hAnsi="ＭＳ ゴシック" w:eastAsia="ＭＳ ゴシック"/>
          <w:sz w:val="24"/>
        </w:rPr>
        <w:t>1</w:t>
      </w:r>
      <w:r>
        <w:rPr>
          <w:rFonts w:hint="default" w:ascii="ＭＳ ゴシック" w:hAnsi="ＭＳ ゴシック" w:eastAsia="ＭＳ ゴシック"/>
          <w:sz w:val="24"/>
        </w:rPr>
        <w:t>章　背景及び目的</w:t>
      </w:r>
      <w:bookmarkEnd w:id="1"/>
    </w:p>
    <w:p>
      <w:pPr>
        <w:pStyle w:val="0"/>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近年、東日本大震災や熊本地震</w:t>
      </w:r>
      <w:r>
        <w:rPr>
          <w:rFonts w:hint="eastAsia" w:ascii="ＭＳ 明朝" w:hAnsi="ＭＳ 明朝" w:eastAsia="ＭＳ 明朝"/>
          <w:b w:val="0"/>
          <w:sz w:val="21"/>
          <w:u w:val="none" w:color="auto"/>
        </w:rPr>
        <w:t>、能登半島地震</w:t>
      </w:r>
      <w:r>
        <w:rPr>
          <w:rFonts w:hint="eastAsia" w:ascii="ＭＳ 明朝" w:hAnsi="ＭＳ 明朝" w:eastAsia="ＭＳ 明朝"/>
          <w:sz w:val="21"/>
        </w:rPr>
        <w:t>を始めとする未曾有の大災害により、大量の災害廃棄物が発生し、被災した地方自治体でその処理に苦慮している現状にある。</w:t>
      </w:r>
      <w:bookmarkStart w:id="2" w:name="_Hlk61701975"/>
      <w:r>
        <w:rPr>
          <w:rFonts w:hint="eastAsia" w:ascii="ＭＳ 明朝" w:hAnsi="ＭＳ 明朝" w:eastAsia="ＭＳ 明朝"/>
          <w:sz w:val="21"/>
        </w:rPr>
        <w:t>「沖縄県地域防災計画」の策定に資するため調査された「沖縄県地震被害想定調査概要報告書</w:t>
      </w:r>
      <w:r>
        <w:rPr>
          <w:rFonts w:hint="default" w:ascii="ＭＳ 明朝" w:hAnsi="ＭＳ 明朝" w:eastAsia="ＭＳ 明朝"/>
          <w:sz w:val="21"/>
        </w:rPr>
        <w:t>(</w:t>
      </w:r>
      <w:r>
        <w:rPr>
          <w:rFonts w:hint="default" w:ascii="ＭＳ 明朝" w:hAnsi="ＭＳ 明朝" w:eastAsia="ＭＳ 明朝"/>
          <w:sz w:val="21"/>
        </w:rPr>
        <w:t>平成</w:t>
      </w:r>
      <w:r>
        <w:rPr>
          <w:rFonts w:hint="default" w:ascii="ＭＳ 明朝" w:hAnsi="ＭＳ 明朝" w:eastAsia="ＭＳ 明朝"/>
          <w:sz w:val="21"/>
        </w:rPr>
        <w:t xml:space="preserve"> 2</w:t>
      </w:r>
      <w:r>
        <w:rPr>
          <w:rFonts w:hint="eastAsia" w:ascii="ＭＳ 明朝" w:hAnsi="ＭＳ 明朝" w:eastAsia="ＭＳ 明朝"/>
          <w:sz w:val="21"/>
        </w:rPr>
        <w:t>5</w:t>
      </w:r>
      <w:r>
        <w:rPr>
          <w:rFonts w:hint="default" w:ascii="ＭＳ 明朝" w:hAnsi="ＭＳ 明朝" w:eastAsia="ＭＳ 明朝"/>
          <w:sz w:val="21"/>
        </w:rPr>
        <w:t>年</w:t>
      </w:r>
      <w:r>
        <w:rPr>
          <w:rFonts w:hint="default" w:ascii="ＭＳ 明朝" w:hAnsi="ＭＳ 明朝" w:eastAsia="ＭＳ 明朝"/>
          <w:sz w:val="21"/>
        </w:rPr>
        <w:t>)</w:t>
      </w:r>
      <w:r>
        <w:rPr>
          <w:rFonts w:hint="eastAsia" w:ascii="ＭＳ 明朝" w:hAnsi="ＭＳ 明朝" w:eastAsia="ＭＳ 明朝"/>
          <w:sz w:val="21"/>
        </w:rPr>
        <w:t>」によれば、沖縄本島に大きな被害を与える可能性のある地震として、マグニチュード</w:t>
      </w:r>
      <w:r>
        <w:rPr>
          <w:rFonts w:hint="eastAsia" w:ascii="ＭＳ 明朝" w:hAnsi="ＭＳ 明朝" w:eastAsia="ＭＳ 明朝"/>
          <w:sz w:val="21"/>
        </w:rPr>
        <w:t>7.8</w:t>
      </w:r>
      <w:r>
        <w:rPr>
          <w:rFonts w:hint="default" w:ascii="ＭＳ 明朝" w:hAnsi="ＭＳ 明朝" w:eastAsia="ＭＳ 明朝"/>
          <w:sz w:val="21"/>
        </w:rPr>
        <w:t>程度の</w:t>
      </w:r>
      <w:r>
        <w:rPr>
          <w:rFonts w:hint="eastAsia" w:ascii="ＭＳ 明朝" w:hAnsi="ＭＳ 明朝" w:eastAsia="ＭＳ 明朝"/>
          <w:sz w:val="21"/>
        </w:rPr>
        <w:t>沖縄本島南部スラブ内地震の発生が想定されており、南風原町（以下「本町」とする。）においても、震度６強程度の揺れが想定されている</w:t>
      </w:r>
      <w:r>
        <w:rPr>
          <w:rFonts w:hint="default" w:ascii="ＭＳ 明朝" w:hAnsi="ＭＳ 明朝" w:eastAsia="ＭＳ 明朝"/>
          <w:sz w:val="21"/>
        </w:rPr>
        <w:t>。</w:t>
      </w:r>
      <w:bookmarkEnd w:id="2"/>
      <w:r>
        <w:rPr>
          <w:rFonts w:hint="default" w:ascii="ＭＳ 明朝" w:hAnsi="ＭＳ 明朝" w:eastAsia="ＭＳ 明朝"/>
          <w:sz w:val="21"/>
        </w:rPr>
        <w:t>また、地震だけでなく、気候変動に伴う降水量の増加により、河川氾濫等の風水害に対するリスクも高まっており、いつ大量の災害廃棄物が発生してもおかしくない</w:t>
      </w:r>
      <w:r>
        <w:rPr>
          <w:rFonts w:hint="eastAsia" w:ascii="ＭＳ 明朝" w:hAnsi="ＭＳ 明朝" w:eastAsia="ＭＳ 明朝"/>
          <w:sz w:val="21"/>
        </w:rPr>
        <w:t>状況である。</w:t>
      </w:r>
    </w:p>
    <w:p>
      <w:pPr>
        <w:pStyle w:val="0"/>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環境省では、東日本大震災で得られた経験や知見を踏まえ、県及び市町村における災害廃棄物処理計画の策定に資することを目的に、平成</w:t>
      </w:r>
      <w:r>
        <w:rPr>
          <w:rFonts w:hint="eastAsia" w:ascii="ＭＳ 明朝" w:hAnsi="ＭＳ 明朝" w:eastAsia="ＭＳ 明朝"/>
          <w:sz w:val="21"/>
        </w:rPr>
        <w:t>26</w:t>
      </w:r>
      <w:r>
        <w:rPr>
          <w:rFonts w:hint="eastAsia" w:ascii="ＭＳ 明朝" w:hAnsi="ＭＳ 明朝" w:eastAsia="ＭＳ 明朝"/>
          <w:sz w:val="21"/>
        </w:rPr>
        <w:t>年３月に「災害廃棄物対策指針」（以下「対策指針」とする。）を策定し、平成</w:t>
      </w:r>
      <w:r>
        <w:rPr>
          <w:rFonts w:hint="eastAsia" w:ascii="ＭＳ 明朝" w:hAnsi="ＭＳ 明朝" w:eastAsia="ＭＳ 明朝"/>
          <w:sz w:val="21"/>
        </w:rPr>
        <w:t>30</w:t>
      </w:r>
      <w:r>
        <w:rPr>
          <w:rFonts w:hint="eastAsia" w:ascii="ＭＳ 明朝" w:hAnsi="ＭＳ 明朝" w:eastAsia="ＭＳ 明朝"/>
          <w:sz w:val="21"/>
        </w:rPr>
        <w:t>年３月には改定版を公表した。</w:t>
      </w:r>
    </w:p>
    <w:p>
      <w:pPr>
        <w:pStyle w:val="0"/>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沖縄県においては、平成</w:t>
      </w:r>
      <w:r>
        <w:rPr>
          <w:rFonts w:hint="eastAsia" w:ascii="ＭＳ 明朝" w:hAnsi="ＭＳ 明朝" w:eastAsia="ＭＳ 明朝"/>
          <w:sz w:val="21"/>
        </w:rPr>
        <w:t>29</w:t>
      </w:r>
      <w:r>
        <w:rPr>
          <w:rFonts w:hint="eastAsia" w:ascii="ＭＳ 明朝" w:hAnsi="ＭＳ 明朝" w:eastAsia="ＭＳ 明朝"/>
          <w:sz w:val="21"/>
        </w:rPr>
        <w:t>年３月に対策指針を踏まえ、災害時における廃棄物の処理に関する対応の基本的事項を定めた「沖縄島県災害廃棄物処理計画」（以下「県計画」とする。）を策定した。</w:t>
      </w:r>
    </w:p>
    <w:p>
      <w:pPr>
        <w:pStyle w:val="0"/>
        <w:spacing w:line="276" w:lineRule="auto"/>
        <w:ind w:firstLine="210" w:firstLineChars="100"/>
        <w:rPr>
          <w:rFonts w:hint="default" w:ascii="ＭＳ 明朝" w:hAnsi="ＭＳ 明朝" w:eastAsia="ＭＳ 明朝"/>
        </w:rPr>
      </w:pPr>
      <w:r>
        <w:rPr>
          <w:rFonts w:hint="eastAsia" w:ascii="ＭＳ 明朝" w:hAnsi="ＭＳ 明朝" w:eastAsia="ＭＳ 明朝"/>
          <w:sz w:val="21"/>
        </w:rPr>
        <w:t>このような背景を踏まえ、最新の対策指針等に基づき、本町防災計画等の関連計画と整合を図りながら、大規模災害による被災時の課題を整理し、平常時の災害予防対策と、災害発生時の状況に即した災害廃棄物処理の具体的な業務内容を示すことにより、災害廃棄物の適正かつ円滑な処理の実施を目指すために策定した。</w:t>
      </w:r>
    </w:p>
    <w:p>
      <w:pPr>
        <w:pStyle w:val="0"/>
        <w:ind w:firstLine="220" w:firstLineChars="100"/>
        <w:rPr>
          <w:rFonts w:hint="default" w:ascii="ＭＳ 明朝" w:hAnsi="ＭＳ 明朝" w:eastAsia="ＭＳ 明朝"/>
        </w:rPr>
      </w:pPr>
    </w:p>
    <w:p>
      <w:pPr>
        <w:pStyle w:val="2"/>
        <w:rPr>
          <w:rFonts w:hint="default" w:ascii="ＭＳ ゴシック" w:hAnsi="ＭＳ ゴシック" w:eastAsia="ＭＳ ゴシック"/>
          <w:sz w:val="24"/>
        </w:rPr>
      </w:pPr>
      <w:bookmarkStart w:id="3" w:name="_Toc60838737"/>
      <w:r>
        <w:rPr>
          <w:rFonts w:hint="default" w:ascii="ＭＳ ゴシック" w:hAnsi="ＭＳ ゴシック" w:eastAsia="ＭＳ ゴシック"/>
          <w:sz w:val="24"/>
        </w:rPr>
        <w:t>2</w:t>
      </w:r>
      <w:r>
        <w:rPr>
          <w:rFonts w:hint="default" w:ascii="ＭＳ ゴシック" w:hAnsi="ＭＳ ゴシック" w:eastAsia="ＭＳ ゴシック"/>
          <w:sz w:val="24"/>
        </w:rPr>
        <w:t>章　本計画の位置づけ</w:t>
      </w:r>
      <w:bookmarkEnd w:id="3"/>
    </w:p>
    <w:p>
      <w:pPr>
        <w:pStyle w:val="0"/>
        <w:spacing w:line="276" w:lineRule="auto"/>
        <w:rPr>
          <w:rFonts w:hint="default" w:ascii="ＭＳ 明朝" w:hAnsi="ＭＳ 明朝" w:eastAsia="ＭＳ 明朝"/>
          <w:sz w:val="21"/>
        </w:rPr>
      </w:pPr>
      <w:r>
        <w:rPr>
          <w:rFonts w:hint="eastAsia"/>
          <w:sz w:val="21"/>
        </w:rPr>
        <w:t>　</w:t>
      </w:r>
      <w:r>
        <w:rPr>
          <w:rFonts w:hint="eastAsia" w:ascii="ＭＳ 明朝" w:hAnsi="ＭＳ 明朝" w:eastAsia="ＭＳ 明朝"/>
          <w:sz w:val="21"/>
        </w:rPr>
        <w:t>本計画は、環境省の定める災害廃棄物対策指針</w:t>
      </w:r>
      <w:r>
        <w:rPr>
          <w:rFonts w:hint="default" w:ascii="ＭＳ 明朝" w:hAnsi="ＭＳ 明朝" w:eastAsia="ＭＳ 明朝"/>
          <w:sz w:val="21"/>
        </w:rPr>
        <w:t>(</w:t>
      </w:r>
      <w:r>
        <w:rPr>
          <w:rFonts w:hint="default" w:ascii="ＭＳ 明朝" w:hAnsi="ＭＳ 明朝" w:eastAsia="ＭＳ 明朝"/>
          <w:sz w:val="21"/>
        </w:rPr>
        <w:t>平成</w:t>
      </w:r>
      <w:r>
        <w:rPr>
          <w:rFonts w:hint="default" w:ascii="ＭＳ 明朝" w:hAnsi="ＭＳ 明朝" w:eastAsia="ＭＳ 明朝"/>
          <w:sz w:val="21"/>
        </w:rPr>
        <w:t>30</w:t>
      </w:r>
      <w:r>
        <w:rPr>
          <w:rFonts w:hint="default" w:ascii="ＭＳ 明朝" w:hAnsi="ＭＳ 明朝" w:eastAsia="ＭＳ 明朝"/>
          <w:sz w:val="21"/>
        </w:rPr>
        <w:t>年改定</w:t>
      </w:r>
      <w:r>
        <w:rPr>
          <w:rFonts w:hint="default" w:ascii="ＭＳ 明朝" w:hAnsi="ＭＳ 明朝" w:eastAsia="ＭＳ 明朝"/>
          <w:sz w:val="21"/>
        </w:rPr>
        <w:t>)</w:t>
      </w:r>
      <w:r>
        <w:rPr>
          <w:rFonts w:hint="default" w:ascii="ＭＳ 明朝" w:hAnsi="ＭＳ 明朝" w:eastAsia="ＭＳ 明朝"/>
          <w:sz w:val="21"/>
        </w:rPr>
        <w:t>に基づき策定するものであり、</w:t>
      </w:r>
      <w:r>
        <w:rPr>
          <w:rFonts w:hint="eastAsia" w:ascii="ＭＳ 明朝" w:hAnsi="ＭＳ 明朝" w:eastAsia="ＭＳ 明朝"/>
          <w:sz w:val="21"/>
        </w:rPr>
        <w:t>南風原町</w:t>
      </w:r>
      <w:r>
        <w:rPr>
          <w:rFonts w:hint="default" w:ascii="ＭＳ 明朝" w:hAnsi="ＭＳ 明朝" w:eastAsia="ＭＳ 明朝"/>
          <w:sz w:val="21"/>
        </w:rPr>
        <w:t>地域防災計画と整合をとり、適正かつ円滑に災害廃棄物の処理を実施するため、具体的な業務内容を示した。</w:t>
      </w:r>
    </w:p>
    <w:p>
      <w:pPr>
        <w:pStyle w:val="0"/>
        <w:spacing w:line="276" w:lineRule="auto"/>
        <w:ind w:firstLine="210" w:firstLineChars="100"/>
        <w:rPr>
          <w:rFonts w:hint="default" w:ascii="ＭＳ 明朝" w:hAnsi="ＭＳ 明朝" w:eastAsia="ＭＳ 明朝"/>
        </w:rPr>
      </w:pPr>
      <w:r>
        <w:rPr>
          <w:rFonts w:hint="eastAsia" w:ascii="ＭＳ 明朝" w:hAnsi="ＭＳ 明朝" w:eastAsia="ＭＳ 明朝"/>
          <w:sz w:val="21"/>
        </w:rPr>
        <w:t>本町で災害が発生した際、災害廃棄物等の処理は、本計画で備えた内容を踏まえて進めるが、実際の被害状況等により柔軟に運用するものとする。</w:t>
      </w:r>
      <w:r>
        <w:rPr>
          <w:rFonts w:hint="default" w:ascii="ＭＳ 明朝" w:hAnsi="ＭＳ 明朝" w:eastAsia="ＭＳ 明朝"/>
        </w:rPr>
        <w:br w:type="page"/>
      </w:r>
    </w:p>
    <w:p>
      <w:pPr>
        <w:pStyle w:val="0"/>
        <w:widowControl w:val="1"/>
        <w:autoSpaceDE w:val="1"/>
        <w:autoSpaceDN w:val="1"/>
        <w:rPr>
          <w:rFonts w:hint="default" w:ascii="ＭＳ 明朝" w:hAnsi="ＭＳ 明朝" w:eastAsia="ＭＳ 明朝"/>
        </w:rPr>
      </w:pPr>
      <w:r>
        <w:rPr>
          <w:rFonts w:hint="default"/>
        </w:rPr>
        <mc:AlternateContent>
          <mc:Choice Requires="wps">
            <w:drawing>
              <wp:anchor distT="0" distB="0" distL="114300" distR="114300" simplePos="0" relativeHeight="45" behindDoc="0" locked="0" layoutInCell="1" hidden="0" allowOverlap="1">
                <wp:simplePos x="0" y="0"/>
                <wp:positionH relativeFrom="column">
                  <wp:posOffset>227965</wp:posOffset>
                </wp:positionH>
                <wp:positionV relativeFrom="paragraph">
                  <wp:posOffset>7022465</wp:posOffset>
                </wp:positionV>
                <wp:extent cx="3494405" cy="368300"/>
                <wp:effectExtent l="79375" t="44450" r="74295" b="111125"/>
                <wp:wrapNone/>
                <wp:docPr id="1026" name="四角形: 角を丸くする 3000"/>
                <a:graphic xmlns:a="http://schemas.openxmlformats.org/drawingml/2006/main">
                  <a:graphicData uri="http://schemas.microsoft.com/office/word/2010/wordprocessingShape">
                    <wps:wsp>
                      <wps:cNvPr id="1026" name="四角形: 角を丸くする 3000"/>
                      <wps:cNvSpPr/>
                      <wps:spPr>
                        <a:xfrm>
                          <a:off x="0" y="0"/>
                          <a:ext cx="3494405" cy="368300"/>
                        </a:xfrm>
                        <a:prstGeom prst="roundRect">
                          <a:avLst/>
                        </a:prstGeom>
                        <a:solidFill>
                          <a:srgbClr val="FF66CC"/>
                        </a:solidFill>
                        <a:ln w="28575">
                          <a:noFill/>
                        </a:ln>
                        <a:effectLst>
                          <a:outerShdw blurRad="44450" dist="27940" dir="5400000" algn="ctr">
                            <a:srgbClr val="000000">
                              <a:alpha val="32000"/>
                            </a:srgbClr>
                          </a:outerShdw>
                        </a:effectLst>
                        <a:scene3d>
                          <a:camera prst="orthographicFront"/>
                          <a:lightRig rig="balanced" dir="t">
                            <a:rot lat="0" lon="0" rev="8700000"/>
                          </a:lightRig>
                        </a:scene3d>
                        <a:sp3d>
                          <a:bevelT w="190500" h="38100"/>
                        </a:sp3d>
                      </wps:spPr>
                      <wps:style>
                        <a:lnRef idx="0">
                          <a:schemeClr val="accent2"/>
                        </a:lnRef>
                        <a:fillRef idx="3">
                          <a:schemeClr val="accent2"/>
                        </a:fillRef>
                        <a:effectRef idx="3">
                          <a:schemeClr val="accent2"/>
                        </a:effectRef>
                        <a:fontRef idx="minor">
                          <a:schemeClr val="lt1"/>
                        </a:fontRef>
                      </wps:style>
                      <wps:txbx>
                        <w:txbxContent>
                          <w:p>
                            <w:pPr>
                              <w:pStyle w:val="0"/>
                              <w:jc w:val="center"/>
                              <w:rPr>
                                <w:rFonts w:hint="default" w:ascii="Meiryo UI" w:hAnsi="Meiryo UI" w:eastAsia="Meiryo UI"/>
                                <w:b w:val="1"/>
                                <w:sz w:val="14"/>
                              </w:rPr>
                            </w:pPr>
                            <w:r>
                              <w:rPr>
                                <w:rFonts w:hint="eastAsia" w:ascii="Meiryo UI" w:hAnsi="Meiryo UI" w:eastAsia="Meiryo UI"/>
                                <w:b w:val="1"/>
                                <w:sz w:val="18"/>
                              </w:rPr>
                              <w:t>南風原町災害廃棄物処理計画</w:t>
                            </w:r>
                          </w:p>
                        </w:txbxContent>
                      </wps:txbx>
                      <wps:bodyPr rot="0" vertOverflow="overflow" horzOverflow="overflow" wrap="square" numCol="1" spcCol="0" rtlCol="0" fromWordArt="0" anchor="ctr" anchorCtr="0" forceAA="0" compatLnSpc="1"/>
                    </wps:wsp>
                  </a:graphicData>
                </a:graphic>
              </wp:anchor>
            </w:drawing>
          </mc:Choice>
          <mc:Fallback>
            <w:pict>
              <v:roundrect id="四角形: 角を丸くする 3000" style="mso-wrap-distance-right:9pt;mso-wrap-distance-bottom:0pt;margin-top:552.95000000000005pt;mso-position-vertical-relative:text;mso-position-horizontal-relative:text;v-text-anchor:middle;position:absolute;height:29pt;mso-wrap-distance-top:0pt;width:275.14pt;mso-wrap-distance-left:9pt;margin-left:17.95pt;z-index:45;" o:spid="_x0000_s1026" o:allowincell="t" o:allowoverlap="t" filled="t" fillcolor="#ff66cc" stroked="f" strokeweight="2.25pt" o:spt="2" arcsize="10923f">
                <v:fill/>
                <v:shadow on="t" color="#000000" opacity="20971f" offset="0pt,2.2000000000000002pt" matrix="65536f,,,65536f,,"/>
                <v:textbox style="layout-flow:horizontal;">
                  <w:txbxContent>
                    <w:p>
                      <w:pPr>
                        <w:pStyle w:val="0"/>
                        <w:jc w:val="center"/>
                        <w:rPr>
                          <w:rFonts w:hint="default" w:ascii="Meiryo UI" w:hAnsi="Meiryo UI" w:eastAsia="Meiryo UI"/>
                          <w:b w:val="1"/>
                          <w:sz w:val="14"/>
                        </w:rPr>
                      </w:pPr>
                      <w:r>
                        <w:rPr>
                          <w:rFonts w:hint="eastAsia" w:ascii="Meiryo UI" w:hAnsi="Meiryo UI" w:eastAsia="Meiryo UI"/>
                          <w:b w:val="1"/>
                          <w:sz w:val="18"/>
                        </w:rPr>
                        <w:t>南風原町災害廃棄物処理計画</w:t>
                      </w:r>
                    </w:p>
                  </w:txbxContent>
                </v:textbox>
                <v:imagedata o:title=""/>
                <w10:wrap type="none" anchorx="text" anchory="text"/>
              </v:roundrect>
            </w:pict>
          </mc:Fallback>
        </mc:AlternateContent>
      </w:r>
      <w:r>
        <w:rPr>
          <w:rFonts w:hint="default"/>
        </w:rPr>
        <w:drawing>
          <wp:inline distT="0" distB="0" distL="0" distR="0">
            <wp:extent cx="5420360" cy="7155815"/>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pic:nvPicPr>
                  <pic:blipFill>
                    <a:blip r:embed="rId8"/>
                    <a:stretch>
                      <a:fillRect/>
                    </a:stretch>
                  </pic:blipFill>
                  <pic:spPr>
                    <a:xfrm>
                      <a:off x="0" y="0"/>
                      <a:ext cx="5420360" cy="7155815"/>
                    </a:xfrm>
                    <a:prstGeom prst="rect">
                      <a:avLst/>
                    </a:prstGeom>
                  </pic:spPr>
                </pic:pic>
              </a:graphicData>
            </a:graphic>
          </wp:inline>
        </w:drawing>
      </w:r>
    </w:p>
    <w:p>
      <w:pPr>
        <w:pStyle w:val="0"/>
        <w:widowControl w:val="1"/>
        <w:autoSpaceDE w:val="1"/>
        <w:autoSpaceDN w:val="1"/>
        <w:jc w:val="center"/>
        <w:rPr>
          <w:rFonts w:hint="default"/>
        </w:rPr>
      </w:pPr>
    </w:p>
    <w:p>
      <w:pPr>
        <w:pStyle w:val="0"/>
        <w:widowControl w:val="1"/>
        <w:autoSpaceDE w:val="1"/>
        <w:autoSpaceDN w:val="1"/>
        <w:jc w:val="center"/>
        <w:rPr>
          <w:rFonts w:hint="default"/>
        </w:rPr>
      </w:pPr>
    </w:p>
    <w:p>
      <w:pPr>
        <w:pStyle w:val="0"/>
        <w:widowControl w:val="1"/>
        <w:autoSpaceDE w:val="1"/>
        <w:autoSpaceDN w:val="1"/>
        <w:jc w:val="center"/>
        <w:rPr>
          <w:rFonts w:hint="default"/>
        </w:rPr>
      </w:pPr>
    </w:p>
    <w:p>
      <w:pPr>
        <w:pStyle w:val="0"/>
        <w:widowControl w:val="1"/>
        <w:autoSpaceDE w:val="1"/>
        <w:autoSpaceDN w:val="1"/>
        <w:jc w:val="center"/>
        <w:rPr>
          <w:rFonts w:hint="default"/>
        </w:rPr>
      </w:pPr>
      <w:r>
        <w:rPr>
          <w:rFonts w:hint="eastAsia"/>
        </w:rPr>
        <w:t>図</w:t>
      </w:r>
      <w:r>
        <w:rPr>
          <w:rFonts w:hint="eastAsia"/>
        </w:rPr>
        <w:t>1</w:t>
      </w:r>
      <w:r>
        <w:rPr>
          <w:rFonts w:hint="eastAsia"/>
        </w:rPr>
        <w:t>　災害廃棄物処理に係る防災体制に関する各種法令・計画の位置付け</w:t>
      </w:r>
    </w:p>
    <w:p>
      <w:pPr>
        <w:pStyle w:val="15"/>
        <w:spacing w:before="5" w:beforeLines="0" w:beforeAutospacing="0"/>
        <w:rPr>
          <w:rFonts w:hint="default" w:ascii="ＭＳ 明朝" w:hAnsi="ＭＳ 明朝" w:eastAsia="ＭＳ 明朝"/>
          <w:sz w:val="18"/>
        </w:rPr>
      </w:pPr>
      <w:r>
        <w:rPr>
          <w:rFonts w:hint="eastAsia" w:ascii="ＭＳ 明朝" w:hAnsi="ＭＳ 明朝" w:eastAsia="ＭＳ 明朝"/>
          <w:sz w:val="18"/>
        </w:rPr>
        <w:t>出典：</w:t>
      </w:r>
      <w:r>
        <w:rPr>
          <w:rFonts w:hint="eastAsia" w:ascii="ＭＳ 明朝" w:hAnsi="ＭＳ 明朝" w:eastAsia="ＭＳ 明朝"/>
          <w:color w:val="000000" w:themeColor="text1"/>
          <w:sz w:val="18"/>
        </w:rPr>
        <w:t>環境省災害廃棄物対策指針（平成</w:t>
      </w:r>
      <w:r>
        <w:rPr>
          <w:rFonts w:hint="eastAsia" w:ascii="ＭＳ 明朝" w:hAnsi="ＭＳ 明朝" w:eastAsia="ＭＳ 明朝"/>
          <w:color w:val="000000" w:themeColor="text1"/>
          <w:sz w:val="18"/>
        </w:rPr>
        <w:t>30</w:t>
      </w:r>
      <w:r>
        <w:rPr>
          <w:rFonts w:hint="eastAsia" w:ascii="ＭＳ 明朝" w:hAnsi="ＭＳ 明朝" w:eastAsia="ＭＳ 明朝"/>
          <w:color w:val="000000" w:themeColor="text1"/>
          <w:sz w:val="18"/>
        </w:rPr>
        <w:t>年</w:t>
      </w:r>
      <w:r>
        <w:rPr>
          <w:rFonts w:hint="eastAsia" w:ascii="ＭＳ 明朝" w:hAnsi="ＭＳ 明朝" w:eastAsia="ＭＳ 明朝"/>
          <w:color w:val="000000" w:themeColor="text1"/>
          <w:sz w:val="18"/>
        </w:rPr>
        <w:t>3</w:t>
      </w:r>
      <w:r>
        <w:rPr>
          <w:rFonts w:hint="eastAsia" w:ascii="ＭＳ 明朝" w:hAnsi="ＭＳ 明朝" w:eastAsia="ＭＳ 明朝"/>
          <w:color w:val="000000" w:themeColor="text1"/>
          <w:sz w:val="18"/>
        </w:rPr>
        <w:t>月）</w:t>
      </w:r>
    </w:p>
    <w:p>
      <w:pPr>
        <w:pStyle w:val="0"/>
        <w:widowControl w:val="1"/>
        <w:autoSpaceDE w:val="1"/>
        <w:autoSpaceDN w:val="1"/>
        <w:rPr>
          <w:rFonts w:hint="default"/>
        </w:rPr>
      </w:pPr>
      <w:r>
        <w:rPr>
          <w:rFonts w:hint="default"/>
        </w:rPr>
        <w:br w:type="page"/>
      </w:r>
    </w:p>
    <w:p>
      <w:pPr>
        <w:pStyle w:val="2"/>
        <w:rPr>
          <w:rFonts w:hint="default" w:ascii="ＭＳ ゴシック" w:hAnsi="ＭＳ ゴシック" w:eastAsia="ＭＳ ゴシック"/>
          <w:sz w:val="24"/>
        </w:rPr>
      </w:pPr>
      <w:bookmarkStart w:id="4" w:name="_Toc60838738"/>
      <w:r>
        <w:rPr>
          <w:rFonts w:hint="default" w:ascii="ＭＳ ゴシック" w:hAnsi="ＭＳ ゴシック" w:eastAsia="ＭＳ ゴシック"/>
          <w:sz w:val="24"/>
        </w:rPr>
        <w:t>3</w:t>
      </w:r>
      <w:r>
        <w:rPr>
          <w:rFonts w:hint="default" w:ascii="ＭＳ ゴシック" w:hAnsi="ＭＳ ゴシック" w:eastAsia="ＭＳ ゴシック"/>
          <w:sz w:val="24"/>
        </w:rPr>
        <w:t>章　基本的事項</w:t>
      </w:r>
      <w:bookmarkEnd w:id="4"/>
    </w:p>
    <w:p>
      <w:pPr>
        <w:pStyle w:val="0"/>
        <w:rPr>
          <w:rFonts w:hint="default"/>
        </w:rPr>
      </w:pPr>
    </w:p>
    <w:p>
      <w:pPr>
        <w:pStyle w:val="3"/>
        <w:ind w:left="0" w:leftChars="0"/>
        <w:rPr>
          <w:rFonts w:hint="default" w:ascii="ＭＳ ゴシック" w:hAnsi="ＭＳ ゴシック" w:eastAsia="ＭＳ ゴシック"/>
        </w:rPr>
      </w:pPr>
      <w:bookmarkStart w:id="5" w:name="_Toc60838739"/>
      <w:r>
        <w:rPr>
          <w:rFonts w:hint="eastAsia" w:ascii="ＭＳ ゴシック" w:hAnsi="ＭＳ ゴシック" w:eastAsia="ＭＳ ゴシック"/>
        </w:rPr>
        <w:t>（１）対象とする災害および災害廃棄物</w:t>
      </w:r>
      <w:bookmarkEnd w:id="5"/>
    </w:p>
    <w:p>
      <w:pPr>
        <w:pStyle w:val="15"/>
        <w:spacing w:before="46" w:beforeLines="0" w:beforeAutospacing="0" w:line="276" w:lineRule="auto"/>
        <w:ind w:right="50" w:firstLine="210" w:firstLineChars="100"/>
        <w:rPr>
          <w:rFonts w:hint="default" w:ascii="ＭＳ 明朝" w:hAnsi="ＭＳ 明朝" w:eastAsia="ＭＳ 明朝"/>
          <w:sz w:val="21"/>
        </w:rPr>
      </w:pPr>
      <w:r>
        <w:rPr>
          <w:rFonts w:hint="eastAsia" w:ascii="ＭＳ 明朝" w:hAnsi="ＭＳ 明朝" w:eastAsia="ＭＳ 明朝"/>
          <w:sz w:val="21"/>
        </w:rPr>
        <w:t>本計画では、地震災害及び風水害、その他自然災害を対象とする。本町では、地震災害で表１の被害が想定されている。風水害については、国場川水系国場川が溢水した場合の家屋被害について、想定風水害とした。</w:t>
      </w:r>
    </w:p>
    <w:p>
      <w:pPr>
        <w:pStyle w:val="15"/>
        <w:spacing w:before="46" w:beforeLines="0" w:beforeAutospacing="0" w:line="276" w:lineRule="auto"/>
        <w:ind w:right="50" w:firstLine="210" w:firstLineChars="100"/>
        <w:rPr>
          <w:rFonts w:hint="default" w:ascii="ＭＳ 明朝" w:hAnsi="ＭＳ 明朝" w:eastAsia="ＭＳ 明朝"/>
          <w:sz w:val="21"/>
        </w:rPr>
      </w:pPr>
      <w:r>
        <w:rPr>
          <w:rFonts w:hint="eastAsia" w:ascii="ＭＳ 明朝" w:hAnsi="ＭＳ 明朝" w:eastAsia="ＭＳ 明朝"/>
          <w:sz w:val="21"/>
        </w:rPr>
        <w:t>災害廃棄物は一般廃棄物であるため、本町が処理の主体を担う。本計画において対象とする災害廃棄物の種類は、表３のとおりとする。なお、災害時には、災害廃棄物の処理に加えて、通常の生活ごみ、避難所ごみ、仮設トイレ等のし尿を処理する必要がある。</w:t>
      </w:r>
    </w:p>
    <w:p>
      <w:pPr>
        <w:pStyle w:val="15"/>
        <w:spacing w:before="46" w:beforeLines="0" w:beforeAutospacing="0" w:line="276" w:lineRule="auto"/>
        <w:ind w:right="50" w:firstLine="210" w:firstLineChars="100"/>
        <w:rPr>
          <w:rFonts w:hint="default" w:ascii="ＭＳ 明朝" w:hAnsi="ＭＳ 明朝" w:eastAsia="ＭＳ 明朝"/>
          <w:sz w:val="21"/>
        </w:rPr>
      </w:pPr>
    </w:p>
    <w:p>
      <w:pPr>
        <w:pStyle w:val="15"/>
        <w:spacing w:after="43" w:afterLines="0" w:afterAutospacing="0"/>
        <w:jc w:val="center"/>
        <w:rPr>
          <w:rFonts w:hint="default"/>
          <w:sz w:val="21"/>
        </w:rPr>
      </w:pPr>
      <w:r>
        <w:rPr>
          <w:rFonts w:hint="default"/>
          <w:sz w:val="21"/>
        </w:rPr>
        <w:t>表</w:t>
      </w:r>
      <w:r>
        <w:rPr>
          <w:rFonts w:hint="eastAsia"/>
          <w:sz w:val="21"/>
        </w:rPr>
        <w:t>1</w:t>
      </w:r>
      <w:r>
        <w:rPr>
          <w:rFonts w:hint="eastAsia"/>
          <w:sz w:val="21"/>
        </w:rPr>
        <w:t>　</w:t>
      </w:r>
      <w:r>
        <w:rPr>
          <w:rFonts w:hint="default"/>
          <w:sz w:val="21"/>
        </w:rPr>
        <w:t>想定する</w:t>
      </w:r>
      <w:r>
        <w:rPr>
          <w:rFonts w:hint="eastAsia"/>
          <w:sz w:val="21"/>
        </w:rPr>
        <w:t>地震</w:t>
      </w:r>
      <w:r>
        <w:rPr>
          <w:rFonts w:hint="default"/>
          <w:sz w:val="21"/>
        </w:rPr>
        <w:t>災害</w:t>
      </w:r>
    </w:p>
    <w:tbl>
      <w:tblPr>
        <w:tblStyle w:val="70"/>
        <w:tblW w:w="8669"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2290"/>
        <w:gridCol w:w="6379"/>
      </w:tblGrid>
      <w:tr>
        <w:trPr>
          <w:trHeight w:val="370" w:hRule="exact"/>
        </w:trPr>
        <w:tc>
          <w:tcPr>
            <w:tcW w:w="2290" w:type="dxa"/>
            <w:shd w:val="clear" w:color="auto" w:themeFill="background1" w:themeFillTint="FF" w:themeFillShade="D9"/>
            <w:vAlign w:val="center"/>
          </w:tcPr>
          <w:p>
            <w:pPr>
              <w:pStyle w:val="0"/>
              <w:spacing w:line="300" w:lineRule="exact"/>
              <w:jc w:val="center"/>
              <w:rPr>
                <w:rFonts w:hint="default" w:ascii="HGPｺﾞｼｯｸM" w:hAnsi="HGPｺﾞｼｯｸM" w:eastAsia="HGPｺﾞｼｯｸM"/>
                <w:sz w:val="21"/>
              </w:rPr>
            </w:pPr>
            <w:r>
              <w:rPr>
                <w:rFonts w:hint="eastAsia" w:ascii="HGPｺﾞｼｯｸM" w:hAnsi="HGPｺﾞｼｯｸM" w:eastAsia="HGPｺﾞｼｯｸM"/>
                <w:sz w:val="21"/>
              </w:rPr>
              <w:t>項　　　　目</w:t>
            </w:r>
          </w:p>
        </w:tc>
        <w:tc>
          <w:tcPr>
            <w:tcW w:w="6379" w:type="dxa"/>
            <w:shd w:val="clear" w:color="auto" w:themeFill="background1" w:themeFillTint="FF" w:themeFillShade="D9"/>
            <w:vAlign w:val="center"/>
          </w:tcPr>
          <w:p>
            <w:pPr>
              <w:pStyle w:val="0"/>
              <w:spacing w:line="300" w:lineRule="exact"/>
              <w:jc w:val="center"/>
              <w:rPr>
                <w:rFonts w:hint="default" w:ascii="HGPｺﾞｼｯｸM" w:hAnsi="HGPｺﾞｼｯｸM" w:eastAsia="HGPｺﾞｼｯｸM"/>
                <w:sz w:val="21"/>
              </w:rPr>
            </w:pPr>
            <w:r>
              <w:rPr>
                <w:rFonts w:hint="eastAsia" w:ascii="HGPｺﾞｼｯｸM" w:hAnsi="HGPｺﾞｼｯｸM" w:eastAsia="HGPｺﾞｼｯｸM"/>
                <w:sz w:val="21"/>
              </w:rPr>
              <w:t>内　　　　　容</w:t>
            </w:r>
          </w:p>
        </w:tc>
      </w:tr>
      <w:tr>
        <w:trPr>
          <w:trHeight w:val="370" w:hRule="exact"/>
        </w:trPr>
        <w:tc>
          <w:tcPr>
            <w:tcW w:w="2290" w:type="dxa"/>
            <w:vAlign w:val="center"/>
          </w:tcPr>
          <w:p>
            <w:pPr>
              <w:pStyle w:val="0"/>
              <w:tabs>
                <w:tab w:val="left" w:leader="none" w:pos="887"/>
                <w:tab w:val="left" w:leader="none" w:pos="1775"/>
                <w:tab w:val="left" w:leader="none" w:pos="2663"/>
              </w:tabs>
              <w:spacing w:line="300" w:lineRule="exact"/>
              <w:jc w:val="center"/>
              <w:rPr>
                <w:rFonts w:hint="default" w:ascii="HGPｺﾞｼｯｸM" w:hAnsi="HGPｺﾞｼｯｸM" w:eastAsia="HGPｺﾞｼｯｸM"/>
                <w:sz w:val="21"/>
              </w:rPr>
            </w:pPr>
            <w:r>
              <w:rPr>
                <w:rFonts w:hint="eastAsia" w:ascii="HGPｺﾞｼｯｸM" w:hAnsi="HGPｺﾞｼｯｸM" w:eastAsia="HGPｺﾞｼｯｸM"/>
                <w:sz w:val="21"/>
              </w:rPr>
              <w:t>想　定　地　震</w:t>
            </w:r>
          </w:p>
        </w:tc>
        <w:tc>
          <w:tcPr>
            <w:tcW w:w="6379" w:type="dxa"/>
            <w:vAlign w:val="center"/>
          </w:tcPr>
          <w:p>
            <w:pPr>
              <w:pStyle w:val="0"/>
              <w:ind w:firstLine="145" w:firstLineChars="69"/>
              <w:jc w:val="center"/>
              <w:rPr>
                <w:rFonts w:hint="default" w:ascii="HGPｺﾞｼｯｸM" w:hAnsi="HGPｺﾞｼｯｸM" w:eastAsia="HGPｺﾞｼｯｸM"/>
                <w:sz w:val="21"/>
              </w:rPr>
            </w:pPr>
            <w:r>
              <w:rPr>
                <w:rFonts w:hint="eastAsia" w:ascii="HGPｺﾞｼｯｸM" w:hAnsi="HGPｺﾞｼｯｸM" w:eastAsia="HGPｺﾞｼｯｸM"/>
                <w:sz w:val="21"/>
              </w:rPr>
              <w:t>沖縄本島南部スラブ内地震</w:t>
            </w:r>
          </w:p>
        </w:tc>
      </w:tr>
      <w:tr>
        <w:trPr>
          <w:trHeight w:val="370" w:hRule="exact"/>
        </w:trPr>
        <w:tc>
          <w:tcPr>
            <w:tcW w:w="2290" w:type="dxa"/>
            <w:vAlign w:val="center"/>
          </w:tcPr>
          <w:p>
            <w:pPr>
              <w:pStyle w:val="0"/>
              <w:tabs>
                <w:tab w:val="left" w:leader="none" w:pos="887"/>
                <w:tab w:val="left" w:leader="none" w:pos="1775"/>
                <w:tab w:val="left" w:leader="none" w:pos="2663"/>
              </w:tabs>
              <w:spacing w:line="300" w:lineRule="exact"/>
              <w:jc w:val="center"/>
              <w:rPr>
                <w:rFonts w:hint="default" w:ascii="HGPｺﾞｼｯｸM" w:hAnsi="HGPｺﾞｼｯｸM" w:eastAsia="HGPｺﾞｼｯｸM"/>
                <w:sz w:val="21"/>
              </w:rPr>
            </w:pPr>
            <w:r>
              <w:rPr>
                <w:rFonts w:hint="eastAsia" w:ascii="HGPｺﾞｼｯｸM" w:hAnsi="HGPｺﾞｼｯｸM" w:eastAsia="HGPｺﾞｼｯｸM"/>
                <w:sz w:val="21"/>
              </w:rPr>
              <w:t>予　想　規　模</w:t>
            </w:r>
          </w:p>
        </w:tc>
        <w:tc>
          <w:tcPr>
            <w:tcW w:w="6379" w:type="dxa"/>
            <w:vAlign w:val="center"/>
          </w:tcPr>
          <w:p>
            <w:pPr>
              <w:pStyle w:val="0"/>
              <w:ind w:firstLine="145" w:firstLineChars="69"/>
              <w:jc w:val="center"/>
              <w:rPr>
                <w:rFonts w:hint="default" w:ascii="HGPｺﾞｼｯｸM" w:hAnsi="HGPｺﾞｼｯｸM" w:eastAsia="HGPｺﾞｼｯｸM"/>
                <w:sz w:val="21"/>
              </w:rPr>
            </w:pPr>
            <w:r>
              <w:rPr>
                <w:rFonts w:hint="eastAsia" w:ascii="HGPｺﾞｼｯｸM" w:hAnsi="HGPｺﾞｼｯｸM" w:eastAsia="HGPｺﾞｼｯｸM"/>
                <w:sz w:val="21"/>
              </w:rPr>
              <w:t>マグニチュード</w:t>
            </w:r>
            <w:r>
              <w:rPr>
                <w:rFonts w:hint="eastAsia" w:ascii="HGPｺﾞｼｯｸM" w:hAnsi="HGPｺﾞｼｯｸM" w:eastAsia="HGPｺﾞｼｯｸM"/>
                <w:sz w:val="21"/>
              </w:rPr>
              <w:t>7.8</w:t>
            </w:r>
            <w:r>
              <w:rPr>
                <w:rFonts w:hint="eastAsia" w:ascii="HGPｺﾞｼｯｸM" w:hAnsi="HGPｺﾞｼｯｸM" w:eastAsia="HGPｺﾞｼｯｸM"/>
                <w:sz w:val="21"/>
              </w:rPr>
              <w:t>（南風原町想定震度</w:t>
            </w:r>
            <w:r>
              <w:rPr>
                <w:rFonts w:hint="eastAsia" w:ascii="HGPｺﾞｼｯｸM" w:hAnsi="HGPｺﾞｼｯｸM" w:eastAsia="HGPｺﾞｼｯｸM"/>
                <w:sz w:val="21"/>
              </w:rPr>
              <w:t>6</w:t>
            </w:r>
            <w:r>
              <w:rPr>
                <w:rFonts w:hint="eastAsia" w:ascii="HGPｺﾞｼｯｸM" w:hAnsi="HGPｺﾞｼｯｸM" w:eastAsia="HGPｺﾞｼｯｸM"/>
                <w:sz w:val="21"/>
              </w:rPr>
              <w:t>強）</w:t>
            </w:r>
          </w:p>
        </w:tc>
      </w:tr>
      <w:tr>
        <w:trPr>
          <w:trHeight w:val="413" w:hRule="atLeast"/>
        </w:trPr>
        <w:tc>
          <w:tcPr>
            <w:tcW w:w="2290" w:type="dxa"/>
            <w:vAlign w:val="center"/>
          </w:tcPr>
          <w:p>
            <w:pPr>
              <w:pStyle w:val="0"/>
              <w:spacing w:line="300" w:lineRule="exact"/>
              <w:ind w:left="103"/>
              <w:jc w:val="center"/>
              <w:rPr>
                <w:rFonts w:hint="default" w:ascii="HGPｺﾞｼｯｸM" w:hAnsi="HGPｺﾞｼｯｸM" w:eastAsia="HGPｺﾞｼｯｸM"/>
                <w:sz w:val="21"/>
              </w:rPr>
            </w:pPr>
            <w:r>
              <w:rPr>
                <w:rFonts w:hint="eastAsia" w:ascii="HGPｺﾞｼｯｸM" w:hAnsi="HGPｺﾞｼｯｸM" w:eastAsia="HGPｺﾞｼｯｸM"/>
                <w:sz w:val="21"/>
              </w:rPr>
              <w:t>建物大破棟数</w:t>
            </w:r>
          </w:p>
        </w:tc>
        <w:tc>
          <w:tcPr>
            <w:tcW w:w="6379" w:type="dxa"/>
            <w:vAlign w:val="center"/>
          </w:tcPr>
          <w:p>
            <w:pPr>
              <w:pStyle w:val="0"/>
              <w:ind w:firstLine="145" w:firstLineChars="69"/>
              <w:jc w:val="center"/>
              <w:rPr>
                <w:rFonts w:hint="default" w:ascii="HGPｺﾞｼｯｸM" w:hAnsi="HGPｺﾞｼｯｸM" w:eastAsia="HGPｺﾞｼｯｸM"/>
                <w:sz w:val="21"/>
              </w:rPr>
            </w:pPr>
            <w:r>
              <w:rPr>
                <w:rFonts w:hint="eastAsia" w:ascii="HGPｺﾞｼｯｸM" w:hAnsi="HGPｺﾞｼｯｸM" w:eastAsia="HGPｺﾞｼｯｸM"/>
                <w:sz w:val="21"/>
              </w:rPr>
              <w:t>1,087</w:t>
            </w:r>
            <w:r>
              <w:rPr>
                <w:rFonts w:hint="eastAsia" w:ascii="HGPｺﾞｼｯｸM" w:hAnsi="HGPｺﾞｼｯｸM" w:eastAsia="HGPｺﾞｼｯｸM"/>
                <w:sz w:val="21"/>
              </w:rPr>
              <w:t>棟</w:t>
            </w:r>
          </w:p>
        </w:tc>
      </w:tr>
      <w:tr>
        <w:trPr>
          <w:trHeight w:val="371" w:hRule="atLeast"/>
        </w:trPr>
        <w:tc>
          <w:tcPr>
            <w:tcW w:w="2290" w:type="dxa"/>
            <w:vAlign w:val="center"/>
          </w:tcPr>
          <w:p>
            <w:pPr>
              <w:pStyle w:val="0"/>
              <w:spacing w:line="303" w:lineRule="exact"/>
              <w:ind w:left="103"/>
              <w:jc w:val="center"/>
              <w:rPr>
                <w:rFonts w:hint="default" w:ascii="HGPｺﾞｼｯｸM" w:hAnsi="HGPｺﾞｼｯｸM" w:eastAsia="HGPｺﾞｼｯｸM"/>
                <w:sz w:val="21"/>
              </w:rPr>
            </w:pPr>
            <w:r>
              <w:rPr>
                <w:rFonts w:hint="eastAsia" w:ascii="HGPｺﾞｼｯｸM" w:hAnsi="HGPｺﾞｼｯｸM" w:eastAsia="HGPｺﾞｼｯｸM"/>
                <w:sz w:val="21"/>
              </w:rPr>
              <w:t>建物中破棟数</w:t>
            </w:r>
          </w:p>
        </w:tc>
        <w:tc>
          <w:tcPr>
            <w:tcW w:w="6379" w:type="dxa"/>
            <w:vAlign w:val="center"/>
          </w:tcPr>
          <w:p>
            <w:pPr>
              <w:pStyle w:val="0"/>
              <w:ind w:firstLine="145" w:firstLineChars="69"/>
              <w:jc w:val="center"/>
              <w:rPr>
                <w:rFonts w:hint="default" w:ascii="HGPｺﾞｼｯｸM" w:hAnsi="HGPｺﾞｼｯｸM" w:eastAsia="HGPｺﾞｼｯｸM"/>
                <w:sz w:val="21"/>
              </w:rPr>
            </w:pPr>
            <w:r>
              <w:rPr>
                <w:rFonts w:hint="eastAsia" w:ascii="HGPｺﾞｼｯｸM" w:hAnsi="HGPｺﾞｼｯｸM" w:eastAsia="HGPｺﾞｼｯｸM"/>
                <w:sz w:val="21"/>
              </w:rPr>
              <w:t>1,784</w:t>
            </w:r>
            <w:r>
              <w:rPr>
                <w:rFonts w:hint="eastAsia" w:ascii="HGPｺﾞｼｯｸM" w:hAnsi="HGPｺﾞｼｯｸM" w:eastAsia="HGPｺﾞｼｯｸM"/>
                <w:sz w:val="21"/>
              </w:rPr>
              <w:t>棟</w:t>
            </w:r>
          </w:p>
        </w:tc>
      </w:tr>
      <w:tr>
        <w:trPr>
          <w:trHeight w:val="344" w:hRule="atLeast"/>
        </w:trPr>
        <w:tc>
          <w:tcPr>
            <w:tcW w:w="2290" w:type="dxa"/>
            <w:vAlign w:val="center"/>
          </w:tcPr>
          <w:p>
            <w:pPr>
              <w:pStyle w:val="0"/>
              <w:spacing w:line="303" w:lineRule="exact"/>
              <w:ind w:left="103"/>
              <w:jc w:val="center"/>
              <w:rPr>
                <w:rFonts w:hint="default" w:ascii="HGPｺﾞｼｯｸM" w:hAnsi="HGPｺﾞｼｯｸM" w:eastAsia="HGPｺﾞｼｯｸM"/>
                <w:sz w:val="21"/>
              </w:rPr>
            </w:pPr>
            <w:r>
              <w:rPr>
                <w:rFonts w:hint="eastAsia" w:ascii="HGPｺﾞｼｯｸM" w:hAnsi="HGPｺﾞｼｯｸM" w:eastAsia="HGPｺﾞｼｯｸM"/>
                <w:sz w:val="21"/>
              </w:rPr>
              <w:t>焼失棟数</w:t>
            </w:r>
          </w:p>
        </w:tc>
        <w:tc>
          <w:tcPr>
            <w:tcW w:w="6379" w:type="dxa"/>
            <w:vAlign w:val="center"/>
          </w:tcPr>
          <w:p>
            <w:pPr>
              <w:pStyle w:val="0"/>
              <w:ind w:firstLine="145" w:firstLineChars="69"/>
              <w:jc w:val="center"/>
              <w:rPr>
                <w:rFonts w:hint="default" w:ascii="HGPｺﾞｼｯｸM" w:hAnsi="HGPｺﾞｼｯｸM" w:eastAsia="HGPｺﾞｼｯｸM"/>
                <w:sz w:val="21"/>
              </w:rPr>
            </w:pPr>
            <w:r>
              <w:rPr>
                <w:rFonts w:hint="eastAsia" w:ascii="HGPｺﾞｼｯｸM" w:hAnsi="HGPｺﾞｼｯｸM" w:eastAsia="HGPｺﾞｼｯｸM"/>
                <w:sz w:val="21"/>
              </w:rPr>
              <w:t>5</w:t>
            </w:r>
            <w:r>
              <w:rPr>
                <w:rFonts w:hint="eastAsia" w:ascii="HGPｺﾞｼｯｸM" w:hAnsi="HGPｺﾞｼｯｸM" w:eastAsia="HGPｺﾞｼｯｸM"/>
                <w:sz w:val="21"/>
              </w:rPr>
              <w:t>棟</w:t>
            </w:r>
          </w:p>
        </w:tc>
      </w:tr>
      <w:tr>
        <w:trPr>
          <w:trHeight w:val="370" w:hRule="exact"/>
        </w:trPr>
        <w:tc>
          <w:tcPr>
            <w:tcW w:w="2290" w:type="dxa"/>
            <w:vAlign w:val="center"/>
          </w:tcPr>
          <w:p>
            <w:pPr>
              <w:pStyle w:val="0"/>
              <w:spacing w:line="317" w:lineRule="exact"/>
              <w:jc w:val="center"/>
              <w:rPr>
                <w:rFonts w:hint="default" w:ascii="HGPｺﾞｼｯｸM" w:hAnsi="HGPｺﾞｼｯｸM" w:eastAsia="HGPｺﾞｼｯｸM"/>
                <w:sz w:val="21"/>
              </w:rPr>
            </w:pPr>
            <w:r>
              <w:rPr>
                <w:rFonts w:hint="eastAsia" w:ascii="HGPｺﾞｼｯｸM" w:hAnsi="HGPｺﾞｼｯｸM" w:eastAsia="HGPｺﾞｼｯｸM"/>
                <w:spacing w:val="11"/>
                <w:sz w:val="21"/>
              </w:rPr>
              <w:t>避難人口</w:t>
            </w:r>
          </w:p>
        </w:tc>
        <w:tc>
          <w:tcPr>
            <w:tcW w:w="6379" w:type="dxa"/>
            <w:vAlign w:val="center"/>
          </w:tcPr>
          <w:p>
            <w:pPr>
              <w:pStyle w:val="0"/>
              <w:ind w:firstLine="145" w:firstLineChars="69"/>
              <w:jc w:val="center"/>
              <w:rPr>
                <w:rFonts w:hint="default" w:ascii="HGPｺﾞｼｯｸM" w:hAnsi="HGPｺﾞｼｯｸM" w:eastAsia="HGPｺﾞｼｯｸM"/>
                <w:sz w:val="21"/>
              </w:rPr>
            </w:pPr>
            <w:r>
              <w:rPr>
                <w:rFonts w:hint="eastAsia" w:ascii="HGPｺﾞｼｯｸM" w:hAnsi="HGPｺﾞｼｯｸM" w:eastAsia="HGPｺﾞｼｯｸM"/>
                <w:sz w:val="21"/>
              </w:rPr>
              <w:t>4</w:t>
            </w:r>
            <w:r>
              <w:rPr>
                <w:rFonts w:hint="default" w:ascii="HGPｺﾞｼｯｸM" w:hAnsi="HGPｺﾞｼｯｸM" w:eastAsia="HGPｺﾞｼｯｸM"/>
                <w:sz w:val="21"/>
              </w:rPr>
              <w:t>,671</w:t>
            </w:r>
            <w:r>
              <w:rPr>
                <w:rFonts w:hint="eastAsia" w:ascii="HGPｺﾞｼｯｸM" w:hAnsi="HGPｺﾞｼｯｸM" w:eastAsia="HGPｺﾞｼｯｸM"/>
                <w:sz w:val="21"/>
              </w:rPr>
              <w:t>人（一週間後）</w:t>
            </w:r>
          </w:p>
        </w:tc>
      </w:tr>
      <w:tr>
        <w:trPr>
          <w:trHeight w:val="435" w:hRule="exact"/>
        </w:trPr>
        <w:tc>
          <w:tcPr>
            <w:tcW w:w="2290" w:type="dxa"/>
            <w:vAlign w:val="center"/>
          </w:tcPr>
          <w:p>
            <w:pPr>
              <w:pStyle w:val="0"/>
              <w:spacing w:line="317" w:lineRule="exact"/>
              <w:jc w:val="center"/>
              <w:rPr>
                <w:rFonts w:hint="default" w:ascii="HGPｺﾞｼｯｸM" w:hAnsi="HGPｺﾞｼｯｸM" w:eastAsia="HGPｺﾞｼｯｸM"/>
                <w:spacing w:val="11"/>
                <w:sz w:val="21"/>
              </w:rPr>
            </w:pPr>
            <w:r>
              <w:rPr>
                <w:rFonts w:hint="eastAsia" w:ascii="HGPｺﾞｼｯｸM" w:hAnsi="HGPｺﾞｼｯｸM" w:eastAsia="HGPｺﾞｼｯｸM"/>
                <w:spacing w:val="11"/>
                <w:sz w:val="21"/>
              </w:rPr>
              <w:t>津波浸水面積</w:t>
            </w:r>
          </w:p>
        </w:tc>
        <w:tc>
          <w:tcPr>
            <w:tcW w:w="6379" w:type="dxa"/>
            <w:vAlign w:val="center"/>
          </w:tcPr>
          <w:p>
            <w:pPr>
              <w:pStyle w:val="0"/>
              <w:ind w:firstLine="145" w:firstLineChars="69"/>
              <w:jc w:val="center"/>
              <w:rPr>
                <w:rFonts w:hint="default" w:ascii="HGPｺﾞｼｯｸM" w:hAnsi="HGPｺﾞｼｯｸM" w:eastAsia="HGPｺﾞｼｯｸM"/>
                <w:sz w:val="21"/>
              </w:rPr>
            </w:pPr>
            <w:r>
              <w:rPr>
                <w:rFonts w:hint="eastAsia" w:ascii="HGPｺﾞｼｯｸM" w:hAnsi="HGPｺﾞｼｯｸM" w:eastAsia="HGPｺﾞｼｯｸM"/>
                <w:sz w:val="21"/>
              </w:rPr>
              <w:t>-km</w:t>
            </w:r>
            <w:r>
              <w:rPr>
                <w:rFonts w:hint="eastAsia" w:ascii="HGPｺﾞｼｯｸM" w:hAnsi="HGPｺﾞｼｯｸM" w:eastAsia="HGPｺﾞｼｯｸM"/>
                <w:sz w:val="21"/>
                <w:vertAlign w:val="superscript"/>
              </w:rPr>
              <w:t>2</w:t>
            </w:r>
          </w:p>
        </w:tc>
      </w:tr>
    </w:tbl>
    <w:p>
      <w:pPr>
        <w:pStyle w:val="15"/>
        <w:tabs>
          <w:tab w:val="left" w:leader="none" w:pos="3756"/>
        </w:tabs>
        <w:spacing w:before="1" w:beforeLines="0" w:beforeAutospacing="0" w:after="43" w:afterLines="0" w:afterAutospacing="0"/>
        <w:rPr>
          <w:rFonts w:hint="default"/>
        </w:rPr>
      </w:pPr>
      <w:r>
        <w:rPr>
          <w:rFonts w:hint="eastAsia" w:ascii="ＭＳ 明朝" w:hAnsi="ＭＳ 明朝" w:eastAsia="ＭＳ 明朝"/>
          <w:sz w:val="18"/>
        </w:rPr>
        <w:t>出典：平成</w:t>
      </w:r>
      <w:r>
        <w:rPr>
          <w:rFonts w:hint="eastAsia" w:ascii="ＭＳ 明朝" w:hAnsi="ＭＳ 明朝" w:eastAsia="ＭＳ 明朝"/>
          <w:sz w:val="18"/>
        </w:rPr>
        <w:t>2</w:t>
      </w:r>
      <w:r>
        <w:rPr>
          <w:rFonts w:hint="default" w:ascii="ＭＳ 明朝" w:hAnsi="ＭＳ 明朝" w:eastAsia="ＭＳ 明朝"/>
          <w:sz w:val="18"/>
        </w:rPr>
        <w:t>5</w:t>
      </w:r>
      <w:r>
        <w:rPr>
          <w:rFonts w:hint="eastAsia" w:ascii="ＭＳ 明朝" w:hAnsi="ＭＳ 明朝" w:eastAsia="ＭＳ 明朝"/>
          <w:sz w:val="18"/>
        </w:rPr>
        <w:t>年度沖縄県地震被害想定調査</w:t>
      </w:r>
    </w:p>
    <w:p>
      <w:pPr>
        <w:pStyle w:val="15"/>
        <w:tabs>
          <w:tab w:val="left" w:leader="none" w:pos="3756"/>
        </w:tabs>
        <w:spacing w:before="1" w:beforeLines="0" w:beforeAutospacing="0" w:after="43" w:afterLines="0" w:afterAutospacing="0"/>
        <w:rPr>
          <w:rFonts w:hint="default"/>
        </w:rPr>
      </w:pPr>
    </w:p>
    <w:p>
      <w:pPr>
        <w:pStyle w:val="15"/>
        <w:spacing w:after="43" w:afterLines="0" w:afterAutospacing="0"/>
        <w:jc w:val="center"/>
        <w:rPr>
          <w:rFonts w:hint="default"/>
          <w:sz w:val="21"/>
        </w:rPr>
      </w:pPr>
      <w:r>
        <w:rPr>
          <w:rFonts w:hint="default"/>
          <w:sz w:val="21"/>
        </w:rPr>
        <w:t>表</w:t>
      </w:r>
      <w:r>
        <w:rPr>
          <w:rFonts w:hint="eastAsia"/>
          <w:sz w:val="21"/>
        </w:rPr>
        <w:t>２　</w:t>
      </w:r>
      <w:r>
        <w:rPr>
          <w:rFonts w:hint="default"/>
          <w:sz w:val="21"/>
        </w:rPr>
        <w:t>想定する</w:t>
      </w:r>
      <w:r>
        <w:rPr>
          <w:rFonts w:hint="eastAsia"/>
          <w:sz w:val="21"/>
        </w:rPr>
        <w:t>風水害</w:t>
      </w:r>
    </w:p>
    <w:tbl>
      <w:tblPr>
        <w:tblStyle w:val="54"/>
        <w:tblW w:w="8669"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1298"/>
        <w:gridCol w:w="7371"/>
      </w:tblGrid>
      <w:tr>
        <w:trPr>
          <w:trHeight w:val="480" w:hRule="atLeast"/>
        </w:trPr>
        <w:tc>
          <w:tcPr>
            <w:tcW w:w="1298" w:type="dxa"/>
            <w:shd w:val="clear" w:color="auto" w:themeFill="background1" w:themeFillTint="FF" w:themeFillShade="D9"/>
            <w:vAlign w:val="center"/>
          </w:tcPr>
          <w:p>
            <w:pPr>
              <w:pStyle w:val="25"/>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項　目</w:t>
            </w:r>
          </w:p>
        </w:tc>
        <w:tc>
          <w:tcPr>
            <w:tcW w:w="7371" w:type="dxa"/>
            <w:shd w:val="clear" w:color="auto" w:themeFill="background1" w:themeFillTint="FF" w:themeFillShade="D9"/>
            <w:vAlign w:val="center"/>
          </w:tcPr>
          <w:p>
            <w:pPr>
              <w:pStyle w:val="25"/>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内　　　　　容</w:t>
            </w:r>
          </w:p>
        </w:tc>
      </w:tr>
      <w:tr>
        <w:trPr>
          <w:trHeight w:val="480" w:hRule="atLeast"/>
        </w:trPr>
        <w:tc>
          <w:tcPr>
            <w:tcW w:w="1298" w:type="dxa"/>
            <w:vAlign w:val="center"/>
          </w:tcPr>
          <w:p>
            <w:pPr>
              <w:pStyle w:val="25"/>
              <w:tabs>
                <w:tab w:val="left" w:leader="none" w:pos="0"/>
                <w:tab w:val="left" w:leader="none" w:pos="1775"/>
                <w:tab w:val="left" w:leader="none" w:pos="2663"/>
              </w:tabs>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想定風水害</w:t>
            </w:r>
          </w:p>
        </w:tc>
        <w:tc>
          <w:tcPr>
            <w:tcW w:w="7371" w:type="dxa"/>
            <w:vAlign w:val="center"/>
          </w:tcPr>
          <w:p>
            <w:pPr>
              <w:pStyle w:val="25"/>
              <w:ind w:left="161" w:leftChars="73" w:firstLine="19" w:firstLineChars="9"/>
              <w:jc w:val="center"/>
              <w:rPr>
                <w:rFonts w:hint="default" w:ascii="HGPｺﾞｼｯｸM" w:hAnsi="HGPｺﾞｼｯｸM" w:eastAsia="HGPｺﾞｼｯｸM"/>
                <w:sz w:val="21"/>
              </w:rPr>
            </w:pPr>
            <w:r>
              <w:rPr>
                <w:rFonts w:hint="eastAsia" w:ascii="HGPｺﾞｼｯｸM" w:hAnsi="HGPｺﾞｼｯｸM" w:eastAsia="HGPｺﾞｼｯｸM"/>
                <w:sz w:val="21"/>
              </w:rPr>
              <w:t>国場川水系国場川、国場川水系宮平川の溢水</w:t>
            </w:r>
          </w:p>
          <w:p>
            <w:pPr>
              <w:pStyle w:val="25"/>
              <w:ind w:left="161" w:leftChars="73" w:firstLine="19" w:firstLineChars="9"/>
              <w:jc w:val="center"/>
              <w:rPr>
                <w:rFonts w:hint="default" w:ascii="HGPｺﾞｼｯｸM" w:hAnsi="HGPｺﾞｼｯｸM" w:eastAsia="HGPｺﾞｼｯｸM"/>
                <w:sz w:val="21"/>
              </w:rPr>
            </w:pPr>
            <w:r>
              <w:rPr>
                <w:rFonts w:hint="eastAsia" w:ascii="HGPｺﾞｼｯｸM" w:hAnsi="HGPｺﾞｼｯｸM" w:eastAsia="HGPｺﾞｼｯｸM"/>
                <w:sz w:val="21"/>
              </w:rPr>
              <w:t>（南風原町宮平～河口、南風原町宮平～国場川合流点）</w:t>
            </w:r>
          </w:p>
        </w:tc>
      </w:tr>
      <w:tr>
        <w:trPr>
          <w:trHeight w:val="480" w:hRule="atLeast"/>
        </w:trPr>
        <w:tc>
          <w:tcPr>
            <w:tcW w:w="1298" w:type="dxa"/>
            <w:vAlign w:val="center"/>
          </w:tcPr>
          <w:p>
            <w:pPr>
              <w:pStyle w:val="25"/>
              <w:tabs>
                <w:tab w:val="left" w:leader="none" w:pos="0"/>
                <w:tab w:val="left" w:leader="none" w:pos="1775"/>
                <w:tab w:val="left" w:leader="none" w:pos="2663"/>
              </w:tabs>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想定降雨</w:t>
            </w:r>
          </w:p>
        </w:tc>
        <w:tc>
          <w:tcPr>
            <w:tcW w:w="7371" w:type="dxa"/>
            <w:vAlign w:val="center"/>
          </w:tcPr>
          <w:p>
            <w:pPr>
              <w:pStyle w:val="25"/>
              <w:ind w:left="161" w:leftChars="73" w:firstLine="19" w:firstLineChars="9"/>
              <w:jc w:val="center"/>
              <w:rPr>
                <w:rFonts w:hint="default" w:ascii="HGPｺﾞｼｯｸM" w:hAnsi="HGPｺﾞｼｯｸM" w:eastAsia="HGPｺﾞｼｯｸM"/>
                <w:sz w:val="21"/>
              </w:rPr>
            </w:pPr>
            <w:r>
              <w:rPr>
                <w:rFonts w:hint="eastAsia" w:ascii="HGPｺﾞｼｯｸM" w:hAnsi="HGPｺﾞｼｯｸM" w:eastAsia="HGPｺﾞｼｯｸM"/>
                <w:sz w:val="21"/>
              </w:rPr>
              <w:t>国場川流域全体に</w:t>
            </w:r>
            <w:r>
              <w:rPr>
                <w:rFonts w:hint="eastAsia" w:ascii="HGPｺﾞｼｯｸM" w:hAnsi="HGPｺﾞｼｯｸM" w:eastAsia="HGPｺﾞｼｯｸM"/>
                <w:sz w:val="21"/>
              </w:rPr>
              <w:t>1</w:t>
            </w:r>
            <w:r>
              <w:rPr>
                <w:rFonts w:hint="eastAsia" w:ascii="HGPｺﾞｼｯｸM" w:hAnsi="HGPｺﾞｼｯｸM" w:eastAsia="HGPｺﾞｼｯｸM"/>
                <w:sz w:val="21"/>
              </w:rPr>
              <w:t>時間あたり</w:t>
            </w:r>
            <w:r>
              <w:rPr>
                <w:rFonts w:hint="eastAsia" w:ascii="HGPｺﾞｼｯｸM" w:hAnsi="HGPｺﾞｼｯｸM" w:eastAsia="HGPｺﾞｼｯｸM"/>
                <w:sz w:val="21"/>
              </w:rPr>
              <w:t>102mm</w:t>
            </w:r>
            <w:r>
              <w:rPr>
                <w:rFonts w:hint="eastAsia" w:ascii="HGPｺﾞｼｯｸM" w:hAnsi="HGPｺﾞｼｯｸM" w:eastAsia="HGPｺﾞｼｯｸM"/>
                <w:sz w:val="21"/>
              </w:rPr>
              <w:t>の降雨を想定（</w:t>
            </w:r>
            <w:r>
              <w:rPr>
                <w:rFonts w:hint="eastAsia" w:ascii="HGPｺﾞｼｯｸM" w:hAnsi="HGPｺﾞｼｯｸM" w:eastAsia="HGPｺﾞｼｯｸM"/>
                <w:sz w:val="21"/>
              </w:rPr>
              <w:t>50</w:t>
            </w:r>
            <w:r>
              <w:rPr>
                <w:rFonts w:hint="eastAsia" w:ascii="HGPｺﾞｼｯｸM" w:hAnsi="HGPｺﾞｼｯｸM" w:eastAsia="HGPｺﾞｼｯｸM"/>
                <w:sz w:val="21"/>
              </w:rPr>
              <w:t>年に</w:t>
            </w:r>
            <w:r>
              <w:rPr>
                <w:rFonts w:hint="eastAsia" w:ascii="HGPｺﾞｼｯｸM" w:hAnsi="HGPｺﾞｼｯｸM" w:eastAsia="HGPｺﾞｼｯｸM"/>
                <w:sz w:val="21"/>
              </w:rPr>
              <w:t>1</w:t>
            </w:r>
            <w:r>
              <w:rPr>
                <w:rFonts w:hint="eastAsia" w:ascii="HGPｺﾞｼｯｸM" w:hAnsi="HGPｺﾞｼｯｸM" w:eastAsia="HGPｺﾞｼｯｸM"/>
                <w:sz w:val="21"/>
              </w:rPr>
              <w:t>回程度起こる大雨）</w:t>
            </w:r>
          </w:p>
        </w:tc>
      </w:tr>
      <w:tr>
        <w:trPr>
          <w:trHeight w:val="480" w:hRule="atLeast"/>
        </w:trPr>
        <w:tc>
          <w:tcPr>
            <w:tcW w:w="1298" w:type="dxa"/>
            <w:vAlign w:val="center"/>
          </w:tcPr>
          <w:p>
            <w:pPr>
              <w:pStyle w:val="25"/>
              <w:tabs>
                <w:tab w:val="left" w:leader="none" w:pos="0"/>
                <w:tab w:val="left" w:leader="none" w:pos="1775"/>
                <w:tab w:val="left" w:leader="none" w:pos="2663"/>
              </w:tabs>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想定被害</w:t>
            </w:r>
          </w:p>
        </w:tc>
        <w:tc>
          <w:tcPr>
            <w:tcW w:w="7371" w:type="dxa"/>
            <w:vAlign w:val="center"/>
          </w:tcPr>
          <w:p>
            <w:pPr>
              <w:pStyle w:val="25"/>
              <w:spacing w:line="317" w:lineRule="exact"/>
              <w:ind w:left="1437" w:leftChars="73" w:hanging="1276"/>
              <w:jc w:val="center"/>
              <w:rPr>
                <w:rFonts w:hint="default" w:ascii="HGPｺﾞｼｯｸM" w:hAnsi="HGPｺﾞｼｯｸM" w:eastAsia="HGPｺﾞｼｯｸM"/>
                <w:sz w:val="21"/>
              </w:rPr>
            </w:pPr>
            <w:r>
              <w:rPr>
                <w:rFonts w:hint="eastAsia" w:ascii="HGPｺﾞｼｯｸM" w:hAnsi="HGPｺﾞｼｯｸM" w:eastAsia="HGPｺﾞｼｯｸM"/>
                <w:sz w:val="21"/>
              </w:rPr>
              <w:t>南風原町兼城、宮平で</w:t>
            </w:r>
            <w:r>
              <w:rPr>
                <w:rFonts w:hint="eastAsia" w:ascii="HGPｺﾞｼｯｸM" w:hAnsi="HGPｺﾞｼｯｸM" w:eastAsia="HGPｺﾞｼｯｸM"/>
                <w:sz w:val="21"/>
              </w:rPr>
              <w:t>1,490</w:t>
            </w:r>
            <w:r>
              <w:rPr>
                <w:rFonts w:hint="eastAsia" w:ascii="HGPｺﾞｼｯｸM" w:hAnsi="HGPｺﾞｼｯｸM" w:eastAsia="HGPｺﾞｼｯｸM"/>
                <w:sz w:val="21"/>
              </w:rPr>
              <w:t>棟が浸水被害</w:t>
            </w:r>
            <w:r>
              <w:rPr>
                <w:rFonts w:hint="eastAsia" w:ascii="HGPｺﾞｼｯｸM" w:hAnsi="HGPｺﾞｼｯｸM" w:eastAsia="HGPｺﾞｼｯｸM"/>
                <w:sz w:val="21"/>
                <w:vertAlign w:val="superscript"/>
              </w:rPr>
              <w:t>※</w:t>
            </w:r>
          </w:p>
        </w:tc>
      </w:tr>
    </w:tbl>
    <w:p>
      <w:pPr>
        <w:pStyle w:val="15"/>
        <w:tabs>
          <w:tab w:val="left" w:leader="none" w:pos="3756"/>
        </w:tabs>
        <w:spacing w:before="1" w:beforeLines="0" w:beforeAutospacing="0" w:after="43" w:afterLines="0" w:afterAutospacing="0"/>
        <w:rPr>
          <w:rFonts w:hint="default"/>
          <w:b w:val="0"/>
          <w:u w:val="none" w:color="auto"/>
        </w:rPr>
      </w:pPr>
      <w:bookmarkStart w:id="6" w:name="_Hlk61905522"/>
      <w:r>
        <w:rPr>
          <w:rFonts w:hint="eastAsia" w:ascii="ＭＳ 明朝" w:hAnsi="ＭＳ 明朝" w:eastAsia="ＭＳ 明朝"/>
          <w:sz w:val="18"/>
        </w:rPr>
        <w:t>出典：</w:t>
      </w:r>
      <w:r>
        <w:rPr>
          <w:rFonts w:hint="eastAsia" w:ascii="ＭＳ 明朝" w:hAnsi="ＭＳ 明朝" w:eastAsia="ＭＳ 明朝"/>
          <w:b w:val="0"/>
          <w:sz w:val="18"/>
          <w:u w:val="none" w:color="auto"/>
        </w:rPr>
        <w:t>令和３年６月修正　沖縄県地域防災計画</w:t>
      </w:r>
    </w:p>
    <w:p>
      <w:pPr>
        <w:pStyle w:val="15"/>
        <w:tabs>
          <w:tab w:val="left" w:leader="none" w:pos="3756"/>
        </w:tabs>
        <w:spacing w:before="1" w:beforeLines="0" w:beforeAutospacing="0" w:after="43" w:afterLines="0" w:afterAutospacing="0"/>
        <w:ind w:firstLine="540" w:firstLineChars="300"/>
        <w:rPr>
          <w:rFonts w:hint="default"/>
        </w:rPr>
      </w:pPr>
      <w:r>
        <w:rPr>
          <w:rFonts w:hint="eastAsia" w:ascii="ＭＳ 明朝" w:hAnsi="ＭＳ 明朝" w:eastAsia="ＭＳ 明朝"/>
          <w:b w:val="0"/>
          <w:sz w:val="18"/>
          <w:u w:val="none" w:color="auto"/>
        </w:rPr>
        <w:t>令和３年度　沖縄県水防計画</w:t>
      </w:r>
    </w:p>
    <w:p>
      <w:pPr>
        <w:pStyle w:val="15"/>
        <w:tabs>
          <w:tab w:val="left" w:leader="none" w:pos="3756"/>
        </w:tabs>
        <w:spacing w:before="1" w:beforeLines="0" w:beforeAutospacing="0" w:after="43" w:afterLines="0" w:afterAutospacing="0"/>
        <w:rPr>
          <w:rFonts w:hint="default" w:ascii="ＭＳ 明朝" w:hAnsi="ＭＳ 明朝" w:eastAsia="ＭＳ 明朝"/>
          <w:sz w:val="18"/>
        </w:rPr>
      </w:pPr>
      <w:r>
        <w:rPr>
          <w:rFonts w:hint="eastAsia" w:ascii="ＭＳ 明朝" w:hAnsi="ＭＳ 明朝" w:eastAsia="ＭＳ 明朝"/>
          <w:sz w:val="18"/>
        </w:rPr>
        <w:t>※災害廃棄物量の発生推計では安全側として全棟床上浸水と想定した。</w:t>
      </w:r>
    </w:p>
    <w:p>
      <w:pPr>
        <w:pStyle w:val="0"/>
        <w:spacing w:after="43" w:afterLines="0" w:afterAutospacing="0" w:line="320" w:lineRule="exact"/>
        <w:jc w:val="center"/>
        <w:rPr>
          <w:rFonts w:hint="default"/>
          <w:sz w:val="21"/>
        </w:rPr>
      </w:pPr>
      <w:bookmarkEnd w:id="6"/>
    </w:p>
    <w:p>
      <w:pPr>
        <w:pStyle w:val="0"/>
        <w:widowControl w:val="1"/>
        <w:autoSpaceDE w:val="1"/>
        <w:autoSpaceDN w:val="1"/>
        <w:rPr>
          <w:rFonts w:hint="default"/>
          <w:sz w:val="21"/>
        </w:rPr>
      </w:pPr>
      <w:r>
        <w:rPr>
          <w:rFonts w:hint="default"/>
          <w:sz w:val="21"/>
        </w:rPr>
        <w:br w:type="page"/>
      </w:r>
    </w:p>
    <w:p>
      <w:pPr>
        <w:pStyle w:val="0"/>
        <w:spacing w:after="43" w:afterLines="0" w:afterAutospacing="0" w:line="320" w:lineRule="exact"/>
        <w:jc w:val="center"/>
        <w:rPr>
          <w:rFonts w:hint="default"/>
          <w:sz w:val="21"/>
        </w:rPr>
      </w:pPr>
      <w:r>
        <w:rPr>
          <w:rFonts w:hint="eastAsia"/>
          <w:sz w:val="21"/>
        </w:rPr>
        <w:t>表３　災害廃棄物の種類</w:t>
      </w:r>
    </w:p>
    <w:tbl>
      <w:tblPr>
        <w:tblStyle w:val="54"/>
        <w:tblW w:w="850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704"/>
        <w:gridCol w:w="2552"/>
        <w:gridCol w:w="5244"/>
      </w:tblGrid>
      <w:tr>
        <w:trPr>
          <w:trHeight w:val="464" w:hRule="exact"/>
        </w:trPr>
        <w:tc>
          <w:tcPr>
            <w:tcW w:w="704" w:type="dxa"/>
            <w:shd w:val="clear" w:color="auto" w:themeFill="background1" w:themeFillTint="FF" w:themeFillShade="D9"/>
            <w:vAlign w:val="center"/>
          </w:tcPr>
          <w:p>
            <w:pPr>
              <w:pStyle w:val="25"/>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区分</w:t>
            </w:r>
          </w:p>
        </w:tc>
        <w:tc>
          <w:tcPr>
            <w:tcW w:w="2552" w:type="dxa"/>
            <w:shd w:val="clear" w:color="auto" w:themeFill="background1" w:themeFillTint="FF" w:themeFillShade="D9"/>
            <w:vAlign w:val="center"/>
          </w:tcPr>
          <w:p>
            <w:pPr>
              <w:pStyle w:val="25"/>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種類</w:t>
            </w:r>
          </w:p>
        </w:tc>
        <w:tc>
          <w:tcPr>
            <w:tcW w:w="5244" w:type="dxa"/>
            <w:shd w:val="clear" w:color="auto" w:themeFill="background1" w:themeFillTint="FF" w:themeFillShade="D9"/>
            <w:vAlign w:val="center"/>
          </w:tcPr>
          <w:p>
            <w:pPr>
              <w:pStyle w:val="25"/>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内容</w:t>
            </w:r>
          </w:p>
        </w:tc>
      </w:tr>
      <w:tr>
        <w:trPr>
          <w:cantSplit/>
          <w:trHeight w:val="647" w:hRule="atLeast"/>
        </w:trPr>
        <w:tc>
          <w:tcPr>
            <w:tcW w:w="704"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textDirection w:val="tbRlV"/>
            <w:vAlign w:val="center"/>
          </w:tcPr>
          <w:p>
            <w:pPr>
              <w:pStyle w:val="25"/>
              <w:spacing w:line="240" w:lineRule="exact"/>
              <w:ind w:left="113" w:right="113"/>
              <w:jc w:val="center"/>
              <w:rPr>
                <w:rFonts w:hint="default" w:ascii="HGPｺﾞｼｯｸM" w:hAnsi="HGPｺﾞｼｯｸM" w:eastAsia="HGPｺﾞｼｯｸM"/>
                <w:sz w:val="21"/>
              </w:rPr>
            </w:pPr>
            <w:r>
              <w:rPr>
                <w:rFonts w:hint="default" w:ascii="HGPｺﾞｼｯｸM" w:hAnsi="HGPｺﾞｼｯｸM" w:eastAsia="HGPｺﾞｼｯｸM"/>
                <w:sz w:val="21"/>
              </w:rPr>
              <w:t>地震や水害等の災害によって発生する廃棄物</w:t>
            </w:r>
          </w:p>
        </w:tc>
        <w:tc>
          <w:tcPr>
            <w:tcW w:w="2552" w:type="dxa"/>
            <w:vAlign w:val="center"/>
          </w:tcPr>
          <w:p>
            <w:pPr>
              <w:pStyle w:val="25"/>
              <w:spacing w:before="14" w:beforeLines="5" w:beforeAutospacing="0" w:after="14" w:afterLines="5" w:afterAutospacing="0" w:line="240" w:lineRule="atLeast"/>
              <w:ind w:left="110" w:leftChars="50" w:right="110" w:rightChars="50"/>
              <w:jc w:val="center"/>
              <w:rPr>
                <w:rFonts w:hint="default" w:ascii="HGPｺﾞｼｯｸM" w:hAnsi="HGPｺﾞｼｯｸM" w:eastAsia="HGPｺﾞｼｯｸM"/>
                <w:sz w:val="21"/>
              </w:rPr>
            </w:pPr>
            <w:r>
              <w:rPr>
                <w:rFonts w:hint="default" w:ascii="HGPｺﾞｼｯｸM" w:hAnsi="HGPｺﾞｼｯｸM" w:eastAsia="HGPｺﾞｼｯｸM"/>
                <w:sz w:val="21"/>
              </w:rPr>
              <w:t>可燃物</w:t>
            </w:r>
          </w:p>
          <w:p>
            <w:pPr>
              <w:pStyle w:val="25"/>
              <w:spacing w:before="14" w:beforeLines="5" w:beforeAutospacing="0" w:after="14" w:afterLines="5" w:afterAutospacing="0" w:line="240" w:lineRule="atLeast"/>
              <w:ind w:left="110" w:leftChars="50" w:right="110" w:rightChars="50"/>
              <w:jc w:val="center"/>
              <w:rPr>
                <w:rFonts w:hint="default" w:ascii="HGPｺﾞｼｯｸM" w:hAnsi="HGPｺﾞｼｯｸM" w:eastAsia="HGPｺﾞｼｯｸM"/>
                <w:sz w:val="21"/>
              </w:rPr>
            </w:pPr>
            <w:r>
              <w:rPr>
                <w:rFonts w:hint="eastAsia" w:ascii="HGPｺﾞｼｯｸM" w:hAnsi="HGPｺﾞｼｯｸM" w:eastAsia="HGPｺﾞｼｯｸM"/>
                <w:sz w:val="21"/>
              </w:rPr>
              <w:t>可燃系混合物</w:t>
            </w:r>
          </w:p>
        </w:tc>
        <w:tc>
          <w:tcPr>
            <w:tcW w:w="5244" w:type="dxa"/>
            <w:vAlign w:val="center"/>
          </w:tcPr>
          <w:p>
            <w:pPr>
              <w:pStyle w:val="25"/>
              <w:spacing w:before="14" w:beforeLines="5" w:beforeAutospacing="0" w:after="14" w:afterLines="5" w:afterAutospacing="0" w:line="240" w:lineRule="atLeast"/>
              <w:ind w:left="102" w:right="110" w:rightChars="50"/>
              <w:jc w:val="both"/>
              <w:rPr>
                <w:rFonts w:hint="default" w:ascii="HGPｺﾞｼｯｸM" w:hAnsi="HGPｺﾞｼｯｸM" w:eastAsia="HGPｺﾞｼｯｸM"/>
                <w:sz w:val="18"/>
              </w:rPr>
            </w:pPr>
            <w:r>
              <w:rPr>
                <w:rFonts w:hint="default" w:ascii="HGPｺﾞｼｯｸM" w:hAnsi="HGPｺﾞｼｯｸM" w:eastAsia="HGPｺﾞｼｯｸM"/>
                <w:sz w:val="18"/>
              </w:rPr>
              <w:t>繊維類、紙、木くず、プラスチック等が混在した</w:t>
            </w:r>
            <w:r>
              <w:rPr>
                <w:rFonts w:hint="eastAsia" w:ascii="HGPｺﾞｼｯｸM" w:hAnsi="HGPｺﾞｼｯｸM" w:eastAsia="HGPｺﾞｼｯｸM"/>
                <w:sz w:val="18"/>
              </w:rPr>
              <w:t>可燃系</w:t>
            </w:r>
            <w:r>
              <w:rPr>
                <w:rFonts w:hint="default" w:ascii="HGPｺﾞｼｯｸM" w:hAnsi="HGPｺﾞｼｯｸM" w:eastAsia="HGPｺﾞｼｯｸM"/>
                <w:sz w:val="18"/>
              </w:rPr>
              <w:t>廃棄物</w:t>
            </w:r>
          </w:p>
        </w:tc>
      </w:tr>
      <w:tr>
        <w:trPr>
          <w:cantSplit/>
          <w:trHeight w:val="614" w:hRule="atLeast"/>
        </w:trPr>
        <w:tc>
          <w:tcPr>
            <w:tcW w:w="704" w:type="dxa"/>
            <w:vMerge w:val="continue"/>
            <w:vAlign w:val="top"/>
          </w:tcPr>
          <w:p>
            <w:pPr>
              <w:pStyle w:val="0"/>
              <w:spacing w:line="240" w:lineRule="exact"/>
              <w:rPr>
                <w:rFonts w:hint="default" w:ascii="HGPｺﾞｼｯｸM" w:hAnsi="HGPｺﾞｼｯｸM" w:eastAsia="HGPｺﾞｼｯｸM"/>
                <w:sz w:val="21"/>
              </w:rPr>
            </w:pPr>
          </w:p>
        </w:tc>
        <w:tc>
          <w:tcPr>
            <w:tcW w:w="2552" w:type="dxa"/>
            <w:vAlign w:val="center"/>
          </w:tcPr>
          <w:p>
            <w:pPr>
              <w:pStyle w:val="25"/>
              <w:spacing w:before="14" w:beforeLines="5" w:beforeAutospacing="0" w:after="14" w:afterLines="5" w:afterAutospacing="0" w:line="240" w:lineRule="atLeast"/>
              <w:ind w:left="110" w:leftChars="50" w:right="110" w:rightChars="50"/>
              <w:jc w:val="center"/>
              <w:rPr>
                <w:rFonts w:hint="default" w:ascii="HGPｺﾞｼｯｸM" w:hAnsi="HGPｺﾞｼｯｸM" w:eastAsia="HGPｺﾞｼｯｸM"/>
                <w:sz w:val="21"/>
              </w:rPr>
            </w:pPr>
            <w:r>
              <w:rPr>
                <w:rFonts w:hint="eastAsia" w:ascii="HGPｺﾞｼｯｸM" w:hAnsi="HGPｺﾞｼｯｸM" w:eastAsia="HGPｺﾞｼｯｸM"/>
                <w:sz w:val="21"/>
              </w:rPr>
              <w:t>木くず</w:t>
            </w:r>
          </w:p>
        </w:tc>
        <w:tc>
          <w:tcPr>
            <w:tcW w:w="5244" w:type="dxa"/>
            <w:vAlign w:val="center"/>
          </w:tcPr>
          <w:p>
            <w:pPr>
              <w:pStyle w:val="25"/>
              <w:spacing w:before="14" w:beforeLines="5" w:beforeAutospacing="0" w:after="14" w:afterLines="5" w:afterAutospacing="0" w:line="240" w:lineRule="atLeast"/>
              <w:ind w:left="100" w:right="110" w:rightChars="50"/>
              <w:jc w:val="both"/>
              <w:rPr>
                <w:rFonts w:hint="default" w:ascii="HGPｺﾞｼｯｸM" w:hAnsi="HGPｺﾞｼｯｸM" w:eastAsia="HGPｺﾞｼｯｸM"/>
                <w:sz w:val="18"/>
              </w:rPr>
            </w:pPr>
            <w:r>
              <w:rPr>
                <w:rFonts w:hint="default" w:ascii="HGPｺﾞｼｯｸM" w:hAnsi="HGPｺﾞｼｯｸM" w:eastAsia="HGPｺﾞｼｯｸM"/>
                <w:sz w:val="18"/>
              </w:rPr>
              <w:t>柱・</w:t>
            </w:r>
            <w:r>
              <w:rPr>
                <w:rFonts w:hint="eastAsia" w:ascii="HGPｺﾞｼｯｸM" w:hAnsi="HGPｺﾞｼｯｸM" w:eastAsia="HGPｺﾞｼｯｸM"/>
                <w:sz w:val="18"/>
              </w:rPr>
              <w:t>はり</w:t>
            </w:r>
            <w:r>
              <w:rPr>
                <w:rFonts w:hint="default" w:ascii="HGPｺﾞｼｯｸM" w:hAnsi="HGPｺﾞｼｯｸM" w:eastAsia="HGPｺﾞｼｯｸM"/>
                <w:sz w:val="18"/>
              </w:rPr>
              <w:t>・壁材など</w:t>
            </w:r>
            <w:r>
              <w:rPr>
                <w:rFonts w:hint="eastAsia" w:ascii="HGPｺﾞｼｯｸM" w:hAnsi="HGPｺﾞｼｯｸM" w:eastAsia="HGPｺﾞｼｯｸM"/>
                <w:sz w:val="18"/>
              </w:rPr>
              <w:t>の廃木材</w:t>
            </w:r>
          </w:p>
        </w:tc>
      </w:tr>
      <w:tr>
        <w:trPr>
          <w:cantSplit/>
          <w:trHeight w:val="637" w:hRule="atLeast"/>
        </w:trPr>
        <w:tc>
          <w:tcPr>
            <w:tcW w:w="704" w:type="dxa"/>
            <w:vMerge w:val="continue"/>
            <w:vAlign w:val="top"/>
          </w:tcPr>
          <w:p>
            <w:pPr>
              <w:pStyle w:val="0"/>
              <w:spacing w:line="240" w:lineRule="exact"/>
              <w:rPr>
                <w:rFonts w:hint="default" w:ascii="HGPｺﾞｼｯｸM" w:hAnsi="HGPｺﾞｼｯｸM" w:eastAsia="HGPｺﾞｼｯｸM"/>
                <w:sz w:val="21"/>
              </w:rPr>
            </w:pPr>
          </w:p>
        </w:tc>
        <w:tc>
          <w:tcPr>
            <w:tcW w:w="2552" w:type="dxa"/>
            <w:vAlign w:val="center"/>
          </w:tcPr>
          <w:p>
            <w:pPr>
              <w:pStyle w:val="25"/>
              <w:spacing w:before="14" w:beforeLines="5" w:beforeAutospacing="0" w:after="14" w:afterLines="5" w:afterAutospacing="0" w:line="240" w:lineRule="atLeast"/>
              <w:ind w:left="110" w:leftChars="50" w:right="110" w:rightChars="50"/>
              <w:jc w:val="center"/>
              <w:rPr>
                <w:rFonts w:hint="default" w:ascii="HGPｺﾞｼｯｸM" w:hAnsi="HGPｺﾞｼｯｸM" w:eastAsia="HGPｺﾞｼｯｸM"/>
                <w:sz w:val="21"/>
              </w:rPr>
            </w:pPr>
            <w:r>
              <w:rPr>
                <w:rFonts w:hint="eastAsia" w:ascii="HGPｺﾞｼｯｸM" w:hAnsi="HGPｺﾞｼｯｸM" w:eastAsia="HGPｺﾞｼｯｸM"/>
                <w:sz w:val="21"/>
              </w:rPr>
              <w:t>畳・布団</w:t>
            </w:r>
          </w:p>
        </w:tc>
        <w:tc>
          <w:tcPr>
            <w:tcW w:w="5244" w:type="dxa"/>
            <w:vAlign w:val="center"/>
          </w:tcPr>
          <w:p>
            <w:pPr>
              <w:pStyle w:val="25"/>
              <w:spacing w:before="14" w:beforeLines="5" w:beforeAutospacing="0" w:after="14" w:afterLines="5" w:afterAutospacing="0" w:line="240" w:lineRule="atLeast"/>
              <w:ind w:left="100" w:right="110" w:rightChars="50"/>
              <w:jc w:val="both"/>
              <w:rPr>
                <w:rFonts w:hint="default" w:ascii="HGPｺﾞｼｯｸM" w:hAnsi="HGPｺﾞｼｯｸM" w:eastAsia="HGPｺﾞｼｯｸM"/>
                <w:sz w:val="18"/>
              </w:rPr>
            </w:pPr>
            <w:r>
              <w:rPr>
                <w:rFonts w:hint="eastAsia" w:ascii="HGPｺﾞｼｯｸM" w:hAnsi="HGPｺﾞｼｯｸM" w:eastAsia="HGPｺﾞｼｯｸM"/>
                <w:sz w:val="18"/>
              </w:rPr>
              <w:t>被災家屋から排出される畳・布団であり、被害を受け使用できなくなったもの</w:t>
            </w:r>
          </w:p>
        </w:tc>
      </w:tr>
      <w:tr>
        <w:trPr>
          <w:cantSplit/>
          <w:trHeight w:val="1195" w:hRule="atLeast"/>
        </w:trPr>
        <w:tc>
          <w:tcPr>
            <w:tcW w:w="704" w:type="dxa"/>
            <w:vMerge w:val="continue"/>
            <w:vAlign w:val="top"/>
          </w:tcPr>
          <w:p>
            <w:pPr>
              <w:pStyle w:val="0"/>
              <w:spacing w:line="240" w:lineRule="exact"/>
              <w:rPr>
                <w:rFonts w:hint="default" w:ascii="HGPｺﾞｼｯｸM" w:hAnsi="HGPｺﾞｼｯｸM" w:eastAsia="HGPｺﾞｼｯｸM"/>
                <w:sz w:val="21"/>
              </w:rPr>
            </w:pPr>
          </w:p>
        </w:tc>
        <w:tc>
          <w:tcPr>
            <w:tcW w:w="2552" w:type="dxa"/>
            <w:vAlign w:val="center"/>
          </w:tcPr>
          <w:p>
            <w:pPr>
              <w:pStyle w:val="25"/>
              <w:spacing w:before="14" w:beforeLines="5" w:beforeAutospacing="0" w:after="14" w:afterLines="5" w:afterAutospacing="0" w:line="240" w:lineRule="atLeast"/>
              <w:ind w:left="110" w:leftChars="50" w:right="110" w:rightChars="50"/>
              <w:jc w:val="center"/>
              <w:rPr>
                <w:rFonts w:hint="default" w:ascii="HGPｺﾞｼｯｸM" w:hAnsi="HGPｺﾞｼｯｸM" w:eastAsia="HGPｺﾞｼｯｸM"/>
                <w:sz w:val="21"/>
              </w:rPr>
            </w:pPr>
            <w:r>
              <w:rPr>
                <w:rFonts w:hint="default" w:ascii="HGPｺﾞｼｯｸM" w:hAnsi="HGPｺﾞｼｯｸM" w:eastAsia="HGPｺﾞｼｯｸM"/>
                <w:sz w:val="21"/>
              </w:rPr>
              <w:t>不燃物</w:t>
            </w:r>
          </w:p>
          <w:p>
            <w:pPr>
              <w:pStyle w:val="25"/>
              <w:spacing w:before="14" w:beforeLines="5" w:beforeAutospacing="0" w:after="14" w:afterLines="5" w:afterAutospacing="0" w:line="240" w:lineRule="atLeast"/>
              <w:ind w:left="110" w:leftChars="50" w:right="110" w:rightChars="50"/>
              <w:jc w:val="center"/>
              <w:rPr>
                <w:rFonts w:hint="default" w:ascii="HGPｺﾞｼｯｸM" w:hAnsi="HGPｺﾞｼｯｸM" w:eastAsia="HGPｺﾞｼｯｸM"/>
                <w:sz w:val="21"/>
              </w:rPr>
            </w:pPr>
            <w:r>
              <w:rPr>
                <w:rFonts w:hint="eastAsia" w:ascii="HGPｺﾞｼｯｸM" w:hAnsi="HGPｺﾞｼｯｸM" w:eastAsia="HGPｺﾞｼｯｸM"/>
                <w:sz w:val="21"/>
              </w:rPr>
              <w:t>不燃系混合物</w:t>
            </w:r>
          </w:p>
        </w:tc>
        <w:tc>
          <w:tcPr>
            <w:tcW w:w="5244" w:type="dxa"/>
            <w:vAlign w:val="center"/>
          </w:tcPr>
          <w:p>
            <w:pPr>
              <w:pStyle w:val="25"/>
              <w:spacing w:before="14" w:beforeLines="5" w:beforeAutospacing="0" w:after="14" w:afterLines="5" w:afterAutospacing="0" w:line="240" w:lineRule="atLeast"/>
              <w:ind w:left="102" w:right="110" w:rightChars="50"/>
              <w:jc w:val="both"/>
              <w:rPr>
                <w:rFonts w:hint="default" w:ascii="HGPｺﾞｼｯｸM" w:hAnsi="HGPｺﾞｼｯｸM" w:eastAsia="HGPｺﾞｼｯｸM"/>
                <w:spacing w:val="-11"/>
                <w:sz w:val="18"/>
              </w:rPr>
            </w:pPr>
            <w:r>
              <w:rPr>
                <w:rFonts w:hint="default" w:ascii="HGPｺﾞｼｯｸM" w:hAnsi="HGPｺﾞｼｯｸM" w:eastAsia="HGPｺﾞｼｯｸM"/>
                <w:sz w:val="18"/>
              </w:rPr>
              <w:t>分別することができない細かなコンクリートや木</w:t>
            </w:r>
            <w:r>
              <w:rPr>
                <w:rFonts w:hint="default" w:ascii="HGPｺﾞｼｯｸM" w:hAnsi="HGPｺﾞｼｯｸM" w:eastAsia="HGPｺﾞｼｯｸM"/>
                <w:spacing w:val="-11"/>
                <w:sz w:val="18"/>
              </w:rPr>
              <w:t>くず、プラスチック、ガラス、土砂</w:t>
            </w:r>
            <w:r>
              <w:rPr>
                <w:rFonts w:hint="eastAsia" w:ascii="HGPｺﾞｼｯｸM" w:hAnsi="HGPｺﾞｼｯｸM" w:eastAsia="HGPｺﾞｼｯｸM"/>
                <w:spacing w:val="-11"/>
                <w:sz w:val="18"/>
              </w:rPr>
              <w:t>（土砂崩れにより崩壊した土砂等）</w:t>
            </w:r>
            <w:r>
              <w:rPr>
                <w:rFonts w:hint="default" w:ascii="HGPｺﾞｼｯｸM" w:hAnsi="HGPｺﾞｼｯｸM" w:eastAsia="HGPｺﾞｼｯｸM"/>
                <w:spacing w:val="-11"/>
                <w:sz w:val="18"/>
              </w:rPr>
              <w:t>などが混在し、概ね不燃</w:t>
            </w:r>
            <w:r>
              <w:rPr>
                <w:rFonts w:hint="eastAsia" w:ascii="HGPｺﾞｼｯｸM" w:hAnsi="HGPｺﾞｼｯｸM" w:eastAsia="HGPｺﾞｼｯｸM"/>
                <w:spacing w:val="-11"/>
                <w:sz w:val="18"/>
              </w:rPr>
              <w:t>系</w:t>
            </w:r>
            <w:r>
              <w:rPr>
                <w:rFonts w:hint="default" w:ascii="HGPｺﾞｼｯｸM" w:hAnsi="HGPｺﾞｼｯｸM" w:eastAsia="HGPｺﾞｼｯｸM"/>
                <w:spacing w:val="-11"/>
                <w:sz w:val="18"/>
              </w:rPr>
              <w:t>の廃棄物</w:t>
            </w:r>
          </w:p>
        </w:tc>
      </w:tr>
      <w:tr>
        <w:trPr>
          <w:cantSplit/>
          <w:trHeight w:val="637" w:hRule="atLeast"/>
        </w:trPr>
        <w:tc>
          <w:tcPr>
            <w:tcW w:w="704" w:type="dxa"/>
            <w:vMerge w:val="continue"/>
            <w:vAlign w:val="top"/>
          </w:tcPr>
          <w:p>
            <w:pPr>
              <w:pStyle w:val="0"/>
              <w:spacing w:line="240" w:lineRule="exact"/>
              <w:rPr>
                <w:rFonts w:hint="default" w:ascii="HGPｺﾞｼｯｸM" w:hAnsi="HGPｺﾞｼｯｸM" w:eastAsia="HGPｺﾞｼｯｸM"/>
                <w:sz w:val="21"/>
              </w:rPr>
            </w:pPr>
          </w:p>
        </w:tc>
        <w:tc>
          <w:tcPr>
            <w:tcW w:w="2552" w:type="dxa"/>
            <w:vAlign w:val="center"/>
          </w:tcPr>
          <w:p>
            <w:pPr>
              <w:pStyle w:val="25"/>
              <w:spacing w:before="14" w:beforeLines="5" w:beforeAutospacing="0" w:after="14" w:afterLines="5" w:afterAutospacing="0" w:line="240" w:lineRule="atLeast"/>
              <w:ind w:left="110" w:leftChars="50" w:right="110" w:rightChars="50"/>
              <w:jc w:val="center"/>
              <w:rPr>
                <w:rFonts w:hint="default" w:ascii="HGPｺﾞｼｯｸM" w:hAnsi="HGPｺﾞｼｯｸM" w:eastAsia="HGPｺﾞｼｯｸM"/>
                <w:sz w:val="21"/>
              </w:rPr>
            </w:pPr>
            <w:r>
              <w:rPr>
                <w:rFonts w:hint="eastAsia" w:ascii="HGPｺﾞｼｯｸM" w:hAnsi="HGPｺﾞｼｯｸM" w:eastAsia="HGPｺﾞｼｯｸM"/>
                <w:sz w:val="21"/>
              </w:rPr>
              <w:t>コンクリートがら等</w:t>
            </w:r>
          </w:p>
        </w:tc>
        <w:tc>
          <w:tcPr>
            <w:tcW w:w="5244" w:type="dxa"/>
            <w:vAlign w:val="center"/>
          </w:tcPr>
          <w:p>
            <w:pPr>
              <w:pStyle w:val="25"/>
              <w:spacing w:before="14" w:beforeLines="5" w:beforeAutospacing="0" w:after="14" w:afterLines="5" w:afterAutospacing="0" w:line="240" w:lineRule="atLeast"/>
              <w:ind w:left="100" w:right="110" w:rightChars="50"/>
              <w:jc w:val="both"/>
              <w:rPr>
                <w:rFonts w:hint="default" w:ascii="HGPｺﾞｼｯｸM" w:hAnsi="HGPｺﾞｼｯｸM" w:eastAsia="HGPｺﾞｼｯｸM"/>
                <w:sz w:val="18"/>
              </w:rPr>
            </w:pPr>
            <w:r>
              <w:rPr>
                <w:rFonts w:hint="default" w:ascii="HGPｺﾞｼｯｸM" w:hAnsi="HGPｺﾞｼｯｸM" w:eastAsia="HGPｺﾞｼｯｸM"/>
                <w:sz w:val="18"/>
              </w:rPr>
              <w:t>コンクリート片やコンクリートブロック、アスファルト</w:t>
            </w:r>
            <w:r>
              <w:rPr>
                <w:rFonts w:hint="eastAsia" w:ascii="HGPｺﾞｼｯｸM" w:hAnsi="HGPｺﾞｼｯｸM" w:eastAsia="HGPｺﾞｼｯｸM"/>
                <w:sz w:val="18"/>
              </w:rPr>
              <w:t>くず</w:t>
            </w:r>
            <w:r>
              <w:rPr>
                <w:rFonts w:hint="default" w:ascii="HGPｺﾞｼｯｸM" w:hAnsi="HGPｺﾞｼｯｸM" w:eastAsia="HGPｺﾞｼｯｸM"/>
                <w:sz w:val="18"/>
              </w:rPr>
              <w:t>など</w:t>
            </w:r>
          </w:p>
        </w:tc>
      </w:tr>
      <w:tr>
        <w:trPr>
          <w:cantSplit/>
          <w:trHeight w:val="607" w:hRule="atLeast"/>
        </w:trPr>
        <w:tc>
          <w:tcPr>
            <w:tcW w:w="704" w:type="dxa"/>
            <w:vMerge w:val="continue"/>
            <w:vAlign w:val="top"/>
          </w:tcPr>
          <w:p>
            <w:pPr>
              <w:pStyle w:val="0"/>
              <w:spacing w:line="240" w:lineRule="exact"/>
              <w:rPr>
                <w:rFonts w:hint="default" w:ascii="HGPｺﾞｼｯｸM" w:hAnsi="HGPｺﾞｼｯｸM" w:eastAsia="HGPｺﾞｼｯｸM"/>
                <w:sz w:val="21"/>
              </w:rPr>
            </w:pPr>
          </w:p>
        </w:tc>
        <w:tc>
          <w:tcPr>
            <w:tcW w:w="2552" w:type="dxa"/>
            <w:vAlign w:val="center"/>
          </w:tcPr>
          <w:p>
            <w:pPr>
              <w:pStyle w:val="25"/>
              <w:spacing w:before="14" w:beforeLines="5" w:beforeAutospacing="0" w:after="14" w:afterLines="5" w:afterAutospacing="0" w:line="240" w:lineRule="atLeast"/>
              <w:ind w:left="110" w:leftChars="50" w:right="110" w:rightChars="50"/>
              <w:jc w:val="center"/>
              <w:rPr>
                <w:rFonts w:hint="default" w:ascii="HGPｺﾞｼｯｸM" w:hAnsi="HGPｺﾞｼｯｸM" w:eastAsia="HGPｺﾞｼｯｸM"/>
                <w:sz w:val="21"/>
              </w:rPr>
            </w:pPr>
            <w:r>
              <w:rPr>
                <w:rFonts w:hint="eastAsia" w:ascii="HGPｺﾞｼｯｸM" w:hAnsi="HGPｺﾞｼｯｸM" w:eastAsia="HGPｺﾞｼｯｸM"/>
                <w:sz w:val="21"/>
              </w:rPr>
              <w:t>金属くず</w:t>
            </w:r>
          </w:p>
        </w:tc>
        <w:tc>
          <w:tcPr>
            <w:tcW w:w="5244" w:type="dxa"/>
            <w:vAlign w:val="center"/>
          </w:tcPr>
          <w:p>
            <w:pPr>
              <w:pStyle w:val="25"/>
              <w:spacing w:before="14" w:beforeLines="5" w:beforeAutospacing="0" w:after="14" w:afterLines="5" w:afterAutospacing="0" w:line="240" w:lineRule="atLeast"/>
              <w:ind w:left="102" w:right="110" w:rightChars="50"/>
              <w:jc w:val="both"/>
              <w:rPr>
                <w:rFonts w:hint="default" w:ascii="HGPｺﾞｼｯｸM" w:hAnsi="HGPｺﾞｼｯｸM" w:eastAsia="HGPｺﾞｼｯｸM"/>
                <w:sz w:val="18"/>
              </w:rPr>
            </w:pPr>
            <w:r>
              <w:rPr>
                <w:rFonts w:hint="default" w:ascii="HGPｺﾞｼｯｸM" w:hAnsi="HGPｺﾞｼｯｸM" w:eastAsia="HGPｺﾞｼｯｸM"/>
                <w:sz w:val="18"/>
              </w:rPr>
              <w:t>鉄骨や鉄筋、アルミ材など</w:t>
            </w:r>
          </w:p>
        </w:tc>
      </w:tr>
      <w:tr>
        <w:trPr>
          <w:cantSplit/>
          <w:trHeight w:val="1268" w:hRule="atLeast"/>
        </w:trPr>
        <w:tc>
          <w:tcPr>
            <w:tcW w:w="704" w:type="dxa"/>
            <w:vMerge w:val="continue"/>
            <w:vAlign w:val="top"/>
          </w:tcPr>
          <w:p>
            <w:pPr>
              <w:pStyle w:val="0"/>
              <w:spacing w:line="240" w:lineRule="exact"/>
              <w:rPr>
                <w:rFonts w:hint="default" w:ascii="HGPｺﾞｼｯｸM" w:hAnsi="HGPｺﾞｼｯｸM" w:eastAsia="HGPｺﾞｼｯｸM"/>
                <w:sz w:val="21"/>
              </w:rPr>
            </w:pPr>
          </w:p>
        </w:tc>
        <w:tc>
          <w:tcPr>
            <w:tcW w:w="2552" w:type="dxa"/>
            <w:vAlign w:val="center"/>
          </w:tcPr>
          <w:p>
            <w:pPr>
              <w:pStyle w:val="25"/>
              <w:spacing w:before="14" w:beforeLines="5" w:beforeAutospacing="0" w:after="14" w:afterLines="5" w:afterAutospacing="0" w:line="240" w:lineRule="atLeast"/>
              <w:ind w:left="110" w:leftChars="50" w:right="110" w:rightChars="50"/>
              <w:jc w:val="center"/>
              <w:rPr>
                <w:rFonts w:hint="default" w:ascii="HGPｺﾞｼｯｸM" w:hAnsi="HGPｺﾞｼｯｸM" w:eastAsia="HGPｺﾞｼｯｸM"/>
                <w:sz w:val="21"/>
              </w:rPr>
            </w:pPr>
            <w:r>
              <w:rPr>
                <w:rFonts w:hint="eastAsia" w:ascii="HGPｺﾞｼｯｸM" w:hAnsi="HGPｺﾞｼｯｸM" w:eastAsia="HGPｺﾞｼｯｸM"/>
                <w:sz w:val="21"/>
              </w:rPr>
              <w:t>廃家電（</w:t>
            </w:r>
            <w:r>
              <w:rPr>
                <w:rFonts w:hint="eastAsia" w:ascii="HGPｺﾞｼｯｸM" w:hAnsi="HGPｺﾞｼｯｸM" w:eastAsia="HGPｺﾞｼｯｸM"/>
                <w:sz w:val="21"/>
              </w:rPr>
              <w:t>4</w:t>
            </w:r>
            <w:r>
              <w:rPr>
                <w:rFonts w:hint="eastAsia" w:ascii="HGPｺﾞｼｯｸM" w:hAnsi="HGPｺﾞｼｯｸM" w:eastAsia="HGPｺﾞｼｯｸM"/>
                <w:sz w:val="21"/>
              </w:rPr>
              <w:t>品目）</w:t>
            </w:r>
          </w:p>
        </w:tc>
        <w:tc>
          <w:tcPr>
            <w:tcW w:w="5244" w:type="dxa"/>
            <w:vAlign w:val="center"/>
          </w:tcPr>
          <w:p>
            <w:pPr>
              <w:pStyle w:val="25"/>
              <w:spacing w:before="14" w:beforeLines="5" w:beforeAutospacing="0" w:after="14" w:afterLines="5" w:afterAutospacing="0" w:line="240" w:lineRule="atLeast"/>
              <w:ind w:left="100" w:right="110" w:rightChars="50"/>
              <w:jc w:val="both"/>
              <w:rPr>
                <w:rFonts w:hint="default" w:ascii="HGPｺﾞｼｯｸM" w:hAnsi="HGPｺﾞｼｯｸM" w:eastAsia="HGPｺﾞｼｯｸM"/>
                <w:sz w:val="18"/>
              </w:rPr>
            </w:pPr>
            <w:r>
              <w:rPr>
                <w:rFonts w:hint="default" w:ascii="HGPｺﾞｼｯｸM" w:hAnsi="HGPｺﾞｼｯｸM" w:eastAsia="HGPｺﾞｼｯｸM"/>
                <w:sz w:val="18"/>
              </w:rPr>
              <w:t>被災家屋から排出される</w:t>
            </w:r>
            <w:r>
              <w:rPr>
                <w:rFonts w:hint="eastAsia" w:ascii="HGPｺﾞｼｯｸM" w:hAnsi="HGPｺﾞｼｯｸM" w:eastAsia="HGPｺﾞｼｯｸM"/>
                <w:sz w:val="18"/>
              </w:rPr>
              <w:t>家電４品目（</w:t>
            </w:r>
            <w:r>
              <w:rPr>
                <w:rFonts w:hint="default" w:ascii="HGPｺﾞｼｯｸM" w:hAnsi="HGPｺﾞｼｯｸM" w:eastAsia="HGPｺﾞｼｯｸM"/>
                <w:sz w:val="18"/>
              </w:rPr>
              <w:t>テレビ、洗濯機</w:t>
            </w:r>
            <w:r>
              <w:rPr>
                <w:rFonts w:hint="eastAsia" w:ascii="HGPｺﾞｼｯｸM" w:hAnsi="HGPｺﾞｼｯｸM" w:eastAsia="HGPｺﾞｼｯｸM"/>
                <w:sz w:val="18"/>
              </w:rPr>
              <w:t>・衣類乾燥機</w:t>
            </w:r>
            <w:r>
              <w:rPr>
                <w:rFonts w:hint="default" w:ascii="HGPｺﾞｼｯｸM" w:hAnsi="HGPｺﾞｼｯｸM" w:eastAsia="HGPｺﾞｼｯｸM"/>
                <w:sz w:val="18"/>
              </w:rPr>
              <w:t>、エアコン</w:t>
            </w:r>
            <w:r>
              <w:rPr>
                <w:rFonts w:hint="eastAsia" w:ascii="HGPｺﾞｼｯｸM" w:hAnsi="HGPｺﾞｼｯｸM" w:eastAsia="HGPｺﾞｼｯｸM"/>
                <w:sz w:val="18"/>
              </w:rPr>
              <w:t>、冷蔵庫・冷凍庫）</w:t>
            </w:r>
            <w:r>
              <w:rPr>
                <w:rFonts w:hint="default" w:ascii="HGPｺﾞｼｯｸM" w:hAnsi="HGPｺﾞｼｯｸM" w:eastAsia="HGPｺﾞｼｯｸM"/>
                <w:sz w:val="18"/>
              </w:rPr>
              <w:t>で、災害により被害を受け使用できなくなったもの</w:t>
            </w:r>
          </w:p>
          <w:p>
            <w:pPr>
              <w:pStyle w:val="25"/>
              <w:spacing w:before="14" w:beforeLines="5" w:beforeAutospacing="0" w:after="14" w:afterLines="5" w:afterAutospacing="0" w:line="240" w:lineRule="atLeast"/>
              <w:ind w:left="417" w:right="110" w:rightChars="50" w:hanging="317"/>
              <w:jc w:val="both"/>
              <w:rPr>
                <w:rFonts w:hint="default" w:ascii="HGPｺﾞｼｯｸM" w:hAnsi="HGPｺﾞｼｯｸM" w:eastAsia="HGPｺﾞｼｯｸM"/>
                <w:sz w:val="18"/>
              </w:rPr>
            </w:pPr>
            <w:r>
              <w:rPr>
                <w:rFonts w:hint="default" w:ascii="HGPｺﾞｼｯｸM" w:hAnsi="HGPｺﾞｼｯｸM" w:eastAsia="HGPｺﾞｼｯｸM"/>
                <w:sz w:val="18"/>
              </w:rPr>
              <w:t>※</w:t>
            </w:r>
            <w:r>
              <w:rPr>
                <w:rFonts w:hint="default" w:ascii="HGPｺﾞｼｯｸM" w:hAnsi="HGPｺﾞｼｯｸM" w:eastAsia="HGPｺﾞｼｯｸM"/>
                <w:sz w:val="18"/>
              </w:rPr>
              <w:t>リサイクル可能なものは各リサイクル法により処理を行う</w:t>
            </w:r>
            <w:r>
              <w:rPr>
                <w:rFonts w:hint="eastAsia" w:ascii="HGPｺﾞｼｯｸM" w:hAnsi="HGPｺﾞｼｯｸM" w:eastAsia="HGPｺﾞｼｯｸM"/>
                <w:sz w:val="18"/>
              </w:rPr>
              <w:t>。</w:t>
            </w:r>
          </w:p>
        </w:tc>
      </w:tr>
      <w:tr>
        <w:trPr>
          <w:cantSplit/>
          <w:trHeight w:val="705" w:hRule="atLeast"/>
        </w:trPr>
        <w:tc>
          <w:tcPr>
            <w:tcW w:w="704" w:type="dxa"/>
            <w:vMerge w:val="continue"/>
            <w:vAlign w:val="top"/>
          </w:tcPr>
          <w:p>
            <w:pPr>
              <w:pStyle w:val="0"/>
              <w:spacing w:line="240" w:lineRule="exact"/>
              <w:rPr>
                <w:rFonts w:hint="default" w:ascii="HGPｺﾞｼｯｸM" w:hAnsi="HGPｺﾞｼｯｸM" w:eastAsia="HGPｺﾞｼｯｸM"/>
                <w:sz w:val="21"/>
              </w:rPr>
            </w:pPr>
          </w:p>
        </w:tc>
        <w:tc>
          <w:tcPr>
            <w:tcW w:w="2552" w:type="dxa"/>
            <w:vAlign w:val="center"/>
          </w:tcPr>
          <w:p>
            <w:pPr>
              <w:pStyle w:val="25"/>
              <w:spacing w:before="14" w:beforeLines="5" w:beforeAutospacing="0" w:after="14" w:afterLines="5" w:afterAutospacing="0" w:line="240" w:lineRule="atLeast"/>
              <w:ind w:left="110" w:leftChars="50" w:right="110" w:rightChars="50"/>
              <w:jc w:val="center"/>
              <w:rPr>
                <w:rFonts w:hint="default" w:ascii="HGPｺﾞｼｯｸM" w:hAnsi="HGPｺﾞｼｯｸM" w:eastAsia="HGPｺﾞｼｯｸM"/>
                <w:sz w:val="21"/>
              </w:rPr>
            </w:pPr>
            <w:r>
              <w:rPr>
                <w:rFonts w:hint="eastAsia" w:ascii="HGPｺﾞｼｯｸM" w:hAnsi="HGPｺﾞｼｯｸM" w:eastAsia="HGPｺﾞｼｯｸM"/>
                <w:sz w:val="21"/>
              </w:rPr>
              <w:t>小型家電</w:t>
            </w:r>
          </w:p>
          <w:p>
            <w:pPr>
              <w:pStyle w:val="25"/>
              <w:spacing w:before="14" w:beforeLines="5" w:beforeAutospacing="0" w:after="14" w:afterLines="5" w:afterAutospacing="0" w:line="240" w:lineRule="atLeast"/>
              <w:ind w:left="110" w:leftChars="50" w:right="110" w:rightChars="50"/>
              <w:jc w:val="center"/>
              <w:rPr>
                <w:rFonts w:hint="default" w:ascii="HGPｺﾞｼｯｸM" w:hAnsi="HGPｺﾞｼｯｸM" w:eastAsia="HGPｺﾞｼｯｸM"/>
                <w:sz w:val="21"/>
              </w:rPr>
            </w:pPr>
            <w:r>
              <w:rPr>
                <w:rFonts w:hint="eastAsia" w:ascii="HGPｺﾞｼｯｸM" w:hAnsi="HGPｺﾞｼｯｸM" w:eastAsia="HGPｺﾞｼｯｸM"/>
                <w:sz w:val="21"/>
              </w:rPr>
              <w:t>その他家電</w:t>
            </w:r>
          </w:p>
        </w:tc>
        <w:tc>
          <w:tcPr>
            <w:tcW w:w="5244" w:type="dxa"/>
            <w:vAlign w:val="center"/>
          </w:tcPr>
          <w:p>
            <w:pPr>
              <w:pStyle w:val="25"/>
              <w:spacing w:before="14" w:beforeLines="5" w:beforeAutospacing="0" w:after="14" w:afterLines="5" w:afterAutospacing="0" w:line="240" w:lineRule="atLeast"/>
              <w:ind w:left="102" w:right="110" w:rightChars="50"/>
              <w:jc w:val="both"/>
              <w:rPr>
                <w:rFonts w:hint="default" w:ascii="HGPｺﾞｼｯｸM" w:hAnsi="HGPｺﾞｼｯｸM" w:eastAsia="HGPｺﾞｼｯｸM"/>
                <w:sz w:val="18"/>
              </w:rPr>
            </w:pPr>
            <w:r>
              <w:rPr>
                <w:rFonts w:hint="eastAsia" w:ascii="HGPｺﾞｼｯｸM" w:hAnsi="HGPｺﾞｼｯｸM" w:eastAsia="HGPｺﾞｼｯｸM"/>
                <w:sz w:val="18"/>
              </w:rPr>
              <w:t>被災家屋から排出される小型家電等の家電４品目以外の家電製品で、災害により被害を受け使用できなくなったもの</w:t>
            </w:r>
          </w:p>
        </w:tc>
      </w:tr>
      <w:tr>
        <w:trPr>
          <w:cantSplit/>
          <w:trHeight w:val="700" w:hRule="atLeast"/>
        </w:trPr>
        <w:tc>
          <w:tcPr>
            <w:tcW w:w="704" w:type="dxa"/>
            <w:vMerge w:val="continue"/>
            <w:vAlign w:val="top"/>
          </w:tcPr>
          <w:p>
            <w:pPr>
              <w:pStyle w:val="0"/>
              <w:spacing w:line="240" w:lineRule="exact"/>
              <w:rPr>
                <w:rFonts w:hint="default" w:ascii="HGPｺﾞｼｯｸM" w:hAnsi="HGPｺﾞｼｯｸM" w:eastAsia="HGPｺﾞｼｯｸM"/>
                <w:sz w:val="21"/>
              </w:rPr>
            </w:pPr>
          </w:p>
        </w:tc>
        <w:tc>
          <w:tcPr>
            <w:tcW w:w="2552" w:type="dxa"/>
            <w:vAlign w:val="center"/>
          </w:tcPr>
          <w:p>
            <w:pPr>
              <w:pStyle w:val="25"/>
              <w:spacing w:before="14" w:beforeLines="5" w:beforeAutospacing="0" w:after="14" w:afterLines="5" w:afterAutospacing="0" w:line="240" w:lineRule="atLeast"/>
              <w:ind w:left="110" w:leftChars="50" w:right="110" w:rightChars="50"/>
              <w:jc w:val="center"/>
              <w:rPr>
                <w:rFonts w:hint="default" w:ascii="HGPｺﾞｼｯｸM" w:hAnsi="HGPｺﾞｼｯｸM" w:eastAsia="HGPｺﾞｼｯｸM"/>
                <w:sz w:val="21"/>
              </w:rPr>
            </w:pPr>
            <w:r>
              <w:rPr>
                <w:rFonts w:hint="eastAsia" w:ascii="HGPｺﾞｼｯｸM" w:hAnsi="HGPｺﾞｼｯｸM" w:eastAsia="HGPｺﾞｼｯｸM"/>
                <w:sz w:val="21"/>
              </w:rPr>
              <w:t>腐敗性廃棄物</w:t>
            </w:r>
          </w:p>
        </w:tc>
        <w:tc>
          <w:tcPr>
            <w:tcW w:w="5244" w:type="dxa"/>
            <w:vAlign w:val="center"/>
          </w:tcPr>
          <w:p>
            <w:pPr>
              <w:pStyle w:val="25"/>
              <w:spacing w:before="14" w:beforeLines="5" w:beforeAutospacing="0" w:after="14" w:afterLines="5" w:afterAutospacing="0" w:line="240" w:lineRule="atLeast"/>
              <w:ind w:left="100" w:right="110" w:rightChars="50"/>
              <w:jc w:val="both"/>
              <w:rPr>
                <w:rFonts w:hint="default" w:ascii="HGPｺﾞｼｯｸM" w:hAnsi="HGPｺﾞｼｯｸM" w:eastAsia="HGPｺﾞｼｯｸM"/>
                <w:sz w:val="18"/>
              </w:rPr>
            </w:pPr>
            <w:r>
              <w:rPr>
                <w:rFonts w:hint="eastAsia" w:ascii="HGPｺﾞｼｯｸM" w:hAnsi="HGPｺﾞｼｯｸM" w:eastAsia="HGPｺﾞｼｯｸM"/>
                <w:sz w:val="18"/>
              </w:rPr>
              <w:t>被災冷蔵庫等から排出される水産物、</w:t>
            </w:r>
            <w:r>
              <w:rPr>
                <w:rFonts w:hint="default" w:ascii="HGPｺﾞｼｯｸM" w:hAnsi="HGPｺﾞｼｯｸM" w:eastAsia="HGPｺﾞｼｯｸM"/>
                <w:sz w:val="18"/>
              </w:rPr>
              <w:t>食品、水産加工場や飼肥料工場等から発生する原料及び製品など</w:t>
            </w:r>
          </w:p>
        </w:tc>
      </w:tr>
      <w:tr>
        <w:trPr>
          <w:cantSplit/>
          <w:trHeight w:val="1264" w:hRule="atLeast"/>
        </w:trPr>
        <w:tc>
          <w:tcPr>
            <w:tcW w:w="704" w:type="dxa"/>
            <w:vMerge w:val="continue"/>
            <w:vAlign w:val="top"/>
          </w:tcPr>
          <w:p>
            <w:pPr>
              <w:pStyle w:val="0"/>
              <w:spacing w:line="240" w:lineRule="exact"/>
              <w:rPr>
                <w:rFonts w:hint="default" w:ascii="HGPｺﾞｼｯｸM" w:hAnsi="HGPｺﾞｼｯｸM" w:eastAsia="HGPｺﾞｼｯｸM"/>
                <w:sz w:val="21"/>
              </w:rPr>
            </w:pPr>
          </w:p>
        </w:tc>
        <w:tc>
          <w:tcPr>
            <w:tcW w:w="2552" w:type="dxa"/>
            <w:vAlign w:val="center"/>
          </w:tcPr>
          <w:p>
            <w:pPr>
              <w:pStyle w:val="25"/>
              <w:spacing w:before="14" w:beforeLines="5" w:beforeAutospacing="0" w:after="14" w:afterLines="5" w:afterAutospacing="0" w:line="240" w:lineRule="exact"/>
              <w:ind w:left="110" w:leftChars="50" w:right="110" w:rightChars="50"/>
              <w:jc w:val="center"/>
              <w:rPr>
                <w:rFonts w:hint="default" w:ascii="HGPｺﾞｼｯｸM" w:hAnsi="HGPｺﾞｼｯｸM" w:eastAsia="HGPｺﾞｼｯｸM"/>
                <w:sz w:val="21"/>
              </w:rPr>
            </w:pPr>
            <w:r>
              <w:rPr>
                <w:rFonts w:hint="eastAsia" w:ascii="HGPｺﾞｼｯｸM" w:hAnsi="HGPｺﾞｼｯｸM" w:eastAsia="HGPｺﾞｼｯｸM"/>
                <w:sz w:val="21"/>
              </w:rPr>
              <w:t>有害廃棄物</w:t>
            </w:r>
          </w:p>
          <w:p>
            <w:pPr>
              <w:pStyle w:val="25"/>
              <w:spacing w:before="14" w:beforeLines="5" w:beforeAutospacing="0" w:after="14" w:afterLines="5" w:afterAutospacing="0" w:line="240" w:lineRule="atLeast"/>
              <w:ind w:left="110" w:leftChars="50" w:right="110" w:rightChars="50"/>
              <w:jc w:val="center"/>
              <w:rPr>
                <w:rFonts w:hint="default" w:ascii="HGPｺﾞｼｯｸM" w:hAnsi="HGPｺﾞｼｯｸM" w:eastAsia="HGPｺﾞｼｯｸM"/>
                <w:sz w:val="21"/>
              </w:rPr>
            </w:pPr>
            <w:r>
              <w:rPr>
                <w:rFonts w:hint="eastAsia" w:ascii="HGPｺﾞｼｯｸM" w:hAnsi="HGPｺﾞｼｯｸM" w:eastAsia="HGPｺﾞｼｯｸM"/>
                <w:sz w:val="21"/>
              </w:rPr>
              <w:t>危険物</w:t>
            </w:r>
          </w:p>
        </w:tc>
        <w:tc>
          <w:tcPr>
            <w:tcW w:w="5244" w:type="dxa"/>
            <w:vAlign w:val="center"/>
          </w:tcPr>
          <w:p>
            <w:pPr>
              <w:pStyle w:val="25"/>
              <w:spacing w:before="14" w:beforeLines="5" w:beforeAutospacing="0" w:after="14" w:afterLines="5" w:afterAutospacing="0" w:line="240" w:lineRule="atLeast"/>
              <w:ind w:left="100" w:right="110" w:rightChars="50"/>
              <w:jc w:val="both"/>
              <w:rPr>
                <w:rFonts w:hint="default" w:ascii="HGPｺﾞｼｯｸM" w:hAnsi="HGPｺﾞｼｯｸM" w:eastAsia="HGPｺﾞｼｯｸM"/>
                <w:sz w:val="18"/>
              </w:rPr>
            </w:pPr>
            <w:r>
              <w:rPr>
                <w:rFonts w:hint="default" w:ascii="HGPｺﾞｼｯｸM" w:hAnsi="HGPｺﾞｼｯｸM" w:eastAsia="HGPｺﾞｼｯｸM"/>
                <w:sz w:val="18"/>
              </w:rPr>
              <w:t>石綿含有廃棄物、ＰＣＢ、感染性廃棄物、化学物質、フロン類、</w:t>
            </w:r>
            <w:r>
              <w:rPr>
                <w:rFonts w:hint="eastAsia" w:ascii="HGPｺﾞｼｯｸM" w:hAnsi="HGPｺﾞｼｯｸM" w:eastAsia="HGPｺﾞｼｯｸM"/>
                <w:sz w:val="18"/>
              </w:rPr>
              <w:t>CCA</w:t>
            </w:r>
            <w:r>
              <w:rPr>
                <w:rFonts w:hint="eastAsia" w:ascii="HGPｺﾞｼｯｸM" w:hAnsi="HGPｺﾞｼｯｸM" w:eastAsia="HGPｺﾞｼｯｸM"/>
                <w:sz w:val="18"/>
              </w:rPr>
              <w:t>（クロム銅砒素系木材保存剤使用廃棄物）・ﾃﾄﾗｸﾛﾛｴﾁﾚﾝ</w:t>
            </w:r>
            <w:r>
              <w:rPr>
                <w:rFonts w:hint="default" w:ascii="HGPｺﾞｼｯｸM" w:hAnsi="HGPｺﾞｼｯｸM" w:eastAsia="HGPｺﾞｼｯｸM"/>
                <w:sz w:val="18"/>
              </w:rPr>
              <w:t>等の有害物質、医</w:t>
            </w:r>
            <w:r>
              <w:rPr>
                <w:rFonts w:hint="eastAsia" w:ascii="HGPｺﾞｼｯｸM" w:hAnsi="HGPｺﾞｼｯｸM" w:eastAsia="HGPｺﾞｼｯｸM"/>
                <w:sz w:val="18"/>
              </w:rPr>
              <w:t>薬</w:t>
            </w:r>
            <w:r>
              <w:rPr>
                <w:rFonts w:hint="default" w:ascii="HGPｺﾞｼｯｸM" w:hAnsi="HGPｺﾞｼｯｸM" w:eastAsia="HGPｺﾞｼｯｸM"/>
                <w:sz w:val="18"/>
              </w:rPr>
              <w:t>品類、農薬類の有害廃棄物</w:t>
            </w:r>
            <w:r>
              <w:rPr>
                <w:rFonts w:hint="eastAsia" w:ascii="HGPｺﾞｼｯｸM" w:hAnsi="HGPｺﾞｼｯｸM" w:eastAsia="HGPｺﾞｼｯｸM"/>
                <w:sz w:val="18"/>
              </w:rPr>
              <w:t>。太陽光パネルや蓄電池、消火器、ボンベ類などの危険物等</w:t>
            </w:r>
          </w:p>
        </w:tc>
      </w:tr>
      <w:tr>
        <w:trPr>
          <w:cantSplit/>
          <w:trHeight w:val="1552" w:hRule="atLeast"/>
        </w:trPr>
        <w:tc>
          <w:tcPr>
            <w:tcW w:w="704" w:type="dxa"/>
            <w:vMerge w:val="continue"/>
            <w:vAlign w:val="top"/>
          </w:tcPr>
          <w:p>
            <w:pPr>
              <w:pStyle w:val="0"/>
              <w:spacing w:line="240" w:lineRule="exact"/>
              <w:rPr>
                <w:rFonts w:hint="default" w:ascii="HGPｺﾞｼｯｸM" w:hAnsi="HGPｺﾞｼｯｸM" w:eastAsia="HGPｺﾞｼｯｸM"/>
                <w:sz w:val="21"/>
              </w:rPr>
            </w:pPr>
          </w:p>
        </w:tc>
        <w:tc>
          <w:tcPr>
            <w:tcW w:w="2552" w:type="dxa"/>
            <w:vAlign w:val="center"/>
          </w:tcPr>
          <w:p>
            <w:pPr>
              <w:pStyle w:val="25"/>
              <w:spacing w:before="14" w:beforeLines="5" w:beforeAutospacing="0" w:after="14" w:afterLines="5" w:afterAutospacing="0" w:line="240" w:lineRule="atLeast"/>
              <w:ind w:left="110" w:leftChars="50" w:right="110" w:rightChars="50"/>
              <w:jc w:val="center"/>
              <w:rPr>
                <w:rFonts w:hint="default" w:ascii="HGPｺﾞｼｯｸM" w:hAnsi="HGPｺﾞｼｯｸM" w:eastAsia="HGPｺﾞｼｯｸM"/>
                <w:sz w:val="21"/>
              </w:rPr>
            </w:pPr>
            <w:r>
              <w:rPr>
                <w:rFonts w:hint="eastAsia" w:ascii="HGPｺﾞｼｯｸM" w:hAnsi="HGPｺﾞｼｯｸM" w:eastAsia="HGPｺﾞｼｯｸM"/>
                <w:sz w:val="21"/>
              </w:rPr>
              <w:t>廃自動車等</w:t>
            </w:r>
          </w:p>
        </w:tc>
        <w:tc>
          <w:tcPr>
            <w:tcW w:w="5244" w:type="dxa"/>
            <w:vAlign w:val="center"/>
          </w:tcPr>
          <w:p>
            <w:pPr>
              <w:pStyle w:val="25"/>
              <w:spacing w:before="14" w:beforeLines="5" w:beforeAutospacing="0" w:after="14" w:afterLines="5" w:afterAutospacing="0" w:line="240" w:lineRule="atLeast"/>
              <w:ind w:left="102" w:right="110" w:rightChars="50"/>
              <w:jc w:val="both"/>
              <w:rPr>
                <w:rFonts w:hint="default" w:ascii="HGPｺﾞｼｯｸM" w:hAnsi="HGPｺﾞｼｯｸM" w:eastAsia="HGPｺﾞｼｯｸM"/>
                <w:sz w:val="18"/>
              </w:rPr>
            </w:pPr>
            <w:r>
              <w:rPr>
                <w:rFonts w:hint="eastAsia" w:ascii="HGPｺﾞｼｯｸM" w:hAnsi="HGPｺﾞｼｯｸM" w:eastAsia="HGPｺﾞｼｯｸM"/>
                <w:sz w:val="18"/>
              </w:rPr>
              <w:t>自然</w:t>
            </w:r>
            <w:r>
              <w:rPr>
                <w:rFonts w:hint="default" w:ascii="HGPｺﾞｼｯｸM" w:hAnsi="HGPｺﾞｼｯｸM" w:eastAsia="HGPｺﾞｼｯｸM"/>
                <w:sz w:val="18"/>
              </w:rPr>
              <w:t>災害により被害を受け使用できなくなった自動車、自動二輪、原付自転車</w:t>
            </w:r>
          </w:p>
          <w:p>
            <w:pPr>
              <w:pStyle w:val="25"/>
              <w:spacing w:before="14" w:beforeLines="5" w:beforeAutospacing="0" w:after="14" w:afterLines="5" w:afterAutospacing="0" w:line="240" w:lineRule="atLeast"/>
              <w:ind w:left="417" w:right="110" w:rightChars="50" w:hanging="317"/>
              <w:jc w:val="both"/>
              <w:rPr>
                <w:rFonts w:hint="default" w:ascii="HGPｺﾞｼｯｸM" w:hAnsi="HGPｺﾞｼｯｸM" w:eastAsia="HGPｺﾞｼｯｸM"/>
                <w:sz w:val="18"/>
              </w:rPr>
            </w:pPr>
            <w:r>
              <w:rPr>
                <w:rFonts w:hint="default" w:ascii="HGPｺﾞｼｯｸM" w:hAnsi="HGPｺﾞｼｯｸM" w:eastAsia="HGPｺﾞｼｯｸM"/>
                <w:sz w:val="18"/>
              </w:rPr>
              <w:t>※</w:t>
            </w:r>
            <w:r>
              <w:rPr>
                <w:rFonts w:hint="default" w:ascii="HGPｺﾞｼｯｸM" w:hAnsi="HGPｺﾞｼｯｸM" w:eastAsia="HGPｺﾞｼｯｸM"/>
                <w:sz w:val="18"/>
              </w:rPr>
              <w:t>リサイクル可能なものは各リサイクル法により処理を行う</w:t>
            </w:r>
            <w:r>
              <w:rPr>
                <w:rFonts w:hint="eastAsia" w:ascii="HGPｺﾞｼｯｸM" w:hAnsi="HGPｺﾞｼｯｸM" w:eastAsia="HGPｺﾞｼｯｸM"/>
                <w:sz w:val="18"/>
              </w:rPr>
              <w:t>。</w:t>
            </w:r>
          </w:p>
          <w:p>
            <w:pPr>
              <w:pStyle w:val="25"/>
              <w:spacing w:before="14" w:beforeLines="5" w:beforeAutospacing="0" w:after="14" w:afterLines="5" w:afterAutospacing="0" w:line="240" w:lineRule="atLeast"/>
              <w:ind w:left="100" w:right="110" w:rightChars="50"/>
              <w:jc w:val="both"/>
              <w:rPr>
                <w:rFonts w:hint="default" w:ascii="HGPｺﾞｼｯｸM" w:hAnsi="HGPｺﾞｼｯｸM" w:eastAsia="HGPｺﾞｼｯｸM"/>
                <w:sz w:val="18"/>
              </w:rPr>
            </w:pPr>
            <w:r>
              <w:rPr>
                <w:rFonts w:hint="eastAsia" w:ascii="HGPｺﾞｼｯｸM" w:hAnsi="HGPｺﾞｼｯｸM" w:eastAsia="HGPｺﾞｼｯｸM"/>
                <w:sz w:val="18"/>
              </w:rPr>
              <w:t>※処理するためには所有者の意思確認が必要となる。仮置場等での保管方法や期間について警察等と協議する。</w:t>
            </w:r>
          </w:p>
        </w:tc>
      </w:tr>
      <w:tr>
        <w:trPr>
          <w:cantSplit/>
          <w:trHeight w:val="978" w:hRule="atLeast"/>
        </w:trPr>
        <w:tc>
          <w:tcPr>
            <w:tcW w:w="704"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top"/>
          </w:tcPr>
          <w:p>
            <w:pPr>
              <w:pStyle w:val="0"/>
              <w:spacing w:line="240" w:lineRule="exact"/>
              <w:rPr>
                <w:rFonts w:hint="default" w:ascii="HGPｺﾞｼｯｸM" w:hAnsi="HGPｺﾞｼｯｸM" w:eastAsia="HGPｺﾞｼｯｸM"/>
                <w:sz w:val="21"/>
              </w:rPr>
            </w:pPr>
          </w:p>
        </w:tc>
        <w:tc>
          <w:tcPr>
            <w:tcW w:w="2552" w:type="dxa"/>
            <w:vAlign w:val="center"/>
          </w:tcPr>
          <w:p>
            <w:pPr>
              <w:pStyle w:val="25"/>
              <w:spacing w:before="14" w:beforeLines="5" w:beforeAutospacing="0" w:after="14" w:afterLines="5" w:afterAutospacing="0" w:line="240" w:lineRule="atLeast"/>
              <w:ind w:left="110" w:leftChars="50" w:right="110" w:rightChars="50"/>
              <w:rPr>
                <w:rFonts w:hint="default" w:ascii="HGPｺﾞｼｯｸM" w:hAnsi="HGPｺﾞｼｯｸM" w:eastAsia="HGPｺﾞｼｯｸM"/>
                <w:sz w:val="21"/>
              </w:rPr>
            </w:pPr>
            <w:r>
              <w:rPr>
                <w:rFonts w:hint="default" w:ascii="HGPｺﾞｼｯｸM" w:hAnsi="HGPｺﾞｼｯｸM" w:eastAsia="HGPｺﾞｼｯｸM"/>
                <w:sz w:val="21"/>
              </w:rPr>
              <w:t>その他</w:t>
            </w:r>
            <w:r>
              <w:rPr>
                <w:rFonts w:hint="eastAsia" w:ascii="HGPｺﾞｼｯｸM" w:hAnsi="HGPｺﾞｼｯｸM" w:eastAsia="HGPｺﾞｼｯｸM"/>
                <w:sz w:val="21"/>
              </w:rPr>
              <w:t>、</w:t>
            </w:r>
            <w:r>
              <w:rPr>
                <w:rFonts w:hint="default" w:ascii="HGPｺﾞｼｯｸM" w:hAnsi="HGPｺﾞｼｯｸM" w:eastAsia="HGPｺﾞｼｯｸM"/>
                <w:sz w:val="21"/>
              </w:rPr>
              <w:t>適正処理</w:t>
            </w:r>
            <w:r>
              <w:rPr>
                <w:rFonts w:hint="eastAsia" w:ascii="HGPｺﾞｼｯｸM" w:hAnsi="HGPｺﾞｼｯｸM" w:eastAsia="HGPｺﾞｼｯｸM"/>
                <w:sz w:val="21"/>
              </w:rPr>
              <w:t>が</w:t>
            </w:r>
            <w:r>
              <w:rPr>
                <w:rFonts w:hint="default" w:ascii="HGPｺﾞｼｯｸM" w:hAnsi="HGPｺﾞｼｯｸM" w:eastAsia="HGPｺﾞｼｯｸM"/>
                <w:sz w:val="21"/>
              </w:rPr>
              <w:t>困難</w:t>
            </w:r>
            <w:r>
              <w:rPr>
                <w:rFonts w:hint="eastAsia" w:ascii="HGPｺﾞｼｯｸM" w:hAnsi="HGPｺﾞｼｯｸM" w:eastAsia="HGPｺﾞｼｯｸM"/>
                <w:sz w:val="21"/>
              </w:rPr>
              <w:t>な廃棄</w:t>
            </w:r>
            <w:r>
              <w:rPr>
                <w:rFonts w:hint="default" w:ascii="HGPｺﾞｼｯｸM" w:hAnsi="HGPｺﾞｼｯｸM" w:eastAsia="HGPｺﾞｼｯｸM"/>
                <w:sz w:val="21"/>
              </w:rPr>
              <w:t>物</w:t>
            </w:r>
          </w:p>
        </w:tc>
        <w:tc>
          <w:tcPr>
            <w:tcW w:w="5244" w:type="dxa"/>
            <w:vAlign w:val="center"/>
          </w:tcPr>
          <w:p>
            <w:pPr>
              <w:pStyle w:val="25"/>
              <w:spacing w:before="14" w:beforeLines="5" w:beforeAutospacing="0" w:after="14" w:afterLines="5" w:afterAutospacing="0" w:line="240" w:lineRule="atLeast"/>
              <w:ind w:left="100" w:right="110" w:rightChars="50"/>
              <w:jc w:val="both"/>
              <w:rPr>
                <w:rFonts w:hint="default" w:ascii="HGPｺﾞｼｯｸM" w:hAnsi="HGPｺﾞｼｯｸM" w:eastAsia="HGPｺﾞｼｯｸM"/>
                <w:sz w:val="18"/>
              </w:rPr>
            </w:pPr>
            <w:r>
              <w:rPr>
                <w:rFonts w:hint="default" w:ascii="HGPｺﾞｼｯｸM" w:hAnsi="HGPｺﾞｼｯｸM" w:eastAsia="HGPｺﾞｼｯｸM"/>
                <w:sz w:val="18"/>
              </w:rPr>
              <w:t>ピアノ、マットレスなどの</w:t>
            </w:r>
            <w:r>
              <w:rPr>
                <w:rFonts w:hint="eastAsia" w:ascii="HGPｺﾞｼｯｸM" w:hAnsi="HGPｺﾞｼｯｸM" w:eastAsia="HGPｺﾞｼｯｸM"/>
                <w:sz w:val="18"/>
              </w:rPr>
              <w:t>地方公共団体の施設では処理が困難なもの（レントゲンや非破壊検査用の放射線源を含む）、石こう</w:t>
            </w:r>
            <w:r>
              <w:rPr>
                <w:rFonts w:hint="default" w:ascii="HGPｺﾞｼｯｸM" w:hAnsi="HGPｺﾞｼｯｸM" w:eastAsia="HGPｺﾞｼｯｸM"/>
                <w:sz w:val="18"/>
              </w:rPr>
              <w:t>ボード</w:t>
            </w:r>
            <w:r>
              <w:rPr>
                <w:rFonts w:hint="eastAsia" w:ascii="HGPｺﾞｼｯｸM" w:hAnsi="HGPｺﾞｼｯｸM" w:eastAsia="HGPｺﾞｼｯｸM"/>
                <w:sz w:val="18"/>
              </w:rPr>
              <w:t>、廃船舶（災害により被害を受け使用できなくなった船舶）</w:t>
            </w:r>
            <w:r>
              <w:rPr>
                <w:rFonts w:hint="default" w:ascii="HGPｺﾞｼｯｸM" w:hAnsi="HGPｺﾞｼｯｸM" w:eastAsia="HGPｺﾞｼｯｸM"/>
                <w:sz w:val="18"/>
              </w:rPr>
              <w:t>など</w:t>
            </w:r>
          </w:p>
        </w:tc>
      </w:tr>
    </w:tbl>
    <w:p>
      <w:pPr>
        <w:pStyle w:val="15"/>
        <w:ind w:firstLine="90" w:firstLineChars="50"/>
        <w:rPr>
          <w:rFonts w:hint="default" w:ascii="ＭＳ 明朝" w:hAnsi="ＭＳ 明朝" w:eastAsia="ＭＳ 明朝"/>
          <w:color w:val="000000" w:themeColor="text1"/>
          <w:sz w:val="18"/>
        </w:rPr>
      </w:pPr>
      <w:r>
        <w:rPr>
          <w:rFonts w:hint="eastAsia" w:ascii="ＭＳ 明朝" w:hAnsi="ＭＳ 明朝" w:eastAsia="ＭＳ 明朝"/>
          <w:color w:val="000000" w:themeColor="text1"/>
          <w:sz w:val="18"/>
        </w:rPr>
        <w:t>出典：環境省災害廃棄物対策指針（平成</w:t>
      </w:r>
      <w:r>
        <w:rPr>
          <w:rFonts w:hint="eastAsia" w:ascii="ＭＳ 明朝" w:hAnsi="ＭＳ 明朝" w:eastAsia="ＭＳ 明朝"/>
          <w:color w:val="000000" w:themeColor="text1"/>
          <w:sz w:val="18"/>
        </w:rPr>
        <w:t>30</w:t>
      </w:r>
      <w:r>
        <w:rPr>
          <w:rFonts w:hint="eastAsia" w:ascii="ＭＳ 明朝" w:hAnsi="ＭＳ 明朝" w:eastAsia="ＭＳ 明朝"/>
          <w:color w:val="000000" w:themeColor="text1"/>
          <w:sz w:val="18"/>
        </w:rPr>
        <w:t>年</w:t>
      </w:r>
      <w:r>
        <w:rPr>
          <w:rFonts w:hint="eastAsia" w:ascii="ＭＳ 明朝" w:hAnsi="ＭＳ 明朝" w:eastAsia="ＭＳ 明朝"/>
          <w:color w:val="000000" w:themeColor="text1"/>
          <w:sz w:val="18"/>
        </w:rPr>
        <w:t>3</w:t>
      </w:r>
      <w:r>
        <w:rPr>
          <w:rFonts w:hint="eastAsia" w:ascii="ＭＳ 明朝" w:hAnsi="ＭＳ 明朝" w:eastAsia="ＭＳ 明朝"/>
          <w:color w:val="000000" w:themeColor="text1"/>
          <w:sz w:val="18"/>
        </w:rPr>
        <w:t>月）</w:t>
      </w:r>
      <w:r>
        <w:rPr>
          <w:rFonts w:hint="eastAsia" w:ascii="ＭＳ 明朝" w:hAnsi="ＭＳ 明朝" w:eastAsia="ＭＳ 明朝"/>
          <w:sz w:val="18"/>
        </w:rPr>
        <w:t>P1-9</w:t>
      </w:r>
      <w:r>
        <w:rPr>
          <w:rFonts w:hint="eastAsia" w:ascii="ＭＳ 明朝" w:hAnsi="ＭＳ 明朝" w:eastAsia="ＭＳ 明朝"/>
          <w:sz w:val="18"/>
        </w:rPr>
        <w:t>～</w:t>
      </w:r>
      <w:r>
        <w:rPr>
          <w:rFonts w:hint="eastAsia" w:ascii="ＭＳ 明朝" w:hAnsi="ＭＳ 明朝" w:eastAsia="ＭＳ 明朝"/>
          <w:sz w:val="18"/>
        </w:rPr>
        <w:t xml:space="preserve">1-10 </w:t>
      </w:r>
      <w:r>
        <w:rPr>
          <w:rFonts w:hint="eastAsia" w:ascii="ＭＳ 明朝" w:hAnsi="ＭＳ 明朝" w:eastAsia="ＭＳ 明朝"/>
          <w:sz w:val="18"/>
        </w:rPr>
        <w:t>を編集</w:t>
      </w:r>
    </w:p>
    <w:p>
      <w:pPr>
        <w:pStyle w:val="0"/>
        <w:widowControl w:val="1"/>
        <w:autoSpaceDE w:val="1"/>
        <w:autoSpaceDN w:val="1"/>
        <w:rPr>
          <w:rFonts w:hint="default"/>
        </w:rPr>
      </w:pPr>
    </w:p>
    <w:p>
      <w:pPr>
        <w:pStyle w:val="0"/>
        <w:widowControl w:val="1"/>
        <w:autoSpaceDE w:val="1"/>
        <w:autoSpaceDN w:val="1"/>
        <w:rPr>
          <w:rFonts w:hint="default"/>
        </w:rPr>
      </w:pPr>
    </w:p>
    <w:p>
      <w:pPr>
        <w:pStyle w:val="0"/>
        <w:widowControl w:val="1"/>
        <w:autoSpaceDE w:val="1"/>
        <w:autoSpaceDN w:val="1"/>
        <w:rPr>
          <w:rFonts w:hint="default"/>
        </w:rPr>
      </w:pPr>
      <w:bookmarkStart w:id="7" w:name="_Toc60838740"/>
      <w:r>
        <w:rPr>
          <w:rFonts w:hint="default"/>
        </w:rPr>
        <w:br w:type="page"/>
      </w:r>
    </w:p>
    <w:p>
      <w:pPr>
        <w:pStyle w:val="3"/>
        <w:ind w:left="0" w:leftChars="0"/>
        <w:rPr>
          <w:rFonts w:hint="default" w:ascii="ＭＳ ゴシック" w:hAnsi="ＭＳ ゴシック" w:eastAsia="ＭＳ ゴシック"/>
        </w:rPr>
      </w:pPr>
      <w:r>
        <w:rPr>
          <w:rFonts w:hint="eastAsia" w:ascii="ＭＳ ゴシック" w:hAnsi="ＭＳ ゴシック" w:eastAsia="ＭＳ ゴシック"/>
        </w:rPr>
        <w:t>（２）災害廃棄物処理の基本方針および処理主体</w:t>
      </w:r>
      <w:bookmarkEnd w:id="7"/>
    </w:p>
    <w:p>
      <w:pPr>
        <w:pStyle w:val="15"/>
        <w:spacing w:before="46" w:beforeLines="0" w:beforeAutospacing="0"/>
        <w:rPr>
          <w:rFonts w:hint="default"/>
          <w:sz w:val="21"/>
        </w:rPr>
      </w:pPr>
      <w:r>
        <w:rPr>
          <w:rFonts w:hint="eastAsia"/>
          <w:sz w:val="21"/>
        </w:rPr>
        <w:t>１）対策方針</w:t>
      </w:r>
    </w:p>
    <w:p>
      <w:pPr>
        <w:pStyle w:val="15"/>
        <w:spacing w:before="46" w:beforeLines="0" w:beforeAutospacing="0"/>
        <w:ind w:firstLine="210" w:firstLineChars="100"/>
        <w:rPr>
          <w:rFonts w:hint="default" w:ascii="ＭＳ 明朝" w:hAnsi="ＭＳ 明朝" w:eastAsia="ＭＳ 明朝"/>
          <w:sz w:val="21"/>
        </w:rPr>
      </w:pPr>
      <w:r>
        <w:rPr>
          <w:rFonts w:hint="eastAsia" w:ascii="ＭＳ 明朝" w:hAnsi="ＭＳ 明朝" w:eastAsia="ＭＳ 明朝"/>
          <w:sz w:val="21"/>
        </w:rPr>
        <w:t>災害廃棄物の処理に関する基本方針を表４に示す。</w:t>
      </w:r>
    </w:p>
    <w:p>
      <w:pPr>
        <w:pStyle w:val="15"/>
        <w:spacing w:before="9" w:beforeLines="0" w:beforeAutospacing="0"/>
        <w:rPr>
          <w:rFonts w:hint="default" w:ascii="ＭＳ 明朝" w:hAnsi="ＭＳ 明朝" w:eastAsia="ＭＳ 明朝"/>
          <w:sz w:val="21"/>
        </w:rPr>
      </w:pPr>
    </w:p>
    <w:p>
      <w:pPr>
        <w:pStyle w:val="15"/>
        <w:tabs>
          <w:tab w:val="left" w:leader="none" w:pos="2936"/>
        </w:tabs>
        <w:spacing w:after="43" w:afterLines="0" w:afterAutospacing="0"/>
        <w:jc w:val="center"/>
        <w:rPr>
          <w:rFonts w:hint="default"/>
          <w:sz w:val="21"/>
        </w:rPr>
      </w:pPr>
      <w:r>
        <w:rPr>
          <w:rFonts w:hint="eastAsia"/>
          <w:sz w:val="21"/>
        </w:rPr>
        <w:t>表４　災害廃棄物の処理に関する基本方針</w:t>
      </w:r>
    </w:p>
    <w:tbl>
      <w:tblPr>
        <w:tblStyle w:val="54"/>
        <w:tblW w:w="892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3539"/>
        <w:gridCol w:w="5387"/>
      </w:tblGrid>
      <w:tr>
        <w:trPr>
          <w:trHeight w:val="618" w:hRule="exact"/>
        </w:trPr>
        <w:tc>
          <w:tcPr>
            <w:tcW w:w="35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25"/>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基　本　方　針</w:t>
            </w:r>
          </w:p>
        </w:tc>
        <w:tc>
          <w:tcPr>
            <w:tcW w:w="538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25"/>
              <w:tabs>
                <w:tab w:val="left" w:leader="none" w:pos="479"/>
              </w:tabs>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内　　　　容</w:t>
            </w:r>
          </w:p>
        </w:tc>
      </w:tr>
      <w:tr>
        <w:trPr>
          <w:trHeight w:val="1530" w:hRule="exact"/>
        </w:trPr>
        <w:tc>
          <w:tcPr>
            <w:tcW w:w="35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25"/>
              <w:jc w:val="center"/>
              <w:rPr>
                <w:rFonts w:hint="default" w:ascii="HGPｺﾞｼｯｸM" w:hAnsi="HGPｺﾞｼｯｸM" w:eastAsia="HGPｺﾞｼｯｸM"/>
                <w:sz w:val="21"/>
              </w:rPr>
            </w:pPr>
            <w:r>
              <w:rPr>
                <w:rFonts w:hint="eastAsia" w:ascii="HGPｺﾞｼｯｸM" w:hAnsi="HGPｺﾞｼｯｸM" w:eastAsia="HGPｺﾞｼｯｸM"/>
                <w:sz w:val="21"/>
              </w:rPr>
              <w:t>衛生的かつ迅速な処理</w:t>
            </w:r>
          </w:p>
        </w:tc>
        <w:tc>
          <w:tcPr>
            <w:tcW w:w="538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25"/>
              <w:spacing w:line="276" w:lineRule="auto"/>
              <w:ind w:left="117" w:right="102" w:firstLine="123" w:firstLineChars="59"/>
              <w:jc w:val="both"/>
              <w:rPr>
                <w:rFonts w:hint="default" w:ascii="HGPｺﾞｼｯｸM" w:hAnsi="HGPｺﾞｼｯｸM" w:eastAsia="HGPｺﾞｼｯｸM"/>
                <w:sz w:val="21"/>
              </w:rPr>
            </w:pPr>
            <w:r>
              <w:rPr>
                <w:rFonts w:hint="eastAsia" w:ascii="HGPｺﾞｼｯｸM" w:hAnsi="HGPｺﾞｼｯｸM" w:eastAsia="HGPｺﾞｼｯｸM"/>
                <w:spacing w:val="-1"/>
                <w:sz w:val="21"/>
              </w:rPr>
              <w:t>大規模災害時に大量に発生する廃棄物について、生</w:t>
            </w:r>
            <w:r>
              <w:rPr>
                <w:rFonts w:hint="eastAsia" w:ascii="HGPｺﾞｼｯｸM" w:hAnsi="HGPｺﾞｼｯｸM" w:eastAsia="HGPｺﾞｼｯｸM"/>
                <w:spacing w:val="-2"/>
                <w:sz w:val="21"/>
              </w:rPr>
              <w:t>活環境の保全及び公衆衛生上の支障が無いよう、適正</w:t>
            </w:r>
            <w:r>
              <w:rPr>
                <w:rFonts w:hint="eastAsia" w:ascii="HGPｺﾞｼｯｸM" w:hAnsi="HGPｺﾞｼｯｸM" w:eastAsia="HGPｺﾞｼｯｸM"/>
                <w:spacing w:val="-4"/>
                <w:sz w:val="21"/>
              </w:rPr>
              <w:t>な処理を確保しつつ、円滑かつ迅速に処理することと</w:t>
            </w:r>
            <w:r>
              <w:rPr>
                <w:rFonts w:hint="eastAsia" w:ascii="HGPｺﾞｼｯｸM" w:hAnsi="HGPｺﾞｼｯｸM" w:eastAsia="HGPｺﾞｼｯｸM"/>
                <w:spacing w:val="-5"/>
                <w:sz w:val="21"/>
              </w:rPr>
              <w:t>し、状況に応じて可能な限り短期間での処理を目指す。</w:t>
            </w:r>
          </w:p>
        </w:tc>
      </w:tr>
      <w:tr>
        <w:trPr>
          <w:trHeight w:val="882" w:hRule="exact"/>
        </w:trPr>
        <w:tc>
          <w:tcPr>
            <w:tcW w:w="35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25"/>
              <w:jc w:val="center"/>
              <w:rPr>
                <w:rFonts w:hint="default" w:ascii="HGPｺﾞｼｯｸM" w:hAnsi="HGPｺﾞｼｯｸM" w:eastAsia="HGPｺﾞｼｯｸM"/>
                <w:sz w:val="21"/>
              </w:rPr>
            </w:pPr>
            <w:r>
              <w:rPr>
                <w:rFonts w:hint="eastAsia" w:ascii="HGPｺﾞｼｯｸM" w:hAnsi="HGPｺﾞｼｯｸM" w:eastAsia="HGPｺﾞｼｯｸM"/>
                <w:sz w:val="21"/>
              </w:rPr>
              <w:t>分別・再生利用の推進</w:t>
            </w:r>
          </w:p>
        </w:tc>
        <w:tc>
          <w:tcPr>
            <w:tcW w:w="538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25"/>
              <w:spacing w:line="276" w:lineRule="auto"/>
              <w:ind w:left="117" w:firstLine="124" w:firstLineChars="59"/>
              <w:rPr>
                <w:rFonts w:hint="default" w:ascii="HGPｺﾞｼｯｸM" w:hAnsi="HGPｺﾞｼｯｸM" w:eastAsia="HGPｺﾞｼｯｸM"/>
                <w:sz w:val="21"/>
              </w:rPr>
            </w:pPr>
            <w:r>
              <w:rPr>
                <w:rFonts w:hint="eastAsia" w:ascii="HGPｺﾞｼｯｸM" w:hAnsi="HGPｺﾞｼｯｸM" w:eastAsia="HGPｺﾞｼｯｸM"/>
                <w:sz w:val="21"/>
              </w:rPr>
              <w:t>災害廃棄物の埋立処分量を削減するため、分別を徹底し、再生利用、再資源化を推進する。</w:t>
            </w:r>
          </w:p>
        </w:tc>
      </w:tr>
      <w:tr>
        <w:trPr>
          <w:trHeight w:val="1030" w:hRule="exact"/>
        </w:trPr>
        <w:tc>
          <w:tcPr>
            <w:tcW w:w="35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25"/>
              <w:jc w:val="center"/>
              <w:rPr>
                <w:rFonts w:hint="default" w:ascii="HGPｺﾞｼｯｸM" w:hAnsi="HGPｺﾞｼｯｸM" w:eastAsia="HGPｺﾞｼｯｸM"/>
                <w:sz w:val="21"/>
              </w:rPr>
            </w:pPr>
            <w:r>
              <w:rPr>
                <w:rFonts w:hint="eastAsia" w:ascii="HGPｺﾞｼｯｸM" w:hAnsi="HGPｺﾞｼｯｸM" w:eastAsia="HGPｺﾞｼｯｸM"/>
                <w:sz w:val="21"/>
              </w:rPr>
              <w:t>処理の協力・支援、連携</w:t>
            </w:r>
          </w:p>
        </w:tc>
        <w:tc>
          <w:tcPr>
            <w:tcW w:w="538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25"/>
              <w:spacing w:line="276" w:lineRule="auto"/>
              <w:ind w:left="117" w:right="80" w:firstLine="124" w:firstLineChars="59"/>
              <w:jc w:val="both"/>
              <w:rPr>
                <w:rFonts w:hint="default" w:ascii="HGPｺﾞｼｯｸM" w:hAnsi="HGPｺﾞｼｯｸM" w:eastAsia="HGPｺﾞｼｯｸM"/>
                <w:sz w:val="21"/>
              </w:rPr>
            </w:pPr>
            <w:r>
              <w:rPr>
                <w:rFonts w:hint="eastAsia" w:ascii="HGPｺﾞｼｯｸM" w:hAnsi="HGPｺﾞｼｯｸM" w:eastAsia="HGPｺﾞｼｯｸM"/>
                <w:sz w:val="21"/>
              </w:rPr>
              <w:t>本町による自己処理を原則とするが、自己処理が困難であると判断した場合は、都道府県や国、他地方自治体及び民間事業者等の協力・支援を受けて処理する。</w:t>
            </w:r>
          </w:p>
        </w:tc>
      </w:tr>
      <w:tr>
        <w:trPr>
          <w:trHeight w:val="1024" w:hRule="exact"/>
        </w:trPr>
        <w:tc>
          <w:tcPr>
            <w:tcW w:w="353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25"/>
              <w:jc w:val="center"/>
              <w:rPr>
                <w:rFonts w:hint="default" w:ascii="HGPｺﾞｼｯｸM" w:hAnsi="HGPｺﾞｼｯｸM" w:eastAsia="HGPｺﾞｼｯｸM"/>
                <w:sz w:val="21"/>
              </w:rPr>
            </w:pPr>
            <w:r>
              <w:rPr>
                <w:rFonts w:hint="eastAsia" w:ascii="HGPｺﾞｼｯｸM" w:hAnsi="HGPｺﾞｼｯｸM" w:eastAsia="HGPｺﾞｼｯｸM"/>
                <w:sz w:val="21"/>
              </w:rPr>
              <w:t>環境に配慮した処理</w:t>
            </w:r>
          </w:p>
        </w:tc>
        <w:tc>
          <w:tcPr>
            <w:tcW w:w="538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25"/>
              <w:spacing w:line="276" w:lineRule="auto"/>
              <w:ind w:left="117" w:right="93" w:firstLine="124" w:firstLineChars="59"/>
              <w:rPr>
                <w:rFonts w:hint="default" w:ascii="HGPｺﾞｼｯｸM" w:hAnsi="HGPｺﾞｼｯｸM" w:eastAsia="HGPｺﾞｼｯｸM"/>
                <w:sz w:val="21"/>
              </w:rPr>
            </w:pPr>
            <w:r>
              <w:rPr>
                <w:rFonts w:hint="eastAsia" w:ascii="HGPｺﾞｼｯｸM" w:hAnsi="HGPｺﾞｼｯｸM" w:eastAsia="HGPｺﾞｼｯｸM"/>
                <w:sz w:val="21"/>
              </w:rPr>
              <w:t>災害廃棄物の処理現場の周辺環境等に十分配慮して処理を行う。</w:t>
            </w:r>
          </w:p>
        </w:tc>
      </w:tr>
    </w:tbl>
    <w:p>
      <w:pPr>
        <w:pStyle w:val="15"/>
        <w:spacing w:before="1" w:beforeLines="0" w:beforeAutospacing="0"/>
        <w:rPr>
          <w:rFonts w:hint="default"/>
          <w:sz w:val="21"/>
        </w:rPr>
      </w:pPr>
    </w:p>
    <w:p>
      <w:pPr>
        <w:pStyle w:val="15"/>
        <w:spacing w:before="1" w:beforeLines="0" w:beforeAutospacing="0"/>
        <w:rPr>
          <w:rFonts w:hint="default"/>
          <w:sz w:val="21"/>
        </w:rPr>
      </w:pPr>
    </w:p>
    <w:p>
      <w:pPr>
        <w:pStyle w:val="15"/>
        <w:spacing w:before="1" w:beforeLines="0" w:beforeAutospacing="0"/>
        <w:rPr>
          <w:rFonts w:hint="default"/>
          <w:sz w:val="21"/>
        </w:rPr>
      </w:pPr>
      <w:r>
        <w:rPr>
          <w:rFonts w:hint="eastAsia"/>
          <w:sz w:val="21"/>
        </w:rPr>
        <w:t>２）処理期間</w:t>
      </w:r>
    </w:p>
    <w:p>
      <w:pPr>
        <w:pStyle w:val="15"/>
        <w:spacing w:before="46" w:beforeLines="0" w:beforeAutospacing="0" w:line="276" w:lineRule="auto"/>
        <w:ind w:right="52" w:firstLine="210" w:firstLineChars="100"/>
        <w:rPr>
          <w:rFonts w:hint="default" w:ascii="ＭＳ 明朝" w:hAnsi="ＭＳ 明朝" w:eastAsia="ＭＳ 明朝"/>
          <w:sz w:val="21"/>
        </w:rPr>
      </w:pPr>
      <w:r>
        <w:rPr>
          <w:rFonts w:hint="eastAsia" w:ascii="ＭＳ 明朝" w:hAnsi="ＭＳ 明朝" w:eastAsia="ＭＳ 明朝"/>
          <w:sz w:val="21"/>
        </w:rPr>
        <w:t>地震災害については、発生から概ね３年以内、風水害については発生から１年以内での</w:t>
      </w:r>
      <w:r>
        <w:rPr>
          <w:rFonts w:hint="eastAsia" w:ascii="ＭＳ 明朝" w:hAnsi="ＭＳ 明朝" w:eastAsia="ＭＳ 明朝"/>
          <w:b w:val="0"/>
          <w:sz w:val="21"/>
          <w:u w:val="none" w:color="auto"/>
        </w:rPr>
        <w:t>災害廃棄物の</w:t>
      </w:r>
      <w:r>
        <w:rPr>
          <w:rFonts w:hint="eastAsia" w:ascii="ＭＳ 明朝" w:hAnsi="ＭＳ 明朝" w:eastAsia="ＭＳ 明朝"/>
          <w:sz w:val="21"/>
        </w:rPr>
        <w:t>処理完了を目指すが、災害の規模や災害廃棄物の発生量に応じて、適切な処理期間を設定する。</w:t>
      </w:r>
    </w:p>
    <w:p>
      <w:pPr>
        <w:pStyle w:val="15"/>
        <w:spacing w:before="46" w:beforeLines="0" w:beforeAutospacing="0" w:line="276" w:lineRule="auto"/>
        <w:ind w:right="52"/>
        <w:rPr>
          <w:rFonts w:hint="default" w:ascii="ＭＳ 明朝" w:hAnsi="ＭＳ 明朝" w:eastAsia="ＭＳ 明朝"/>
          <w:sz w:val="21"/>
        </w:rPr>
      </w:pPr>
    </w:p>
    <w:p>
      <w:pPr>
        <w:pStyle w:val="15"/>
        <w:spacing w:before="46" w:beforeLines="0" w:beforeAutospacing="0" w:line="276" w:lineRule="auto"/>
        <w:ind w:right="52"/>
        <w:rPr>
          <w:rFonts w:hint="default"/>
          <w:sz w:val="21"/>
        </w:rPr>
      </w:pPr>
      <w:r>
        <w:rPr>
          <w:rFonts w:hint="eastAsia"/>
          <w:sz w:val="21"/>
        </w:rPr>
        <w:t>３）処理主体</w:t>
      </w:r>
    </w:p>
    <w:p>
      <w:pPr>
        <w:pStyle w:val="0"/>
        <w:widowControl w:val="1"/>
        <w:autoSpaceDE w:val="1"/>
        <w:autoSpaceDN w:val="1"/>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災害廃棄物は、一般廃棄物とされていることから、廃棄物の処理及び清掃に関する法律</w:t>
      </w:r>
      <w:r>
        <w:rPr>
          <w:rFonts w:hint="default" w:ascii="ＭＳ 明朝" w:hAnsi="ＭＳ 明朝" w:eastAsia="ＭＳ 明朝"/>
          <w:sz w:val="21"/>
        </w:rPr>
        <w:t>(</w:t>
      </w:r>
      <w:r>
        <w:rPr>
          <w:rFonts w:hint="default" w:ascii="ＭＳ 明朝" w:hAnsi="ＭＳ 明朝" w:eastAsia="ＭＳ 明朝"/>
          <w:sz w:val="21"/>
        </w:rPr>
        <w:t>昭和</w:t>
      </w:r>
      <w:r>
        <w:rPr>
          <w:rFonts w:hint="default" w:ascii="ＭＳ 明朝" w:hAnsi="ＭＳ 明朝" w:eastAsia="ＭＳ 明朝"/>
          <w:sz w:val="21"/>
        </w:rPr>
        <w:t>45</w:t>
      </w:r>
      <w:r>
        <w:rPr>
          <w:rFonts w:hint="default" w:ascii="ＭＳ 明朝" w:hAnsi="ＭＳ 明朝" w:eastAsia="ＭＳ 明朝"/>
          <w:sz w:val="21"/>
        </w:rPr>
        <w:t>年法律第</w:t>
      </w:r>
      <w:r>
        <w:rPr>
          <w:rFonts w:hint="default" w:ascii="ＭＳ 明朝" w:hAnsi="ＭＳ 明朝" w:eastAsia="ＭＳ 明朝"/>
          <w:sz w:val="21"/>
        </w:rPr>
        <w:t>137</w:t>
      </w:r>
      <w:r>
        <w:rPr>
          <w:rFonts w:hint="default" w:ascii="ＭＳ 明朝" w:hAnsi="ＭＳ 明朝" w:eastAsia="ＭＳ 明朝"/>
          <w:sz w:val="21"/>
        </w:rPr>
        <w:t>号、以下「廃掃法」という。</w:t>
      </w:r>
      <w:r>
        <w:rPr>
          <w:rFonts w:hint="default" w:ascii="ＭＳ 明朝" w:hAnsi="ＭＳ 明朝" w:eastAsia="ＭＳ 明朝"/>
          <w:sz w:val="21"/>
        </w:rPr>
        <w:t>)</w:t>
      </w:r>
      <w:r>
        <w:rPr>
          <w:rFonts w:hint="default" w:ascii="ＭＳ 明朝" w:hAnsi="ＭＳ 明朝" w:eastAsia="ＭＳ 明朝"/>
          <w:sz w:val="21"/>
        </w:rPr>
        <w:t>第４条第１項の規定により、市町村が第一義的に処理の責任を負う。</w:t>
      </w:r>
    </w:p>
    <w:p>
      <w:pPr>
        <w:pStyle w:val="0"/>
        <w:widowControl w:val="1"/>
        <w:autoSpaceDE w:val="1"/>
        <w:autoSpaceDN w:val="1"/>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なお、地方自治法</w:t>
      </w:r>
      <w:r>
        <w:rPr>
          <w:rFonts w:hint="default" w:ascii="ＭＳ 明朝" w:hAnsi="ＭＳ 明朝" w:eastAsia="ＭＳ 明朝"/>
          <w:sz w:val="21"/>
        </w:rPr>
        <w:t>(</w:t>
      </w:r>
      <w:r>
        <w:rPr>
          <w:rFonts w:hint="default" w:ascii="ＭＳ 明朝" w:hAnsi="ＭＳ 明朝" w:eastAsia="ＭＳ 明朝"/>
          <w:sz w:val="21"/>
        </w:rPr>
        <w:t>昭和</w:t>
      </w:r>
      <w:r>
        <w:rPr>
          <w:rFonts w:hint="default" w:ascii="ＭＳ 明朝" w:hAnsi="ＭＳ 明朝" w:eastAsia="ＭＳ 明朝"/>
          <w:sz w:val="21"/>
        </w:rPr>
        <w:t>22</w:t>
      </w:r>
      <w:r>
        <w:rPr>
          <w:rFonts w:hint="default" w:ascii="ＭＳ 明朝" w:hAnsi="ＭＳ 明朝" w:eastAsia="ＭＳ 明朝"/>
          <w:sz w:val="21"/>
        </w:rPr>
        <w:t>年法律第</w:t>
      </w:r>
      <w:r>
        <w:rPr>
          <w:rFonts w:hint="default" w:ascii="ＭＳ 明朝" w:hAnsi="ＭＳ 明朝" w:eastAsia="ＭＳ 明朝"/>
          <w:sz w:val="21"/>
        </w:rPr>
        <w:t>67</w:t>
      </w:r>
      <w:r>
        <w:rPr>
          <w:rFonts w:hint="default" w:ascii="ＭＳ 明朝" w:hAnsi="ＭＳ 明朝" w:eastAsia="ＭＳ 明朝"/>
          <w:sz w:val="21"/>
        </w:rPr>
        <w:t>号</w:t>
      </w:r>
      <w:r>
        <w:rPr>
          <w:rFonts w:hint="default" w:ascii="ＭＳ 明朝" w:hAnsi="ＭＳ 明朝" w:eastAsia="ＭＳ 明朝"/>
          <w:sz w:val="21"/>
        </w:rPr>
        <w:t>)</w:t>
      </w:r>
      <w:r>
        <w:rPr>
          <w:rFonts w:hint="default" w:ascii="ＭＳ 明朝" w:hAnsi="ＭＳ 明朝" w:eastAsia="ＭＳ 明朝"/>
          <w:sz w:val="21"/>
        </w:rPr>
        <w:t>第</w:t>
      </w:r>
      <w:r>
        <w:rPr>
          <w:rFonts w:hint="default" w:ascii="ＭＳ 明朝" w:hAnsi="ＭＳ 明朝" w:eastAsia="ＭＳ 明朝"/>
          <w:sz w:val="21"/>
        </w:rPr>
        <w:t>252</w:t>
      </w:r>
      <w:r>
        <w:rPr>
          <w:rFonts w:hint="default" w:ascii="ＭＳ 明朝" w:hAnsi="ＭＳ 明朝" w:eastAsia="ＭＳ 明朝"/>
          <w:sz w:val="21"/>
        </w:rPr>
        <w:t>条の</w:t>
      </w:r>
      <w:r>
        <w:rPr>
          <w:rFonts w:hint="default" w:ascii="ＭＳ 明朝" w:hAnsi="ＭＳ 明朝" w:eastAsia="ＭＳ 明朝"/>
          <w:sz w:val="21"/>
        </w:rPr>
        <w:t>14(</w:t>
      </w:r>
      <w:r>
        <w:rPr>
          <w:rFonts w:hint="default" w:ascii="ＭＳ 明朝" w:hAnsi="ＭＳ 明朝" w:eastAsia="ＭＳ 明朝"/>
          <w:sz w:val="21"/>
        </w:rPr>
        <w:t>事務の委託</w:t>
      </w:r>
      <w:r>
        <w:rPr>
          <w:rFonts w:hint="default" w:ascii="ＭＳ 明朝" w:hAnsi="ＭＳ 明朝" w:eastAsia="ＭＳ 明朝"/>
          <w:sz w:val="21"/>
        </w:rPr>
        <w:t>)</w:t>
      </w:r>
      <w:r>
        <w:rPr>
          <w:rFonts w:hint="default" w:ascii="ＭＳ 明朝" w:hAnsi="ＭＳ 明朝" w:eastAsia="ＭＳ 明朝"/>
          <w:sz w:val="21"/>
        </w:rPr>
        <w:t>の規定により、地方公共団体の事務の一部の管理及び執行を他の地方公共団体に委託することができるとされ、本</w:t>
      </w:r>
      <w:r>
        <w:rPr>
          <w:rFonts w:hint="eastAsia" w:ascii="ＭＳ 明朝" w:hAnsi="ＭＳ 明朝" w:eastAsia="ＭＳ 明朝"/>
          <w:sz w:val="21"/>
        </w:rPr>
        <w:t>町</w:t>
      </w:r>
      <w:r>
        <w:rPr>
          <w:rFonts w:hint="default" w:ascii="ＭＳ 明朝" w:hAnsi="ＭＳ 明朝" w:eastAsia="ＭＳ 明朝"/>
          <w:sz w:val="21"/>
        </w:rPr>
        <w:t>が地震や津波等により甚大な被害を受け、自ら災害廃棄物の処理を行うことが困難な場合においては、都道府県に事務委託を行うこととする。</w:t>
      </w:r>
    </w:p>
    <w:p>
      <w:pPr>
        <w:pStyle w:val="0"/>
        <w:widowControl w:val="1"/>
        <w:autoSpaceDE w:val="1"/>
        <w:autoSpaceDN w:val="1"/>
        <w:spacing w:line="276" w:lineRule="auto"/>
        <w:ind w:firstLine="220" w:firstLineChars="100"/>
        <w:rPr>
          <w:rFonts w:hint="default" w:ascii="ＭＳ 明朝" w:hAnsi="ＭＳ 明朝" w:eastAsia="ＭＳ 明朝"/>
        </w:rPr>
      </w:pPr>
      <w:r>
        <w:rPr>
          <w:rFonts w:hint="default" w:ascii="ＭＳ 明朝" w:hAnsi="ＭＳ 明朝" w:eastAsia="ＭＳ 明朝"/>
        </w:rPr>
        <w:br w:type="page"/>
      </w:r>
    </w:p>
    <w:p>
      <w:pPr>
        <w:pStyle w:val="3"/>
        <w:ind w:left="0" w:leftChars="0"/>
        <w:rPr>
          <w:rFonts w:hint="default" w:ascii="ＭＳ ゴシック" w:hAnsi="ＭＳ ゴシック" w:eastAsia="ＭＳ ゴシック"/>
        </w:rPr>
      </w:pPr>
      <w:bookmarkStart w:id="8" w:name="_Toc60838741"/>
      <w:r>
        <w:rPr>
          <w:rFonts w:hint="eastAsia" w:ascii="ＭＳ ゴシック" w:hAnsi="ＭＳ ゴシック" w:eastAsia="ＭＳ ゴシック"/>
        </w:rPr>
        <w:t>（３）地域特性と災害廃棄物処理</w:t>
      </w:r>
      <w:bookmarkEnd w:id="8"/>
    </w:p>
    <w:p>
      <w:pPr>
        <w:pStyle w:val="0"/>
        <w:spacing w:before="46" w:beforeLines="0" w:beforeAutospacing="0" w:line="276" w:lineRule="auto"/>
        <w:ind w:left="220" w:leftChars="100" w:firstLine="210" w:firstLineChars="100"/>
        <w:rPr>
          <w:rFonts w:hint="default" w:ascii="ＭＳ 明朝" w:hAnsi="ＭＳ 明朝" w:eastAsia="ＭＳ 明朝"/>
          <w:sz w:val="21"/>
        </w:rPr>
      </w:pPr>
      <w:r>
        <w:rPr>
          <w:rFonts w:hint="eastAsia" w:ascii="ＭＳ 明朝" w:hAnsi="ＭＳ 明朝" w:eastAsia="ＭＳ 明朝"/>
          <w:sz w:val="21"/>
        </w:rPr>
        <w:t>南風原町は、東経</w:t>
      </w:r>
      <w:r>
        <w:rPr>
          <w:rFonts w:hint="default" w:ascii="ＭＳ 明朝" w:hAnsi="ＭＳ 明朝" w:eastAsia="ＭＳ 明朝"/>
          <w:sz w:val="21"/>
        </w:rPr>
        <w:t>127</w:t>
      </w:r>
      <w:r>
        <w:rPr>
          <w:rFonts w:hint="default" w:ascii="ＭＳ 明朝" w:hAnsi="ＭＳ 明朝" w:eastAsia="ＭＳ 明朝"/>
          <w:sz w:val="21"/>
        </w:rPr>
        <w:t>度</w:t>
      </w:r>
      <w:r>
        <w:rPr>
          <w:rFonts w:hint="default" w:ascii="ＭＳ 明朝" w:hAnsi="ＭＳ 明朝" w:eastAsia="ＭＳ 明朝"/>
          <w:sz w:val="21"/>
        </w:rPr>
        <w:t>43</w:t>
      </w:r>
      <w:r>
        <w:rPr>
          <w:rFonts w:hint="default" w:ascii="ＭＳ 明朝" w:hAnsi="ＭＳ 明朝" w:eastAsia="ＭＳ 明朝"/>
          <w:sz w:val="21"/>
        </w:rPr>
        <w:t>分、北緯</w:t>
      </w:r>
      <w:r>
        <w:rPr>
          <w:rFonts w:hint="default" w:ascii="ＭＳ 明朝" w:hAnsi="ＭＳ 明朝" w:eastAsia="ＭＳ 明朝"/>
          <w:sz w:val="21"/>
        </w:rPr>
        <w:t>26</w:t>
      </w:r>
      <w:r>
        <w:rPr>
          <w:rFonts w:hint="default" w:ascii="ＭＳ 明朝" w:hAnsi="ＭＳ 明朝" w:eastAsia="ＭＳ 明朝"/>
          <w:sz w:val="21"/>
        </w:rPr>
        <w:t>度</w:t>
      </w:r>
      <w:r>
        <w:rPr>
          <w:rFonts w:hint="default" w:ascii="ＭＳ 明朝" w:hAnsi="ＭＳ 明朝" w:eastAsia="ＭＳ 明朝"/>
          <w:sz w:val="21"/>
        </w:rPr>
        <w:t>11</w:t>
      </w:r>
      <w:r>
        <w:rPr>
          <w:rFonts w:hint="default" w:ascii="ＭＳ 明朝" w:hAnsi="ＭＳ 明朝" w:eastAsia="ＭＳ 明朝"/>
          <w:sz w:val="21"/>
        </w:rPr>
        <w:t>分の沖縄本島南部のほぼ中央に位置し、県都那覇市に隣接してい</w:t>
      </w:r>
      <w:r>
        <w:rPr>
          <w:rFonts w:hint="eastAsia" w:ascii="ＭＳ 明朝" w:hAnsi="ＭＳ 明朝" w:eastAsia="ＭＳ 明朝"/>
          <w:sz w:val="21"/>
        </w:rPr>
        <w:t>る</w:t>
      </w:r>
      <w:r>
        <w:rPr>
          <w:rFonts w:hint="default" w:ascii="ＭＳ 明朝" w:hAnsi="ＭＳ 明朝" w:eastAsia="ＭＳ 明朝"/>
          <w:sz w:val="21"/>
        </w:rPr>
        <w:t>。周りを６つの市町に囲まれ、県内では唯一の海に面していない町で</w:t>
      </w:r>
      <w:r>
        <w:rPr>
          <w:rFonts w:hint="eastAsia" w:ascii="ＭＳ 明朝" w:hAnsi="ＭＳ 明朝" w:eastAsia="ＭＳ 明朝"/>
          <w:sz w:val="21"/>
        </w:rPr>
        <w:t>ある</w:t>
      </w:r>
      <w:r>
        <w:rPr>
          <w:rFonts w:hint="default" w:ascii="ＭＳ 明朝" w:hAnsi="ＭＳ 明朝" w:eastAsia="ＭＳ 明朝"/>
          <w:sz w:val="21"/>
        </w:rPr>
        <w:t>。面積は</w:t>
      </w:r>
      <w:r>
        <w:rPr>
          <w:rFonts w:hint="default" w:ascii="ＭＳ 明朝" w:hAnsi="ＭＳ 明朝" w:eastAsia="ＭＳ 明朝"/>
          <w:sz w:val="21"/>
        </w:rPr>
        <w:t>10.76</w:t>
      </w:r>
      <w:r>
        <w:rPr>
          <w:rFonts w:hint="eastAsia" w:ascii="ＭＳ 明朝" w:hAnsi="ＭＳ 明朝" w:eastAsia="ＭＳ 明朝"/>
          <w:sz w:val="21"/>
        </w:rPr>
        <w:t>km</w:t>
      </w:r>
      <w:r>
        <w:rPr>
          <w:rFonts w:hint="eastAsia" w:ascii="ＭＳ 明朝" w:hAnsi="ＭＳ 明朝" w:eastAsia="ＭＳ 明朝"/>
          <w:sz w:val="21"/>
          <w:vertAlign w:val="superscript"/>
        </w:rPr>
        <w:t>2</w:t>
      </w:r>
      <w:r>
        <w:rPr>
          <w:rFonts w:hint="eastAsia" w:ascii="ＭＳ 明朝" w:hAnsi="ＭＳ 明朝" w:eastAsia="ＭＳ 明朝"/>
          <w:sz w:val="21"/>
        </w:rPr>
        <w:t>、</w:t>
      </w:r>
      <w:r>
        <w:rPr>
          <w:rFonts w:hint="default" w:ascii="ＭＳ 明朝" w:hAnsi="ＭＳ 明朝" w:eastAsia="ＭＳ 明朝"/>
          <w:sz w:val="21"/>
        </w:rPr>
        <w:t>県内</w:t>
      </w:r>
      <w:r>
        <w:rPr>
          <w:rFonts w:hint="default" w:ascii="ＭＳ 明朝" w:hAnsi="ＭＳ 明朝" w:eastAsia="ＭＳ 明朝"/>
          <w:sz w:val="21"/>
        </w:rPr>
        <w:t>41</w:t>
      </w:r>
      <w:r>
        <w:rPr>
          <w:rFonts w:hint="default" w:ascii="ＭＳ 明朝" w:hAnsi="ＭＳ 明朝" w:eastAsia="ＭＳ 明朝"/>
          <w:sz w:val="21"/>
        </w:rPr>
        <w:t>市町村で</w:t>
      </w:r>
      <w:r>
        <w:rPr>
          <w:rFonts w:hint="eastAsia" w:ascii="ＭＳ 明朝" w:hAnsi="ＭＳ 明朝" w:eastAsia="ＭＳ 明朝"/>
          <w:sz w:val="21"/>
        </w:rPr>
        <w:t>４</w:t>
      </w:r>
      <w:r>
        <w:rPr>
          <w:rFonts w:hint="default" w:ascii="ＭＳ 明朝" w:hAnsi="ＭＳ 明朝" w:eastAsia="ＭＳ 明朝"/>
          <w:sz w:val="21"/>
        </w:rPr>
        <w:t>番目に小さな町</w:t>
      </w:r>
      <w:r>
        <w:rPr>
          <w:rFonts w:hint="eastAsia" w:ascii="ＭＳ 明朝" w:hAnsi="ＭＳ 明朝" w:eastAsia="ＭＳ 明朝"/>
          <w:sz w:val="21"/>
        </w:rPr>
        <w:t>となっている</w:t>
      </w:r>
      <w:r>
        <w:rPr>
          <w:rFonts w:hint="default" w:ascii="ＭＳ 明朝" w:hAnsi="ＭＳ 明朝" w:eastAsia="ＭＳ 明朝"/>
          <w:sz w:val="21"/>
        </w:rPr>
        <w:t>。</w:t>
      </w:r>
    </w:p>
    <w:p>
      <w:pPr>
        <w:pStyle w:val="0"/>
        <w:spacing w:before="46" w:beforeLines="0" w:beforeAutospacing="0" w:line="276" w:lineRule="auto"/>
        <w:ind w:left="220" w:leftChars="100" w:firstLine="210" w:firstLineChars="100"/>
        <w:rPr>
          <w:rFonts w:hint="default" w:ascii="ＭＳ 明朝" w:hAnsi="ＭＳ 明朝" w:eastAsia="ＭＳ 明朝"/>
          <w:sz w:val="21"/>
        </w:rPr>
      </w:pPr>
      <w:r>
        <w:rPr>
          <w:rFonts w:hint="eastAsia" w:ascii="ＭＳ 明朝" w:hAnsi="ＭＳ 明朝" w:eastAsia="ＭＳ 明朝"/>
          <w:sz w:val="21"/>
        </w:rPr>
        <w:t>海に面してはいないため津波の恐れは少ないものの、建物の倒壊や交通施設の損壊などにより、集落間のアクセスが崩壊する可能性が高く、災害廃棄物の運搬や仮置場整備に際しては、アクセスの確保に留意する必要がある。</w:t>
      </w:r>
    </w:p>
    <w:p>
      <w:pPr>
        <w:pStyle w:val="0"/>
        <w:spacing w:before="46" w:beforeLines="0" w:beforeAutospacing="0" w:line="276" w:lineRule="auto"/>
        <w:ind w:left="220" w:leftChars="100" w:firstLine="210" w:firstLineChars="100"/>
        <w:rPr>
          <w:rFonts w:hint="default" w:ascii="ＭＳ 明朝" w:hAnsi="ＭＳ 明朝" w:eastAsia="ＭＳ 明朝"/>
          <w:sz w:val="21"/>
        </w:rPr>
      </w:pPr>
      <w:r>
        <w:rPr>
          <w:rFonts w:hint="eastAsia" w:ascii="ＭＳ 明朝" w:hAnsi="ＭＳ 明朝" w:eastAsia="ＭＳ 明朝"/>
          <w:sz w:val="21"/>
        </w:rPr>
        <w:t>本町の農業は、ブランドとして定着している「かぼちゃ」をはじめ、</w:t>
      </w:r>
      <w:r>
        <w:rPr>
          <w:rFonts w:hint="default" w:ascii="ＭＳ 明朝" w:hAnsi="ＭＳ 明朝" w:eastAsia="ＭＳ 明朝"/>
          <w:sz w:val="21"/>
        </w:rPr>
        <w:t xml:space="preserve"> </w:t>
      </w:r>
      <w:r>
        <w:rPr>
          <w:rFonts w:hint="default" w:ascii="ＭＳ 明朝" w:hAnsi="ＭＳ 明朝" w:eastAsia="ＭＳ 明朝"/>
          <w:sz w:val="21"/>
        </w:rPr>
        <w:t>「ストレリチア」「スターフルーツ」の拠点産地であり、「ヘチマ（食用）」は生産量日本一</w:t>
      </w:r>
      <w:r>
        <w:rPr>
          <w:rFonts w:hint="default" w:ascii="ＭＳ 明朝" w:hAnsi="ＭＳ 明朝" w:eastAsia="ＭＳ 明朝"/>
          <w:sz w:val="21"/>
        </w:rPr>
        <w:t xml:space="preserve"> </w:t>
      </w:r>
      <w:r>
        <w:rPr>
          <w:rFonts w:hint="default" w:ascii="ＭＳ 明朝" w:hAnsi="ＭＳ 明朝" w:eastAsia="ＭＳ 明朝"/>
          <w:sz w:val="21"/>
        </w:rPr>
        <w:t>である</w:t>
      </w:r>
      <w:r>
        <w:rPr>
          <w:rFonts w:hint="eastAsia" w:ascii="ＭＳ 明朝" w:hAnsi="ＭＳ 明朝" w:eastAsia="ＭＳ 明朝"/>
          <w:sz w:val="21"/>
        </w:rPr>
        <w:t>。また、古くから伝わる伝統産業や戦略的に誘致し地域に定着した印刷業及び情報産業、広域幹線道路の便を活かした商業の立地、さらに沖縄県立南部医療センターの立地による医療関係施設の集積が進んでいる。これらの産業を支える施設や、これらで必要となる燃料タンク等が被災、廃棄物となった場合の対応を検討しておく必要がある。医療関係施設が集中していることからも、迅速な対応が一層求められているといえる。</w:t>
      </w:r>
    </w:p>
    <w:p>
      <w:pPr>
        <w:pStyle w:val="0"/>
        <w:spacing w:before="46" w:beforeLines="0" w:beforeAutospacing="0" w:line="276" w:lineRule="auto"/>
        <w:ind w:left="220" w:leftChars="100" w:firstLine="210" w:firstLineChars="100"/>
        <w:rPr>
          <w:rFonts w:hint="default" w:ascii="ＭＳ 明朝" w:hAnsi="ＭＳ 明朝" w:eastAsia="ＭＳ 明朝"/>
          <w:sz w:val="21"/>
        </w:rPr>
      </w:pPr>
      <w:r>
        <w:rPr>
          <w:rFonts w:hint="eastAsia" w:ascii="ＭＳ 明朝" w:hAnsi="ＭＳ 明朝" w:eastAsia="ＭＳ 明朝"/>
          <w:sz w:val="21"/>
        </w:rPr>
        <w:t>本町では、ごみの中間処理業務を行っているが、災害廃棄物処理事務の実施に際しては処理能力を超える廃棄物が発生すると想定されるため近隣自治体との連携を図る必要がある。また、</w:t>
      </w:r>
      <w:bookmarkStart w:id="9" w:name="_Hlk21008880"/>
      <w:r>
        <w:rPr>
          <w:rFonts w:hint="eastAsia" w:ascii="ＭＳ 明朝" w:hAnsi="ＭＳ 明朝" w:eastAsia="ＭＳ 明朝"/>
          <w:sz w:val="21"/>
        </w:rPr>
        <w:t>一般廃棄物の収集運搬及び処理の許可業者もいることから</w:t>
      </w:r>
      <w:bookmarkEnd w:id="9"/>
      <w:r>
        <w:rPr>
          <w:rFonts w:hint="eastAsia" w:ascii="ＭＳ 明朝" w:hAnsi="ＭＳ 明朝" w:eastAsia="ＭＳ 明朝"/>
          <w:sz w:val="21"/>
        </w:rPr>
        <w:t>、これら民間のノウハウや資材等の活用を検討しておくことが有効である。</w:t>
      </w:r>
    </w:p>
    <w:p>
      <w:pPr>
        <w:pStyle w:val="0"/>
        <w:spacing w:before="46" w:beforeLines="0" w:beforeAutospacing="0" w:line="276" w:lineRule="auto"/>
        <w:ind w:left="220" w:leftChars="100" w:firstLine="210" w:firstLineChars="100"/>
        <w:jc w:val="center"/>
        <w:rPr>
          <w:rFonts w:hint="default"/>
          <w:sz w:val="21"/>
        </w:rPr>
      </w:pPr>
      <w:r>
        <w:rPr>
          <w:rFonts w:hint="eastAsia"/>
        </w:rPr>
        <w:drawing>
          <wp:inline distT="0" distB="0" distL="203200" distR="203200">
            <wp:extent cx="3760470" cy="4373880"/>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9"/>
                    <a:stretch>
                      <a:fillRect/>
                    </a:stretch>
                  </pic:blipFill>
                  <pic:spPr>
                    <a:xfrm>
                      <a:off x="0" y="0"/>
                      <a:ext cx="3760470" cy="4373880"/>
                    </a:xfrm>
                    <a:prstGeom prst="rect">
                      <a:avLst/>
                    </a:prstGeom>
                  </pic:spPr>
                </pic:pic>
              </a:graphicData>
            </a:graphic>
          </wp:inline>
        </w:drawing>
      </w:r>
    </w:p>
    <w:p>
      <w:pPr>
        <w:pStyle w:val="0"/>
        <w:widowControl w:val="1"/>
        <w:autoSpaceDE w:val="1"/>
        <w:autoSpaceDN w:val="1"/>
        <w:jc w:val="center"/>
        <w:rPr>
          <w:rFonts w:hint="default"/>
          <w:sz w:val="21"/>
        </w:rPr>
      </w:pPr>
      <w:r>
        <w:rPr>
          <w:rFonts w:hint="eastAsia"/>
          <w:sz w:val="21"/>
        </w:rPr>
        <w:t>図２　南風原町の位置図</w:t>
      </w:r>
    </w:p>
    <w:p>
      <w:pPr>
        <w:pStyle w:val="3"/>
        <w:ind w:left="0" w:leftChars="0"/>
        <w:rPr>
          <w:rFonts w:hint="default" w:ascii="ＭＳ ゴシック" w:hAnsi="ＭＳ ゴシック" w:eastAsia="ＭＳ ゴシック"/>
          <w:b w:val="0"/>
          <w:u w:val="none" w:color="auto"/>
        </w:rPr>
      </w:pPr>
      <w:bookmarkStart w:id="10" w:name="_Toc60838742"/>
      <w:r>
        <w:rPr>
          <w:rFonts w:hint="eastAsia" w:ascii="ＭＳ ゴシック" w:hAnsi="ＭＳ ゴシック" w:eastAsia="ＭＳ ゴシック"/>
          <w:b w:val="0"/>
          <w:u w:val="none" w:color="auto"/>
        </w:rPr>
        <w:t>（４）感染症の対策が必要な期間の災害廃棄物処理</w:t>
      </w:r>
      <w:bookmarkEnd w:id="10"/>
    </w:p>
    <w:p>
      <w:pPr>
        <w:pStyle w:val="15"/>
        <w:spacing w:before="46" w:beforeLines="0" w:beforeAutospacing="0" w:line="276" w:lineRule="auto"/>
        <w:ind w:firstLine="277" w:firstLineChars="132"/>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感染症の対策が必要な期間においても、災害廃棄物の処理（災害廃棄物、避難所ごみ、仮設トイレ等のし尿）については事業の継続が求められる。</w:t>
      </w:r>
    </w:p>
    <w:p>
      <w:pPr>
        <w:pStyle w:val="15"/>
        <w:spacing w:before="46" w:beforeLines="0" w:beforeAutospacing="0" w:line="276" w:lineRule="auto"/>
        <w:ind w:firstLine="277" w:firstLineChars="132"/>
        <w:rPr>
          <w:rFonts w:hint="default" w:ascii="ＭＳ 明朝" w:hAnsi="ＭＳ 明朝" w:eastAsia="ＭＳ 明朝"/>
          <w:b w:val="1"/>
          <w:u w:val="single" w:color="auto"/>
        </w:rPr>
      </w:pPr>
      <w:r>
        <w:rPr>
          <w:rFonts w:hint="eastAsia" w:ascii="ＭＳ 明朝" w:hAnsi="ＭＳ 明朝" w:eastAsia="ＭＳ 明朝"/>
          <w:b w:val="0"/>
          <w:sz w:val="21"/>
          <w:u w:val="none" w:color="auto"/>
        </w:rPr>
        <w:t>本町においても、感染症の対策が必要な期間の災害時のごみ処理を安定的に継続するために、ガイドラインや次の点に留意し感染拡大防止及び感染予防策を実施する。</w:t>
      </w:r>
    </w:p>
    <w:p>
      <w:pPr>
        <w:pStyle w:val="0"/>
        <w:spacing w:before="46" w:beforeLines="0" w:beforeAutospacing="0" w:line="276" w:lineRule="auto"/>
        <w:ind w:firstLine="220" w:firstLineChars="100"/>
        <w:rPr>
          <w:rFonts w:hint="default" w:ascii="ＭＳ 明朝" w:hAnsi="ＭＳ 明朝" w:eastAsia="ＭＳ 明朝"/>
        </w:rPr>
      </w:pPr>
    </w:p>
    <w:p>
      <w:pPr>
        <w:pStyle w:val="17"/>
        <w:numPr>
          <w:ilvl w:val="0"/>
          <w:numId w:val="1"/>
        </w:numPr>
        <w:autoSpaceDE w:val="1"/>
        <w:autoSpaceDN w:val="1"/>
        <w:spacing w:before="46" w:beforeLines="0" w:beforeAutospacing="0" w:line="276" w:lineRule="auto"/>
        <w:ind w:left="567" w:leftChars="0"/>
        <w:jc w:val="both"/>
        <w:rPr>
          <w:rFonts w:hint="default" w:ascii="ＭＳ 明朝" w:hAnsi="ＭＳ 明朝" w:eastAsia="ＭＳ 明朝"/>
          <w:sz w:val="21"/>
        </w:rPr>
      </w:pPr>
      <w:r>
        <w:rPr>
          <w:rFonts w:hint="eastAsia" w:ascii="ＭＳ 明朝" w:hAnsi="ＭＳ 明朝" w:eastAsia="ＭＳ 明朝"/>
          <w:sz w:val="21"/>
        </w:rPr>
        <w:t>避難所に避難している住民、避難所の運営者などに対する感染症対策のためのごみの捨て方に関する周知</w:t>
      </w:r>
    </w:p>
    <w:p>
      <w:pPr>
        <w:pStyle w:val="17"/>
        <w:numPr>
          <w:ilvl w:val="0"/>
          <w:numId w:val="1"/>
        </w:numPr>
        <w:autoSpaceDE w:val="1"/>
        <w:autoSpaceDN w:val="1"/>
        <w:spacing w:before="46" w:beforeLines="0" w:beforeAutospacing="0" w:line="276" w:lineRule="auto"/>
        <w:ind w:left="567" w:leftChars="0"/>
        <w:jc w:val="both"/>
        <w:rPr>
          <w:rFonts w:hint="default" w:ascii="ＭＳ 明朝" w:hAnsi="ＭＳ 明朝" w:eastAsia="ＭＳ 明朝"/>
          <w:sz w:val="21"/>
        </w:rPr>
      </w:pPr>
      <w:r>
        <w:rPr>
          <w:rFonts w:hint="eastAsia" w:ascii="ＭＳ 明朝" w:hAnsi="ＭＳ 明朝" w:eastAsia="ＭＳ 明朝"/>
          <w:sz w:val="21"/>
        </w:rPr>
        <w:t>仮置場や処理施設における作業員の感染予防策</w:t>
      </w:r>
    </w:p>
    <w:p>
      <w:pPr>
        <w:pStyle w:val="17"/>
        <w:numPr>
          <w:ilvl w:val="0"/>
          <w:numId w:val="1"/>
        </w:numPr>
        <w:autoSpaceDE w:val="1"/>
        <w:autoSpaceDN w:val="1"/>
        <w:spacing w:before="46" w:beforeLines="0" w:beforeAutospacing="0" w:line="276" w:lineRule="auto"/>
        <w:ind w:left="567" w:leftChars="0"/>
        <w:jc w:val="both"/>
        <w:rPr>
          <w:rFonts w:hint="default" w:ascii="ＭＳ 明朝" w:hAnsi="ＭＳ 明朝" w:eastAsia="ＭＳ 明朝"/>
          <w:sz w:val="21"/>
        </w:rPr>
      </w:pPr>
      <w:r>
        <w:rPr>
          <w:rFonts w:hint="eastAsia" w:ascii="ＭＳ 明朝" w:hAnsi="ＭＳ 明朝" w:eastAsia="ＭＳ 明朝"/>
          <w:sz w:val="21"/>
        </w:rPr>
        <w:t>広域処理や委託処理時の感染拡大防止策</w:t>
      </w:r>
    </w:p>
    <w:p>
      <w:pPr>
        <w:pStyle w:val="17"/>
        <w:numPr>
          <w:ilvl w:val="0"/>
          <w:numId w:val="1"/>
        </w:numPr>
        <w:autoSpaceDE w:val="1"/>
        <w:autoSpaceDN w:val="1"/>
        <w:spacing w:before="46" w:beforeLines="0" w:beforeAutospacing="0" w:line="276" w:lineRule="auto"/>
        <w:ind w:left="567" w:leftChars="0"/>
        <w:jc w:val="both"/>
        <w:rPr>
          <w:rFonts w:hint="default" w:ascii="ＭＳ 明朝" w:hAnsi="ＭＳ 明朝" w:eastAsia="ＭＳ 明朝"/>
          <w:sz w:val="21"/>
        </w:rPr>
      </w:pPr>
      <w:r>
        <w:rPr>
          <w:rFonts w:hint="eastAsia" w:ascii="ＭＳ 明朝" w:hAnsi="ＭＳ 明朝" w:eastAsia="ＭＳ 明朝"/>
          <w:sz w:val="21"/>
        </w:rPr>
        <w:t>マスクや防護服などの個人防護具や消毒液の確保</w:t>
      </w:r>
    </w:p>
    <w:p>
      <w:pPr>
        <w:pStyle w:val="0"/>
        <w:widowControl w:val="1"/>
        <w:autoSpaceDE w:val="1"/>
        <w:autoSpaceDN w:val="1"/>
        <w:rPr>
          <w:rFonts w:hint="default"/>
        </w:rPr>
      </w:pPr>
    </w:p>
    <w:p>
      <w:pPr>
        <w:pStyle w:val="3"/>
        <w:ind w:left="0" w:leftChars="0"/>
        <w:rPr>
          <w:rFonts w:hint="default" w:ascii="ＭＳ ゴシック" w:hAnsi="ＭＳ ゴシック" w:eastAsia="ＭＳ ゴシック"/>
          <w:b w:val="0"/>
          <w:u w:val="none" w:color="auto"/>
        </w:rPr>
      </w:pPr>
      <w:r>
        <w:rPr>
          <w:rFonts w:hint="eastAsia" w:ascii="ＭＳ ゴシック" w:hAnsi="ＭＳ ゴシック" w:eastAsia="ＭＳ ゴシック"/>
          <w:b w:val="0"/>
          <w:u w:val="none" w:color="auto"/>
        </w:rPr>
        <w:t>（５）計画の見直し</w:t>
      </w:r>
    </w:p>
    <w:p>
      <w:pPr>
        <w:pStyle w:val="15"/>
        <w:spacing w:before="46" w:beforeLines="0" w:beforeAutospacing="0" w:line="276" w:lineRule="auto"/>
        <w:ind w:firstLine="277" w:firstLineChars="132"/>
        <w:rPr>
          <w:rFonts w:hint="default" w:ascii="ＭＳ 明朝" w:hAnsi="ＭＳ 明朝" w:eastAsia="ＭＳ 明朝"/>
          <w:b w:val="0"/>
          <w:u w:val="none" w:color="auto"/>
        </w:rPr>
      </w:pPr>
      <w:r>
        <w:rPr>
          <w:rFonts w:hint="eastAsia" w:ascii="ＭＳ 明朝" w:hAnsi="ＭＳ 明朝" w:eastAsia="ＭＳ 明朝"/>
          <w:b w:val="0"/>
          <w:sz w:val="21"/>
          <w:u w:val="none" w:color="auto"/>
        </w:rPr>
        <w:t>本町は、沖縄県や周辺自治体、関係団体などと情報等の共有化を図り、災害時における連携・協力体制を構築し、継続していく中で、災害に対する意識向上や災害廃棄物の処理に関する研修・訓練等の実施に積極的に取り組み、平時から災害への備えを行っていくとともに、以下のような場面で必要に応じて見直しを行う。</w:t>
      </w:r>
    </w:p>
    <w:p>
      <w:pPr>
        <w:pStyle w:val="0"/>
        <w:numPr>
          <w:numId w:val="0"/>
        </w:numPr>
        <w:autoSpaceDE w:val="1"/>
        <w:autoSpaceDN w:val="1"/>
        <w:spacing w:before="46" w:beforeLines="0" w:beforeAutospacing="0" w:line="276" w:lineRule="auto"/>
        <w:ind w:left="0" w:leftChars="0" w:firstLineChars="0"/>
        <w:jc w:val="both"/>
        <w:rPr>
          <w:rFonts w:hint="default" w:ascii="ＭＳ 明朝" w:hAnsi="ＭＳ 明朝" w:eastAsia="ＭＳ 明朝"/>
          <w:b w:val="0"/>
          <w:sz w:val="21"/>
          <w:u w:val="none" w:color="auto"/>
        </w:rPr>
      </w:pPr>
    </w:p>
    <w:p>
      <w:pPr>
        <w:pStyle w:val="0"/>
        <w:numPr>
          <w:numId w:val="0"/>
        </w:numPr>
        <w:autoSpaceDE w:val="1"/>
        <w:autoSpaceDN w:val="1"/>
        <w:spacing w:before="46" w:beforeLines="0" w:beforeAutospacing="0" w:line="276" w:lineRule="auto"/>
        <w:ind w:left="640" w:leftChars="100" w:hanging="420" w:hangingChars="200"/>
        <w:jc w:val="both"/>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　南風原町地域防災計画や被害想定が修正された場合</w:t>
      </w:r>
    </w:p>
    <w:p>
      <w:pPr>
        <w:pStyle w:val="0"/>
        <w:numPr>
          <w:numId w:val="0"/>
        </w:numPr>
        <w:autoSpaceDE w:val="1"/>
        <w:autoSpaceDN w:val="1"/>
        <w:spacing w:before="46" w:beforeLines="0" w:beforeAutospacing="0" w:line="276" w:lineRule="auto"/>
        <w:ind w:left="0" w:leftChars="0" w:firstLine="210" w:firstLineChars="100"/>
        <w:jc w:val="both"/>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　関係法令（災害対策基本法、廃棄物処理法等）や関連計画、対策指針が改正された場</w:t>
      </w:r>
    </w:p>
    <w:p>
      <w:pPr>
        <w:pStyle w:val="0"/>
        <w:numPr>
          <w:numId w:val="0"/>
        </w:numPr>
        <w:autoSpaceDE w:val="1"/>
        <w:autoSpaceDN w:val="1"/>
        <w:spacing w:before="46" w:beforeLines="0" w:beforeAutospacing="0" w:line="276" w:lineRule="auto"/>
        <w:ind w:left="0" w:leftChars="0" w:firstLine="210" w:firstLineChars="100"/>
        <w:jc w:val="both"/>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　　合</w:t>
      </w:r>
    </w:p>
    <w:p>
      <w:pPr>
        <w:pStyle w:val="17"/>
        <w:numPr>
          <w:numId w:val="0"/>
        </w:numPr>
        <w:autoSpaceDE w:val="1"/>
        <w:autoSpaceDN w:val="1"/>
        <w:spacing w:before="46" w:beforeLines="0" w:beforeAutospacing="0" w:line="276" w:lineRule="auto"/>
        <w:ind w:left="0" w:leftChars="0" w:firstLine="210" w:firstLineChars="100"/>
        <w:jc w:val="both"/>
        <w:rPr>
          <w:rFonts w:hint="default"/>
          <w:b w:val="0"/>
          <w:u w:val="none" w:color="auto"/>
        </w:rPr>
      </w:pPr>
      <w:r>
        <w:rPr>
          <w:rFonts w:hint="eastAsia" w:ascii="ＭＳ 明朝" w:hAnsi="ＭＳ 明朝" w:eastAsia="ＭＳ 明朝"/>
          <w:b w:val="0"/>
          <w:sz w:val="21"/>
          <w:u w:val="none" w:color="auto"/>
        </w:rPr>
        <w:t>○　演習・訓練を通じて、本計画の内容に改善点が見られた場合</w:t>
      </w:r>
    </w:p>
    <w:p>
      <w:pPr>
        <w:pStyle w:val="17"/>
        <w:numPr>
          <w:numId w:val="0"/>
        </w:numPr>
        <w:autoSpaceDE w:val="1"/>
        <w:autoSpaceDN w:val="1"/>
        <w:spacing w:before="46" w:beforeLines="0" w:beforeAutospacing="0" w:line="276" w:lineRule="auto"/>
        <w:ind w:left="0" w:leftChars="0" w:firstLine="210" w:firstLineChars="100"/>
        <w:jc w:val="both"/>
        <w:rPr>
          <w:rFonts w:hint="default"/>
          <w:b w:val="0"/>
          <w:u w:val="none" w:color="auto"/>
        </w:rPr>
      </w:pPr>
      <w:r>
        <w:rPr>
          <w:rFonts w:hint="eastAsia" w:ascii="ＭＳ 明朝" w:hAnsi="ＭＳ 明朝" w:eastAsia="ＭＳ 明朝"/>
          <w:b w:val="0"/>
          <w:sz w:val="21"/>
          <w:u w:val="none" w:color="auto"/>
        </w:rPr>
        <w:t>○　その他町長が必要と認める場合</w:t>
      </w:r>
    </w:p>
    <w:p>
      <w:pPr>
        <w:pStyle w:val="17"/>
        <w:numPr>
          <w:numId w:val="0"/>
        </w:numPr>
        <w:autoSpaceDE w:val="1"/>
        <w:autoSpaceDN w:val="1"/>
        <w:spacing w:before="46" w:beforeLines="0" w:beforeAutospacing="0" w:line="276" w:lineRule="auto"/>
        <w:ind w:left="0" w:leftChars="0" w:firstLine="0" w:firstLineChars="0"/>
        <w:jc w:val="both"/>
        <w:rPr>
          <w:rFonts w:hint="default"/>
          <w:b w:val="0"/>
          <w:u w:val="none" w:color="auto"/>
        </w:rPr>
      </w:pPr>
    </w:p>
    <w:p>
      <w:pPr>
        <w:pStyle w:val="17"/>
        <w:numPr>
          <w:numId w:val="0"/>
        </w:numPr>
        <w:autoSpaceDE w:val="1"/>
        <w:autoSpaceDN w:val="1"/>
        <w:spacing w:before="46" w:beforeLines="0" w:beforeAutospacing="0" w:line="276" w:lineRule="auto"/>
        <w:ind w:left="0" w:leftChars="0" w:firstLine="0" w:firstLineChars="0"/>
        <w:jc w:val="both"/>
        <w:rPr>
          <w:rFonts w:hint="default"/>
        </w:rPr>
      </w:pPr>
    </w:p>
    <w:p>
      <w:pPr>
        <w:pStyle w:val="17"/>
        <w:numPr>
          <w:numId w:val="0"/>
        </w:numPr>
        <w:autoSpaceDE w:val="1"/>
        <w:autoSpaceDN w:val="1"/>
        <w:spacing w:before="46" w:beforeLines="0" w:beforeAutospacing="0" w:line="276" w:lineRule="auto"/>
        <w:ind w:left="0" w:leftChars="0" w:firstLine="0" w:firstLineChars="0"/>
        <w:jc w:val="both"/>
        <w:rPr>
          <w:rFonts w:hint="default"/>
        </w:rPr>
      </w:pPr>
    </w:p>
    <w:p>
      <w:pPr>
        <w:pStyle w:val="17"/>
        <w:numPr>
          <w:numId w:val="0"/>
        </w:numPr>
        <w:autoSpaceDE w:val="1"/>
        <w:autoSpaceDN w:val="1"/>
        <w:spacing w:before="46" w:beforeLines="0" w:beforeAutospacing="0" w:line="276" w:lineRule="auto"/>
        <w:ind w:left="0" w:leftChars="0" w:firstLine="0" w:firstLineChars="0"/>
        <w:jc w:val="both"/>
        <w:rPr>
          <w:rFonts w:hint="default"/>
        </w:rPr>
      </w:pPr>
    </w:p>
    <w:p>
      <w:pPr>
        <w:pStyle w:val="17"/>
        <w:numPr>
          <w:numId w:val="0"/>
        </w:numPr>
        <w:autoSpaceDE w:val="1"/>
        <w:autoSpaceDN w:val="1"/>
        <w:spacing w:before="46" w:beforeLines="0" w:beforeAutospacing="0" w:line="276" w:lineRule="auto"/>
        <w:ind w:left="0" w:leftChars="0" w:firstLine="0" w:firstLineChars="0"/>
        <w:jc w:val="both"/>
        <w:rPr>
          <w:rFonts w:hint="default"/>
        </w:rPr>
      </w:pPr>
    </w:p>
    <w:p>
      <w:pPr>
        <w:pStyle w:val="17"/>
        <w:numPr>
          <w:numId w:val="0"/>
        </w:numPr>
        <w:autoSpaceDE w:val="1"/>
        <w:autoSpaceDN w:val="1"/>
        <w:spacing w:before="46" w:beforeLines="0" w:beforeAutospacing="0" w:line="276" w:lineRule="auto"/>
        <w:ind w:left="0" w:leftChars="0" w:firstLine="0" w:firstLineChars="0"/>
        <w:jc w:val="both"/>
        <w:rPr>
          <w:rFonts w:hint="default"/>
        </w:rPr>
      </w:pPr>
    </w:p>
    <w:p>
      <w:pPr>
        <w:pStyle w:val="17"/>
        <w:numPr>
          <w:numId w:val="0"/>
        </w:numPr>
        <w:autoSpaceDE w:val="1"/>
        <w:autoSpaceDN w:val="1"/>
        <w:spacing w:before="46" w:beforeLines="0" w:beforeAutospacing="0" w:line="276" w:lineRule="auto"/>
        <w:ind w:left="0" w:leftChars="0" w:firstLine="0" w:firstLineChars="0"/>
        <w:jc w:val="both"/>
        <w:rPr>
          <w:rFonts w:hint="default"/>
        </w:rPr>
      </w:pPr>
    </w:p>
    <w:p>
      <w:pPr>
        <w:pStyle w:val="17"/>
        <w:numPr>
          <w:numId w:val="0"/>
        </w:numPr>
        <w:autoSpaceDE w:val="1"/>
        <w:autoSpaceDN w:val="1"/>
        <w:spacing w:before="46" w:beforeLines="0" w:beforeAutospacing="0" w:line="276" w:lineRule="auto"/>
        <w:ind w:left="0" w:leftChars="0" w:firstLine="0" w:firstLineChars="0"/>
        <w:jc w:val="both"/>
        <w:rPr>
          <w:rFonts w:hint="default"/>
        </w:rPr>
      </w:pPr>
    </w:p>
    <w:p>
      <w:pPr>
        <w:pStyle w:val="17"/>
        <w:numPr>
          <w:numId w:val="0"/>
        </w:numPr>
        <w:autoSpaceDE w:val="1"/>
        <w:autoSpaceDN w:val="1"/>
        <w:spacing w:before="46" w:beforeLines="0" w:beforeAutospacing="0" w:line="276" w:lineRule="auto"/>
        <w:ind w:left="0" w:leftChars="0" w:firstLine="0" w:firstLineChars="0"/>
        <w:jc w:val="both"/>
        <w:rPr>
          <w:rFonts w:hint="default"/>
        </w:rPr>
      </w:pPr>
    </w:p>
    <w:p>
      <w:pPr>
        <w:pStyle w:val="17"/>
        <w:numPr>
          <w:numId w:val="0"/>
        </w:numPr>
        <w:autoSpaceDE w:val="1"/>
        <w:autoSpaceDN w:val="1"/>
        <w:spacing w:before="46" w:beforeLines="0" w:beforeAutospacing="0" w:line="276" w:lineRule="auto"/>
        <w:ind w:left="0" w:leftChars="0" w:firstLine="0" w:firstLineChars="0"/>
        <w:jc w:val="both"/>
        <w:rPr>
          <w:rFonts w:hint="default"/>
        </w:rPr>
      </w:pPr>
    </w:p>
    <w:p>
      <w:pPr>
        <w:pStyle w:val="17"/>
        <w:numPr>
          <w:numId w:val="0"/>
        </w:numPr>
        <w:autoSpaceDE w:val="1"/>
        <w:autoSpaceDN w:val="1"/>
        <w:spacing w:before="46" w:beforeLines="0" w:beforeAutospacing="0" w:line="276" w:lineRule="auto"/>
        <w:ind w:left="0" w:leftChars="0" w:firstLine="0" w:firstLineChars="0"/>
        <w:jc w:val="both"/>
        <w:rPr>
          <w:rFonts w:hint="default"/>
        </w:rPr>
      </w:pPr>
    </w:p>
    <w:p>
      <w:pPr>
        <w:pStyle w:val="17"/>
        <w:numPr>
          <w:numId w:val="0"/>
        </w:numPr>
        <w:autoSpaceDE w:val="1"/>
        <w:autoSpaceDN w:val="1"/>
        <w:spacing w:before="46" w:beforeLines="0" w:beforeAutospacing="0" w:line="276" w:lineRule="auto"/>
        <w:ind w:left="0" w:leftChars="0" w:firstLine="0" w:firstLineChars="0"/>
        <w:jc w:val="both"/>
        <w:rPr>
          <w:rFonts w:hint="default"/>
        </w:rPr>
      </w:pPr>
    </w:p>
    <w:p>
      <w:pPr>
        <w:pStyle w:val="17"/>
        <w:numPr>
          <w:numId w:val="0"/>
        </w:numPr>
        <w:autoSpaceDE w:val="1"/>
        <w:autoSpaceDN w:val="1"/>
        <w:spacing w:before="46" w:beforeLines="0" w:beforeAutospacing="0" w:line="276" w:lineRule="auto"/>
        <w:ind w:left="0" w:leftChars="0" w:firstLine="0" w:firstLineChars="0"/>
        <w:jc w:val="both"/>
        <w:rPr>
          <w:rFonts w:hint="default"/>
        </w:rPr>
      </w:pPr>
    </w:p>
    <w:p>
      <w:pPr>
        <w:pStyle w:val="17"/>
        <w:numPr>
          <w:numId w:val="0"/>
        </w:numPr>
        <w:autoSpaceDE w:val="1"/>
        <w:autoSpaceDN w:val="1"/>
        <w:spacing w:before="46" w:beforeLines="0" w:beforeAutospacing="0" w:line="276" w:lineRule="auto"/>
        <w:ind w:left="0" w:leftChars="0" w:firstLine="0" w:firstLineChars="0"/>
        <w:jc w:val="both"/>
        <w:rPr>
          <w:rFonts w:hint="default"/>
        </w:rPr>
      </w:pPr>
    </w:p>
    <w:p>
      <w:pPr>
        <w:pStyle w:val="1"/>
        <w:rPr>
          <w:rFonts w:hint="default" w:ascii="ＭＳ ゴシック" w:hAnsi="ＭＳ ゴシック" w:eastAsia="ＭＳ ゴシック"/>
          <w:sz w:val="28"/>
        </w:rPr>
      </w:pPr>
      <w:bookmarkStart w:id="11" w:name="_Toc60838743"/>
      <w:r>
        <w:rPr>
          <w:rFonts w:hint="default" w:ascii="ＭＳ ゴシック" w:hAnsi="ＭＳ ゴシック" w:eastAsia="ＭＳ ゴシック"/>
          <w:sz w:val="28"/>
        </w:rPr>
        <w:t>2</w:t>
      </w:r>
      <w:r>
        <w:rPr>
          <w:rFonts w:hint="default" w:ascii="ＭＳ ゴシック" w:hAnsi="ＭＳ ゴシック" w:eastAsia="ＭＳ ゴシック"/>
          <w:sz w:val="28"/>
        </w:rPr>
        <w:t>編　災害廃棄物対策</w:t>
      </w:r>
      <w:bookmarkEnd w:id="11"/>
    </w:p>
    <w:p>
      <w:pPr>
        <w:pStyle w:val="0"/>
        <w:widowControl w:val="1"/>
        <w:autoSpaceDE w:val="1"/>
        <w:autoSpaceDN w:val="1"/>
        <w:rPr>
          <w:rFonts w:hint="default"/>
          <w:sz w:val="24"/>
        </w:rPr>
      </w:pPr>
    </w:p>
    <w:p>
      <w:pPr>
        <w:pStyle w:val="2"/>
        <w:numPr>
          <w:ilvl w:val="0"/>
          <w:numId w:val="2"/>
        </w:numPr>
        <w:rPr>
          <w:rFonts w:hint="default" w:ascii="ＭＳ ゴシック" w:hAnsi="ＭＳ ゴシック" w:eastAsia="ＭＳ ゴシック"/>
          <w:sz w:val="24"/>
        </w:rPr>
      </w:pPr>
      <w:bookmarkStart w:id="12" w:name="_Toc60838744"/>
      <w:r>
        <w:rPr>
          <w:rFonts w:hint="default" w:ascii="ＭＳ ゴシック" w:hAnsi="ＭＳ ゴシック" w:eastAsia="ＭＳ ゴシック"/>
          <w:sz w:val="24"/>
        </w:rPr>
        <w:t>組織体制・指揮命令系統</w:t>
      </w:r>
      <w:bookmarkEnd w:id="12"/>
    </w:p>
    <w:p>
      <w:pPr>
        <w:pStyle w:val="0"/>
        <w:rPr>
          <w:rFonts w:hint="default"/>
        </w:rPr>
      </w:pPr>
    </w:p>
    <w:p>
      <w:pPr>
        <w:pStyle w:val="3"/>
        <w:ind w:left="0" w:leftChars="0"/>
        <w:rPr>
          <w:rFonts w:hint="default" w:ascii="ＭＳ ゴシック" w:hAnsi="ＭＳ ゴシック" w:eastAsia="ＭＳ ゴシック"/>
        </w:rPr>
      </w:pPr>
      <w:bookmarkStart w:id="13" w:name="_Toc60838745"/>
      <w:r>
        <w:rPr>
          <w:rFonts w:hint="eastAsia" w:ascii="ＭＳ ゴシック" w:hAnsi="ＭＳ ゴシック" w:eastAsia="ＭＳ ゴシック"/>
        </w:rPr>
        <w:t>（１）町災害対策本部</w:t>
      </w:r>
      <w:bookmarkEnd w:id="13"/>
    </w:p>
    <w:p>
      <w:pPr>
        <w:pStyle w:val="15"/>
        <w:spacing w:before="46" w:beforeLines="0" w:beforeAutospacing="0" w:line="276" w:lineRule="auto"/>
        <w:ind w:firstLine="210" w:firstLineChars="100"/>
        <w:rPr>
          <w:rFonts w:hint="default" w:ascii="ＭＳ 明朝" w:hAnsi="ＭＳ 明朝" w:eastAsia="ＭＳ 明朝"/>
          <w:sz w:val="21"/>
        </w:rPr>
      </w:pPr>
      <w:r>
        <w:rPr>
          <w:rFonts w:hint="default" w:ascii="ＭＳ 明朝" w:hAnsi="ＭＳ 明朝" w:eastAsia="ＭＳ 明朝"/>
          <w:sz w:val="21"/>
        </w:rPr>
        <w:t>発災直後の配備体制と業務は、</w:t>
      </w:r>
      <w:r>
        <w:rPr>
          <w:rFonts w:hint="eastAsia" w:ascii="ＭＳ 明朝" w:hAnsi="ＭＳ 明朝" w:eastAsia="ＭＳ 明朝"/>
          <w:sz w:val="21"/>
        </w:rPr>
        <w:t>地域防災計画に基づき図３のとおりとする。</w:t>
      </w:r>
    </w:p>
    <w:p>
      <w:pPr>
        <w:pStyle w:val="15"/>
        <w:spacing w:before="46" w:beforeLines="0" w:beforeAutospacing="0" w:line="276" w:lineRule="auto"/>
        <w:ind w:firstLine="210" w:firstLineChars="100"/>
        <w:rPr>
          <w:rFonts w:hint="default" w:ascii="ＭＳ 明朝" w:hAnsi="ＭＳ 明朝" w:eastAsia="ＭＳ 明朝"/>
          <w:sz w:val="21"/>
        </w:rPr>
      </w:pPr>
    </w:p>
    <w:p>
      <w:pPr>
        <w:pStyle w:val="15"/>
        <w:spacing w:before="46" w:beforeLines="0" w:beforeAutospacing="0" w:line="276" w:lineRule="auto"/>
        <w:ind w:firstLine="210" w:firstLineChars="100"/>
        <w:jc w:val="center"/>
        <w:rPr>
          <w:rFonts w:hint="default" w:ascii="ＭＳ 明朝" w:hAnsi="ＭＳ 明朝" w:eastAsia="ＭＳ 明朝"/>
          <w:sz w:val="21"/>
        </w:rPr>
      </w:pPr>
      <w:r>
        <w:rPr>
          <w:rFonts w:hint="eastAsia"/>
        </w:rPr>
        <w:drawing>
          <wp:inline distT="0" distB="0" distL="203200" distR="203200">
            <wp:extent cx="4886325" cy="6310630"/>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10"/>
                    <a:stretch>
                      <a:fillRect/>
                    </a:stretch>
                  </pic:blipFill>
                  <pic:spPr>
                    <a:xfrm>
                      <a:off x="0" y="0"/>
                      <a:ext cx="4886325" cy="6310630"/>
                    </a:xfrm>
                    <a:prstGeom prst="rect">
                      <a:avLst/>
                    </a:prstGeom>
                  </pic:spPr>
                </pic:pic>
              </a:graphicData>
            </a:graphic>
          </wp:inline>
        </w:drawing>
      </w:r>
    </w:p>
    <w:p>
      <w:pPr>
        <w:pStyle w:val="0"/>
        <w:spacing w:line="276" w:lineRule="auto"/>
        <w:rPr>
          <w:rFonts w:hint="default" w:ascii="ＭＳ 明朝" w:hAnsi="ＭＳ 明朝" w:eastAsia="ＭＳ 明朝"/>
          <w:sz w:val="18"/>
        </w:rPr>
      </w:pPr>
      <w:r>
        <w:rPr>
          <w:rFonts w:hint="eastAsia"/>
        </w:rPr>
        <mc:AlternateContent>
          <mc:Choice Requires="wps">
            <w:drawing>
              <wp:anchor distT="0" distB="0" distL="203200" distR="203200" simplePos="0" relativeHeight="72" behindDoc="0" locked="0" layoutInCell="1" hidden="0" allowOverlap="1">
                <wp:simplePos x="0" y="0"/>
                <wp:positionH relativeFrom="column">
                  <wp:posOffset>2658745</wp:posOffset>
                </wp:positionH>
                <wp:positionV relativeFrom="paragraph">
                  <wp:posOffset>5508625</wp:posOffset>
                </wp:positionV>
                <wp:extent cx="199390" cy="229870"/>
                <wp:effectExtent l="0" t="0" r="635" b="635"/>
                <wp:wrapNone/>
                <wp:docPr id="1030" name="オブジェクト 0"/>
                <a:graphic xmlns:a="http://schemas.openxmlformats.org/drawingml/2006/main">
                  <a:graphicData uri="http://schemas.microsoft.com/office/word/2010/wordprocessingShape">
                    <wps:wsp>
                      <wps:cNvPr id="1030" name="オブジェクト 0"/>
                      <wps:cNvSpPr/>
                      <wps:spPr>
                        <a:xfrm>
                          <a:off x="0" y="0"/>
                          <a:ext cx="199390" cy="229870"/>
                        </a:xfrm>
                        <a:prstGeom prst="rect">
                          <a:avLst/>
                        </a:prstGeom>
                        <a:solidFill>
                          <a:schemeClr val="bg1"/>
                        </a:solidFill>
                        <a:ln w="12700" cap="flat" cmpd="sng" algn="ctr">
                          <a:no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16pt;mso-wrap-distance-bottom:0pt;margin-top:433.75pt;mso-position-vertical-relative:text;mso-position-horizontal-relative:text;position:absolute;height:18.100000000000001pt;mso-wrap-distance-top:0pt;width:15.7pt;mso-wrap-distance-left:16pt;margin-left:209.35pt;z-index:72;" o:spid="_x0000_s1030" o:allowincell="t" o:allowoverlap="t" filled="t" fillcolor="#ffffff [3212]" stroked="f" strokecolor="#32528f" strokeweight="1pt" o:spt="1">
                <v:fill/>
                <v:stroke linestyle="single" miterlimit="8" endcap="flat" dashstyle="solid"/>
                <v:textbox style="layout-flow:horizontal;"/>
                <v:imagedata o:title=""/>
                <w10:wrap type="none" anchorx="text" anchory="text"/>
              </v:rect>
            </w:pict>
          </mc:Fallback>
        </mc:AlternateContent>
      </w:r>
    </w:p>
    <w:p>
      <w:pPr>
        <w:pStyle w:val="0"/>
        <w:jc w:val="center"/>
        <w:rPr>
          <w:rFonts w:hint="default"/>
          <w:sz w:val="21"/>
        </w:rPr>
      </w:pPr>
      <w:r>
        <w:rPr>
          <w:rFonts w:hint="default"/>
          <w:sz w:val="21"/>
        </w:rPr>
        <w:t>図</w:t>
      </w:r>
      <w:r>
        <w:rPr>
          <w:rFonts w:hint="eastAsia"/>
          <w:sz w:val="20"/>
        </w:rPr>
        <w:t>３　</w:t>
      </w:r>
      <w:r>
        <w:rPr>
          <w:rFonts w:hint="eastAsia" w:ascii="ＭＳ 明朝" w:hAnsi="ＭＳ 明朝" w:eastAsia="ＭＳ 明朝"/>
          <w:sz w:val="21"/>
        </w:rPr>
        <w:t>南風原町災害対策本部組織の構成</w:t>
      </w:r>
    </w:p>
    <w:p>
      <w:pPr>
        <w:pStyle w:val="0"/>
        <w:spacing w:line="276" w:lineRule="auto"/>
        <w:rPr>
          <w:rFonts w:hint="default" w:ascii="ＭＳ 明朝" w:hAnsi="ＭＳ 明朝" w:eastAsia="ＭＳ 明朝"/>
          <w:sz w:val="18"/>
        </w:rPr>
      </w:pPr>
      <w:r>
        <w:rPr>
          <w:rFonts w:hint="eastAsia" w:ascii="ＭＳ 明朝" w:hAnsi="ＭＳ 明朝" w:eastAsia="ＭＳ 明朝"/>
          <w:sz w:val="18"/>
        </w:rPr>
        <w:t>出典：南風原町地域防災計画</w:t>
      </w:r>
      <w:r>
        <w:rPr>
          <w:rFonts w:hint="default" w:ascii="ＭＳ 明朝" w:hAnsi="ＭＳ 明朝" w:eastAsia="ＭＳ 明朝"/>
          <w:sz w:val="18"/>
        </w:rPr>
        <w:t xml:space="preserve"> </w:t>
      </w:r>
    </w:p>
    <w:p>
      <w:pPr>
        <w:pStyle w:val="0"/>
        <w:spacing w:line="276" w:lineRule="auto"/>
        <w:rPr>
          <w:rFonts w:hint="default" w:ascii="ＭＳ 明朝" w:hAnsi="ＭＳ 明朝" w:eastAsia="ＭＳ 明朝"/>
          <w:sz w:val="18"/>
        </w:rPr>
      </w:pPr>
    </w:p>
    <w:p>
      <w:pPr>
        <w:pStyle w:val="3"/>
        <w:ind w:left="0" w:leftChars="0"/>
        <w:rPr>
          <w:rFonts w:hint="default" w:ascii="ＭＳ ゴシック" w:hAnsi="ＭＳ ゴシック" w:eastAsia="ＭＳ ゴシック"/>
        </w:rPr>
      </w:pPr>
      <w:bookmarkStart w:id="14" w:name="_Toc60838746"/>
      <w:r>
        <w:rPr>
          <w:rFonts w:hint="eastAsia" w:ascii="ＭＳ ゴシック" w:hAnsi="ＭＳ ゴシック" w:eastAsia="ＭＳ ゴシック"/>
        </w:rPr>
        <w:t>（２）災害廃棄物対策の担当組織</w:t>
      </w:r>
      <w:bookmarkEnd w:id="14"/>
    </w:p>
    <w:p>
      <w:pPr>
        <w:pStyle w:val="15"/>
        <w:spacing w:before="45" w:beforeLines="0" w:beforeAutospacing="0" w:line="276" w:lineRule="auto"/>
        <w:ind w:right="127" w:firstLine="210" w:firstLineChars="100"/>
        <w:rPr>
          <w:rFonts w:hint="default" w:ascii="ＭＳ 明朝" w:hAnsi="ＭＳ 明朝" w:eastAsia="ＭＳ 明朝"/>
          <w:kern w:val="2"/>
          <w:sz w:val="21"/>
        </w:rPr>
      </w:pPr>
      <w:r>
        <w:rPr>
          <w:rFonts w:hint="eastAsia" w:ascii="ＭＳ 明朝" w:hAnsi="ＭＳ 明朝" w:eastAsia="ＭＳ 明朝"/>
          <w:kern w:val="2"/>
          <w:sz w:val="21"/>
        </w:rPr>
        <w:t>災害廃棄物処理を担当する組織については、図４</w:t>
      </w:r>
      <w:r>
        <w:rPr>
          <w:rFonts w:hint="default" w:ascii="ＭＳ 明朝" w:hAnsi="ＭＳ 明朝" w:eastAsia="ＭＳ 明朝"/>
          <w:kern w:val="2"/>
          <w:sz w:val="21"/>
        </w:rPr>
        <w:t>の機能組織を目安として、発災後の被害状況に応じて人員を確保する。</w:t>
      </w:r>
    </w:p>
    <w:p>
      <w:pPr>
        <w:pStyle w:val="15"/>
        <w:spacing w:before="45" w:beforeLines="0" w:beforeAutospacing="0" w:line="276" w:lineRule="auto"/>
        <w:ind w:right="127" w:firstLine="210" w:firstLineChars="100"/>
        <w:rPr>
          <w:rFonts w:hint="default" w:ascii="ＭＳ 明朝" w:hAnsi="ＭＳ 明朝" w:eastAsia="ＭＳ 明朝"/>
          <w:kern w:val="2"/>
          <w:sz w:val="21"/>
        </w:rPr>
      </w:pPr>
      <w:r>
        <w:rPr>
          <w:rFonts w:hint="eastAsia" w:ascii="ＭＳ 明朝" w:hAnsi="ＭＳ 明朝" w:eastAsia="ＭＳ 明朝"/>
          <w:kern w:val="2"/>
          <w:sz w:val="21"/>
        </w:rPr>
        <w:t>発災後の各フェーズで行う業務の概要は、表５</w:t>
      </w:r>
      <w:r>
        <w:rPr>
          <w:rFonts w:hint="default" w:ascii="ＭＳ 明朝" w:hAnsi="ＭＳ 明朝" w:eastAsia="ＭＳ 明朝"/>
          <w:kern w:val="2"/>
          <w:sz w:val="21"/>
        </w:rPr>
        <w:t>及び表</w:t>
      </w:r>
      <w:r>
        <w:rPr>
          <w:rFonts w:hint="eastAsia" w:ascii="ＭＳ 明朝" w:hAnsi="ＭＳ 明朝" w:eastAsia="ＭＳ 明朝"/>
          <w:kern w:val="2"/>
          <w:sz w:val="21"/>
        </w:rPr>
        <w:t>６</w:t>
      </w:r>
      <w:r>
        <w:rPr>
          <w:rFonts w:hint="default" w:ascii="ＭＳ 明朝" w:hAnsi="ＭＳ 明朝" w:eastAsia="ＭＳ 明朝"/>
          <w:kern w:val="2"/>
          <w:sz w:val="21"/>
        </w:rPr>
        <w:t>のとおりである。各フェーズについては、災害規模等により異なるが、初動期は発災から７日程度まで、応急対応は、発災から３週間程度とそれ以降の３か月程度まで、復旧・復興は応急対策後から１年程度を目安とする。</w:t>
      </w:r>
    </w:p>
    <w:p>
      <w:pPr>
        <w:pStyle w:val="15"/>
        <w:spacing w:before="45" w:beforeLines="0" w:beforeAutospacing="0" w:line="276" w:lineRule="auto"/>
        <w:ind w:right="127" w:firstLine="210" w:firstLineChars="100"/>
        <w:rPr>
          <w:rFonts w:hint="default" w:ascii="ＭＳ 明朝" w:hAnsi="ＭＳ 明朝" w:eastAsia="ＭＳ 明朝"/>
          <w:kern w:val="2"/>
          <w:sz w:val="21"/>
        </w:rPr>
      </w:pPr>
      <w:r>
        <w:rPr>
          <w:rFonts w:hint="eastAsia"/>
        </w:rPr>
        <mc:AlternateContent>
          <mc:Choice Requires="wpg">
            <w:drawing>
              <wp:anchor simplePos="0" relativeHeight="73" behindDoc="0" locked="0" layoutInCell="1" hidden="0" allowOverlap="1">
                <wp:simplePos x="0" y="0"/>
                <wp:positionH relativeFrom="column">
                  <wp:posOffset>173355</wp:posOffset>
                </wp:positionH>
                <wp:positionV relativeFrom="paragraph">
                  <wp:posOffset>40640</wp:posOffset>
                </wp:positionV>
                <wp:extent cx="5238750" cy="4881245"/>
                <wp:effectExtent l="635" t="635" r="29845" b="10795"/>
                <wp:wrapNone/>
                <wp:docPr id="1031" name="オブジェクト 0"/>
                <a:graphic xmlns:a="http://schemas.openxmlformats.org/drawingml/2006/main">
                  <a:graphicData uri="http://schemas.microsoft.com/office/word/2010/wordprocessingGroup">
                    <wpg:wgp>
                      <wpg:cNvGrpSpPr/>
                      <wpg:grpSpPr>
                        <a:xfrm>
                          <a:off x="0" y="0"/>
                          <a:ext cx="5238750" cy="4881245"/>
                          <a:chOff x="1864" y="2136"/>
                          <a:chExt cx="8175" cy="7687"/>
                        </a:xfrm>
                      </wpg:grpSpPr>
                      <wps:wsp>
                        <wps:cNvPr id="1032" name="オブジェクト 0"/>
                        <wps:cNvSpPr txBox="1"/>
                        <wps:spPr>
                          <a:xfrm>
                            <a:off x="4989" y="2307"/>
                            <a:ext cx="1829" cy="364"/>
                          </a:xfrm>
                          <a:prstGeom prst="rect">
                            <a:avLst/>
                          </a:prstGeom>
                          <a:solidFill>
                            <a:schemeClr val="accent1">
                              <a:lumMod val="40000"/>
                              <a:lumOff val="60000"/>
                            </a:schemeClr>
                          </a:solidFill>
                          <a:ln w="1270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spacing w:line="240" w:lineRule="auto"/>
                                <w:jc w:val="center"/>
                                <w:rPr>
                                  <w:rFonts w:hint="eastAsia"/>
                                </w:rPr>
                              </w:pPr>
                              <w:r>
                                <w:rPr>
                                  <w:rFonts w:hint="eastAsia" w:ascii="ＭＳ ゴシック" w:hAnsi="ＭＳ ゴシック" w:eastAsia="ＭＳ ゴシック"/>
                                  <w:sz w:val="16"/>
                                </w:rPr>
                                <w:t>町災害対策本部</w:t>
                              </w:r>
                            </w:p>
                          </w:txbxContent>
                        </wps:txbx>
                        <wps:bodyPr vertOverflow="overflow" horzOverflow="overflow" wrap="square"/>
                      </wps:wsp>
                      <wps:wsp>
                        <wps:cNvPr id="1033" name="オブジェクト 0"/>
                        <wps:cNvSpPr txBox="1"/>
                        <wps:spPr>
                          <a:xfrm>
                            <a:off x="2669" y="3076"/>
                            <a:ext cx="1541" cy="352"/>
                          </a:xfrm>
                          <a:prstGeom prst="rect">
                            <a:avLst/>
                          </a:prstGeom>
                          <a:solidFill>
                            <a:schemeClr val="accent1">
                              <a:lumMod val="40000"/>
                              <a:lumOff val="60000"/>
                            </a:schemeClr>
                          </a:solidFill>
                          <a:ln w="1270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sz w:val="16"/>
                                </w:rPr>
                                <w:t>総合調整業務</w:t>
                              </w:r>
                            </w:p>
                          </w:txbxContent>
                        </wps:txbx>
                        <wps:bodyPr vertOverflow="overflow" horzOverflow="overflow" wrap="square"/>
                      </wps:wsp>
                      <wps:wsp>
                        <wps:cNvPr id="1034" name="オブジェクト 0"/>
                        <wps:cNvSpPr/>
                        <wps:spPr>
                          <a:xfrm>
                            <a:off x="5918" y="2671"/>
                            <a:ext cx="0" cy="218"/>
                          </a:xfrm>
                          <a:prstGeom prst="line">
                            <a:avLst/>
                          </a:prstGeom>
                          <a:ln w="1270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35" name="オブジェクト 0"/>
                        <wps:cNvSpPr/>
                        <wps:spPr>
                          <a:xfrm>
                            <a:off x="3499" y="2889"/>
                            <a:ext cx="5175" cy="0"/>
                          </a:xfrm>
                          <a:prstGeom prst="line">
                            <a:avLst/>
                          </a:prstGeom>
                          <a:ln w="1270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36" name="オブジェクト 0"/>
                        <wps:cNvSpPr/>
                        <wps:spPr>
                          <a:xfrm>
                            <a:off x="3499" y="2889"/>
                            <a:ext cx="0" cy="187"/>
                          </a:xfrm>
                          <a:prstGeom prst="line">
                            <a:avLst/>
                          </a:prstGeom>
                          <a:ln w="1270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37" name="オブジェクト 0"/>
                        <wps:cNvSpPr/>
                        <wps:spPr>
                          <a:xfrm>
                            <a:off x="8674" y="2889"/>
                            <a:ext cx="0" cy="237"/>
                          </a:xfrm>
                          <a:prstGeom prst="line">
                            <a:avLst/>
                          </a:prstGeom>
                          <a:ln w="1270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38" name="オブジェクト 0"/>
                        <wps:cNvSpPr/>
                        <wps:spPr>
                          <a:xfrm>
                            <a:off x="5076" y="2900"/>
                            <a:ext cx="0" cy="226"/>
                          </a:xfrm>
                          <a:prstGeom prst="line">
                            <a:avLst/>
                          </a:prstGeom>
                          <a:ln w="1270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39" name="オブジェクト 0"/>
                        <wps:cNvSpPr/>
                        <wps:spPr>
                          <a:xfrm>
                            <a:off x="6818" y="2900"/>
                            <a:ext cx="0" cy="226"/>
                          </a:xfrm>
                          <a:prstGeom prst="line">
                            <a:avLst/>
                          </a:prstGeom>
                          <a:ln w="1270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wps:wsp>
                        <wps:cNvPr id="1040" name="オブジェクト 0"/>
                        <wps:cNvSpPr txBox="1"/>
                        <wps:spPr>
                          <a:xfrm>
                            <a:off x="7705" y="3076"/>
                            <a:ext cx="2017" cy="352"/>
                          </a:xfrm>
                          <a:prstGeom prst="rect">
                            <a:avLst/>
                          </a:prstGeom>
                          <a:solidFill>
                            <a:schemeClr val="accent1">
                              <a:lumMod val="40000"/>
                              <a:lumOff val="60000"/>
                            </a:schemeClr>
                          </a:solidFill>
                          <a:ln w="1270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sz w:val="16"/>
                                </w:rPr>
                                <w:t>初動対応実行業務</w:t>
                              </w:r>
                            </w:p>
                          </w:txbxContent>
                        </wps:txbx>
                        <wps:bodyPr vertOverflow="overflow" horzOverflow="overflow" wrap="square"/>
                      </wps:wsp>
                      <wps:wsp>
                        <wps:cNvPr id="1041" name="オブジェクト 0"/>
                        <wps:cNvSpPr/>
                        <wps:spPr>
                          <a:xfrm>
                            <a:off x="1864" y="2136"/>
                            <a:ext cx="8175" cy="7687"/>
                          </a:xfrm>
                          <a:prstGeom prst="rect">
                            <a:avLst/>
                          </a:prstGeom>
                          <a:noFill/>
                          <a:ln w="6350" cap="flat" cmpd="sng" algn="ctr">
                            <a:solidFill>
                              <a:schemeClr val="tx1"/>
                            </a:solidFill>
                            <a:prstDash val="sysDot"/>
                            <a:miter lim="800000"/>
                          </a:ln>
                        </wps:spPr>
                        <wps:style>
                          <a:lnRef idx="2">
                            <a:schemeClr val="accent1">
                              <a:shade val="50000"/>
                            </a:schemeClr>
                          </a:lnRef>
                          <a:fillRef idx="1">
                            <a:schemeClr val="accent1"/>
                          </a:fillRef>
                          <a:effectRef idx="0">
                            <a:schemeClr val="accent1"/>
                          </a:effectRef>
                          <a:fontRef idx="minor">
                            <a:schemeClr val="lt1"/>
                          </a:fontRef>
                        </wps:style>
                        <wps:bodyPr/>
                      </wps:wsp>
                      <wps:wsp>
                        <wps:cNvPr id="1042" name="オブジェクト 0"/>
                        <wps:cNvSpPr txBox="1"/>
                        <wps:spPr>
                          <a:xfrm>
                            <a:off x="4327" y="3076"/>
                            <a:ext cx="1541" cy="352"/>
                          </a:xfrm>
                          <a:prstGeom prst="rect">
                            <a:avLst/>
                          </a:prstGeom>
                          <a:solidFill>
                            <a:schemeClr val="accent1">
                              <a:lumMod val="40000"/>
                              <a:lumOff val="60000"/>
                            </a:schemeClr>
                          </a:solidFill>
                          <a:ln w="1270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sz w:val="16"/>
                                </w:rPr>
                                <w:t>計画担当業務</w:t>
                              </w:r>
                            </w:p>
                          </w:txbxContent>
                        </wps:txbx>
                        <wps:bodyPr vertOverflow="overflow" horzOverflow="overflow" wrap="square"/>
                      </wps:wsp>
                      <wps:wsp>
                        <wps:cNvPr id="1043" name="オブジェクト 0"/>
                        <wps:cNvSpPr txBox="1"/>
                        <wps:spPr>
                          <a:xfrm>
                            <a:off x="6002" y="3076"/>
                            <a:ext cx="1541" cy="352"/>
                          </a:xfrm>
                          <a:prstGeom prst="rect">
                            <a:avLst/>
                          </a:prstGeom>
                          <a:solidFill>
                            <a:schemeClr val="accent1">
                              <a:lumMod val="40000"/>
                              <a:lumOff val="60000"/>
                            </a:schemeClr>
                          </a:solidFill>
                          <a:ln w="1270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sz w:val="16"/>
                                </w:rPr>
                                <w:t>経理業務</w:t>
                              </w:r>
                            </w:p>
                          </w:txbxContent>
                        </wps:txbx>
                        <wps:bodyPr vertOverflow="overflow" horzOverflow="overflow" wrap="square"/>
                      </wps:wsp>
                      <wps:wsp>
                        <wps:cNvPr id="1044" name="オブジェクト 0"/>
                        <wps:cNvSpPr txBox="1"/>
                        <wps:spPr>
                          <a:xfrm>
                            <a:off x="2669" y="3545"/>
                            <a:ext cx="1541" cy="2601"/>
                          </a:xfrm>
                          <a:prstGeom prst="rect">
                            <a:avLst/>
                          </a:prstGeom>
                          <a:noFill/>
                          <a:ln w="6350" cmpd="sng">
                            <a:solidFill>
                              <a:srgbClr val="000000"/>
                            </a:solidFill>
                            <a:prstDash val="sysDash"/>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sz w:val="16"/>
                                </w:rPr>
                                <w:t>庁内調整</w:t>
                              </w:r>
                            </w:p>
                            <w:p>
                              <w:pPr>
                                <w:pStyle w:val="0"/>
                                <w:rPr>
                                  <w:rFonts w:hint="eastAsia"/>
                                </w:rPr>
                              </w:pPr>
                              <w:r>
                                <w:rPr>
                                  <w:rFonts w:hint="eastAsia" w:ascii="ＭＳ ゴシック" w:hAnsi="ＭＳ ゴシック" w:eastAsia="ＭＳ ゴシック"/>
                                  <w:sz w:val="16"/>
                                </w:rPr>
                                <w:t>事務予算の確保</w:t>
                              </w:r>
                            </w:p>
                            <w:p>
                              <w:pPr>
                                <w:pStyle w:val="0"/>
                                <w:rPr>
                                  <w:rFonts w:hint="eastAsia"/>
                                </w:rPr>
                              </w:pPr>
                            </w:p>
                            <w:p>
                              <w:pPr>
                                <w:pStyle w:val="0"/>
                                <w:rPr>
                                  <w:rFonts w:hint="eastAsia"/>
                                </w:rPr>
                              </w:pPr>
                              <w:r>
                                <w:rPr>
                                  <w:rFonts w:hint="eastAsia" w:ascii="ＭＳ ゴシック" w:hAnsi="ＭＳ ゴシック" w:eastAsia="ＭＳ ゴシック"/>
                                  <w:sz w:val="16"/>
                                </w:rPr>
                                <w:t>国、支援団体</w:t>
                              </w:r>
                            </w:p>
                            <w:p>
                              <w:pPr>
                                <w:pStyle w:val="0"/>
                                <w:rPr>
                                  <w:rFonts w:hint="eastAsia"/>
                                </w:rPr>
                              </w:pPr>
                            </w:p>
                            <w:p>
                              <w:pPr>
                                <w:pStyle w:val="0"/>
                                <w:rPr>
                                  <w:rFonts w:hint="eastAsia"/>
                                </w:rPr>
                              </w:pPr>
                              <w:r>
                                <w:rPr>
                                  <w:rFonts w:hint="eastAsia" w:ascii="ＭＳ ゴシック" w:hAnsi="ＭＳ ゴシック" w:eastAsia="ＭＳ ゴシック"/>
                                  <w:sz w:val="16"/>
                                </w:rPr>
                                <w:t>広域処理関係</w:t>
                              </w:r>
                            </w:p>
                            <w:p>
                              <w:pPr>
                                <w:pStyle w:val="0"/>
                                <w:rPr>
                                  <w:rFonts w:hint="eastAsia"/>
                                </w:rPr>
                              </w:pPr>
                            </w:p>
                          </w:txbxContent>
                        </wps:txbx>
                        <wps:bodyPr vertOverflow="overflow" horzOverflow="overflow" wrap="square" lIns="74295" tIns="8890" rIns="74295" bIns="8890"/>
                      </wps:wsp>
                      <wps:wsp>
                        <wps:cNvPr id="1045" name="オブジェクト 0"/>
                        <wps:cNvSpPr txBox="1"/>
                        <wps:spPr>
                          <a:xfrm>
                            <a:off x="4327" y="3545"/>
                            <a:ext cx="1541" cy="2601"/>
                          </a:xfrm>
                          <a:prstGeom prst="rect">
                            <a:avLst/>
                          </a:prstGeom>
                          <a:noFill/>
                          <a:ln w="6350" cmpd="sng">
                            <a:solidFill>
                              <a:srgbClr val="000000"/>
                            </a:solidFill>
                            <a:prstDash val="sysDash"/>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sz w:val="16"/>
                                </w:rPr>
                                <w:t>対外交渉</w:t>
                              </w:r>
                            </w:p>
                            <w:p>
                              <w:pPr>
                                <w:pStyle w:val="0"/>
                                <w:rPr>
                                  <w:rFonts w:hint="eastAsia"/>
                                </w:rPr>
                              </w:pPr>
                            </w:p>
                            <w:p>
                              <w:pPr>
                                <w:pStyle w:val="0"/>
                                <w:rPr>
                                  <w:rFonts w:hint="eastAsia"/>
                                </w:rPr>
                              </w:pPr>
                              <w:r>
                                <w:rPr>
                                  <w:rFonts w:hint="eastAsia" w:ascii="ＭＳ ゴシック" w:hAnsi="ＭＳ ゴシック" w:eastAsia="ＭＳ ゴシック"/>
                                  <w:sz w:val="16"/>
                                </w:rPr>
                                <w:t>町民広報</w:t>
                              </w:r>
                            </w:p>
                            <w:p>
                              <w:pPr>
                                <w:pStyle w:val="0"/>
                                <w:rPr>
                                  <w:rFonts w:hint="eastAsia"/>
                                </w:rPr>
                              </w:pPr>
                            </w:p>
                            <w:p>
                              <w:pPr>
                                <w:pStyle w:val="0"/>
                                <w:rPr>
                                  <w:rFonts w:hint="eastAsia"/>
                                </w:rPr>
                              </w:pPr>
                              <w:r>
                                <w:rPr>
                                  <w:rFonts w:hint="eastAsia" w:ascii="ＭＳ ゴシック" w:hAnsi="ＭＳ ゴシック" w:eastAsia="ＭＳ ゴシック"/>
                                  <w:sz w:val="16"/>
                                </w:rPr>
                                <w:t>処理実行計画作成</w:t>
                              </w:r>
                            </w:p>
                            <w:p>
                              <w:pPr>
                                <w:pStyle w:val="0"/>
                                <w:rPr>
                                  <w:rFonts w:hint="eastAsia"/>
                                </w:rPr>
                              </w:pPr>
                            </w:p>
                          </w:txbxContent>
                        </wps:txbx>
                        <wps:bodyPr vertOverflow="overflow" horzOverflow="overflow" wrap="square" lIns="74295" tIns="8890" rIns="74295" bIns="8890"/>
                      </wps:wsp>
                      <wps:wsp>
                        <wps:cNvPr id="1046" name="オブジェクト 0"/>
                        <wps:cNvSpPr txBox="1"/>
                        <wps:spPr>
                          <a:xfrm>
                            <a:off x="6002" y="3545"/>
                            <a:ext cx="1541" cy="2601"/>
                          </a:xfrm>
                          <a:prstGeom prst="rect">
                            <a:avLst/>
                          </a:prstGeom>
                          <a:noFill/>
                          <a:ln w="6350" cmpd="sng">
                            <a:solidFill>
                              <a:srgbClr val="000000"/>
                            </a:solidFill>
                            <a:prstDash val="sysDash"/>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sz w:val="16"/>
                                </w:rPr>
                                <w:t>資金管理</w:t>
                              </w:r>
                            </w:p>
                            <w:p>
                              <w:pPr>
                                <w:pStyle w:val="0"/>
                                <w:rPr>
                                  <w:rFonts w:hint="eastAsia"/>
                                </w:rPr>
                              </w:pPr>
                            </w:p>
                            <w:p>
                              <w:pPr>
                                <w:pStyle w:val="0"/>
                                <w:rPr>
                                  <w:rFonts w:hint="eastAsia"/>
                                </w:rPr>
                              </w:pPr>
                            </w:p>
                            <w:p>
                              <w:pPr>
                                <w:pStyle w:val="0"/>
                                <w:rPr>
                                  <w:rFonts w:hint="eastAsia"/>
                                </w:rPr>
                              </w:pPr>
                              <w:r>
                                <w:rPr>
                                  <w:rFonts w:hint="eastAsia" w:ascii="ＭＳ ゴシック" w:hAnsi="ＭＳ ゴシック" w:eastAsia="ＭＳ ゴシック"/>
                                  <w:sz w:val="16"/>
                                </w:rPr>
                                <w:t>物品管理</w:t>
                              </w:r>
                            </w:p>
                            <w:p>
                              <w:pPr>
                                <w:pStyle w:val="0"/>
                                <w:rPr>
                                  <w:rFonts w:hint="eastAsia"/>
                                </w:rPr>
                              </w:pPr>
                            </w:p>
                            <w:p>
                              <w:pPr>
                                <w:pStyle w:val="0"/>
                                <w:rPr>
                                  <w:rFonts w:hint="eastAsia"/>
                                </w:rPr>
                              </w:pPr>
                            </w:p>
                            <w:p>
                              <w:pPr>
                                <w:pStyle w:val="0"/>
                                <w:rPr>
                                  <w:rFonts w:hint="eastAsia"/>
                                </w:rPr>
                              </w:pPr>
                            </w:p>
                          </w:txbxContent>
                        </wps:txbx>
                        <wps:bodyPr vertOverflow="overflow" horzOverflow="overflow" wrap="square" lIns="74295" tIns="8890" rIns="74295" bIns="8890"/>
                      </wps:wsp>
                      <wps:wsp>
                        <wps:cNvPr id="1047" name="オブジェクト 0"/>
                        <wps:cNvSpPr txBox="1"/>
                        <wps:spPr>
                          <a:xfrm>
                            <a:off x="7705" y="3545"/>
                            <a:ext cx="2017" cy="2601"/>
                          </a:xfrm>
                          <a:prstGeom prst="rect">
                            <a:avLst/>
                          </a:prstGeom>
                          <a:noFill/>
                          <a:ln w="6350" cmpd="sng">
                            <a:solidFill>
                              <a:srgbClr val="000000"/>
                            </a:solidFill>
                            <a:prstDash val="sysDash"/>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ＭＳ ゴシック" w:hAnsi="ＭＳ ゴシック" w:eastAsia="ＭＳ ゴシック"/>
                                  <w:sz w:val="16"/>
                                </w:rPr>
                                <w:t>建物の解体・がれき撤去</w:t>
                              </w:r>
                            </w:p>
                            <w:p>
                              <w:pPr>
                                <w:pStyle w:val="0"/>
                                <w:rPr>
                                  <w:rFonts w:hint="eastAsia"/>
                                </w:rPr>
                              </w:pPr>
                            </w:p>
                            <w:p>
                              <w:pPr>
                                <w:pStyle w:val="0"/>
                                <w:rPr>
                                  <w:rFonts w:hint="eastAsia"/>
                                </w:rPr>
                              </w:pPr>
                              <w:r>
                                <w:rPr>
                                  <w:rFonts w:hint="eastAsia" w:ascii="ＭＳ ゴシック" w:hAnsi="ＭＳ ゴシック" w:eastAsia="ＭＳ ゴシック"/>
                                  <w:sz w:val="16"/>
                                </w:rPr>
                                <w:t>仮置場・仮設トイレ</w:t>
                              </w:r>
                            </w:p>
                            <w:p>
                              <w:pPr>
                                <w:pStyle w:val="0"/>
                                <w:rPr>
                                  <w:rFonts w:hint="eastAsia"/>
                                </w:rPr>
                              </w:pPr>
                            </w:p>
                            <w:p>
                              <w:pPr>
                                <w:pStyle w:val="0"/>
                                <w:rPr>
                                  <w:rFonts w:hint="eastAsia"/>
                                </w:rPr>
                              </w:pPr>
                              <w:r>
                                <w:rPr>
                                  <w:rFonts w:hint="eastAsia" w:ascii="ＭＳ ゴシック" w:hAnsi="ＭＳ ゴシック" w:eastAsia="ＭＳ ゴシック"/>
                                  <w:sz w:val="16"/>
                                </w:rPr>
                                <w:t>ごみ収集・し尿処理</w:t>
                              </w:r>
                            </w:p>
                            <w:p>
                              <w:pPr>
                                <w:pStyle w:val="0"/>
                                <w:rPr>
                                  <w:rFonts w:hint="eastAsia"/>
                                </w:rPr>
                              </w:pPr>
                            </w:p>
                            <w:p>
                              <w:pPr>
                                <w:pStyle w:val="0"/>
                                <w:rPr>
                                  <w:rFonts w:hint="eastAsia"/>
                                </w:rPr>
                              </w:pPr>
                              <w:r>
                                <w:rPr>
                                  <w:rFonts w:hint="eastAsia" w:ascii="ＭＳ ゴシック" w:hAnsi="ＭＳ ゴシック" w:eastAsia="ＭＳ ゴシック"/>
                                  <w:sz w:val="16"/>
                                </w:rPr>
                                <w:t>仮置場運営管理</w:t>
                              </w:r>
                            </w:p>
                            <w:p>
                              <w:pPr>
                                <w:pStyle w:val="0"/>
                                <w:rPr>
                                  <w:rFonts w:hint="eastAsia"/>
                                </w:rPr>
                              </w:pPr>
                            </w:p>
                          </w:txbxContent>
                        </wps:txbx>
                        <wps:bodyPr vertOverflow="overflow" horzOverflow="overflow" wrap="square" lIns="74295" tIns="8890" rIns="74295" bIns="8890"/>
                      </wps:wsp>
                      <wps:wsp>
                        <wps:cNvPr id="1048" name="オブジェクト 0"/>
                        <wps:cNvSpPr txBox="1"/>
                        <wps:spPr>
                          <a:xfrm>
                            <a:off x="1951" y="6915"/>
                            <a:ext cx="7951" cy="2684"/>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p>
                              <w:pPr>
                                <w:pStyle w:val="0"/>
                                <w:rPr>
                                  <w:rFonts w:hint="eastAsia"/>
                                </w:rPr>
                              </w:pPr>
                              <w:r>
                                <w:rPr>
                                  <w:rFonts w:hint="eastAsia" w:ascii="ＭＳ 明朝" w:hAnsi="ＭＳ 明朝" w:eastAsia="ＭＳ 明朝"/>
                                  <w:sz w:val="18"/>
                                </w:rPr>
                                <w:t>・発災後には、組織体制図で示す業務の実施が必要となるため、発災前に組織体制を検討して</w:t>
                              </w:r>
                            </w:p>
                            <w:p>
                              <w:pPr>
                                <w:pStyle w:val="0"/>
                                <w:ind w:firstLine="180" w:firstLineChars="100"/>
                                <w:rPr>
                                  <w:rFonts w:hint="eastAsia"/>
                                </w:rPr>
                              </w:pPr>
                              <w:r>
                                <w:rPr>
                                  <w:rFonts w:hint="eastAsia" w:ascii="ＭＳ 明朝" w:hAnsi="ＭＳ 明朝" w:eastAsia="ＭＳ 明朝"/>
                                  <w:sz w:val="18"/>
                                </w:rPr>
                                <w:t>おき、発災直後、迅速に対応できるよう準備をしておく。</w:t>
                              </w:r>
                            </w:p>
                            <w:p>
                              <w:pPr>
                                <w:pStyle w:val="0"/>
                                <w:rPr>
                                  <w:rFonts w:hint="eastAsia"/>
                                </w:rPr>
                              </w:pPr>
                              <w:r>
                                <w:rPr>
                                  <w:rFonts w:hint="eastAsia" w:ascii="ＭＳ 明朝" w:hAnsi="ＭＳ 明朝" w:eastAsia="ＭＳ 明朝"/>
                                  <w:sz w:val="18"/>
                                </w:rPr>
                                <w:t>・発災後には、災害の規模、被災状況、職員の被災状況などを勘案し、応援要請を含めた組織</w:t>
                              </w:r>
                            </w:p>
                            <w:p>
                              <w:pPr>
                                <w:pStyle w:val="0"/>
                                <w:ind w:firstLine="180" w:firstLineChars="100"/>
                                <w:rPr>
                                  <w:rFonts w:hint="eastAsia"/>
                                </w:rPr>
                              </w:pPr>
                              <w:r>
                                <w:rPr>
                                  <w:rFonts w:hint="eastAsia" w:ascii="ＭＳ 明朝" w:hAnsi="ＭＳ 明朝" w:eastAsia="ＭＳ 明朝"/>
                                  <w:sz w:val="18"/>
                                </w:rPr>
                                <w:t>体制の見直しを行う。</w:t>
                              </w:r>
                            </w:p>
                            <w:p>
                              <w:pPr>
                                <w:pStyle w:val="0"/>
                                <w:rPr>
                                  <w:rFonts w:hint="eastAsia"/>
                                </w:rPr>
                              </w:pPr>
                              <w:r>
                                <w:rPr>
                                  <w:rFonts w:hint="eastAsia" w:ascii="ＭＳ 明朝" w:hAnsi="ＭＳ 明朝" w:eastAsia="ＭＳ 明朝"/>
                                  <w:sz w:val="18"/>
                                </w:rPr>
                                <w:t>・必要とされる重点業務は、時間の経過とともに変化するため、処理の進捗等に応じた組織体制</w:t>
                              </w:r>
                            </w:p>
                            <w:p>
                              <w:pPr>
                                <w:pStyle w:val="0"/>
                                <w:rPr>
                                  <w:rFonts w:hint="eastAsia"/>
                                </w:rPr>
                              </w:pPr>
                              <w:r>
                                <w:rPr>
                                  <w:rFonts w:hint="eastAsia" w:ascii="ＭＳ 明朝" w:hAnsi="ＭＳ 明朝" w:eastAsia="ＭＳ 明朝"/>
                                  <w:sz w:val="18"/>
                                </w:rPr>
                                <w:t>　の見直しも必要である。</w:t>
                              </w:r>
                            </w:p>
                            <w:p>
                              <w:pPr>
                                <w:pStyle w:val="0"/>
                                <w:rPr>
                                  <w:rFonts w:hint="eastAsia"/>
                                </w:rPr>
                              </w:pPr>
                              <w:r>
                                <w:rPr>
                                  <w:rFonts w:hint="eastAsia" w:ascii="ＭＳ 明朝" w:hAnsi="ＭＳ 明朝" w:eastAsia="ＭＳ 明朝"/>
                                  <w:sz w:val="18"/>
                                </w:rPr>
                                <w:t>　　　災害応急対応期の業務：　人命救助を最優先とした災害廃棄物の撤去や避難所等における</w:t>
                              </w:r>
                            </w:p>
                            <w:p>
                              <w:pPr>
                                <w:pStyle w:val="0"/>
                                <w:rPr>
                                  <w:rFonts w:hint="eastAsia"/>
                                </w:rPr>
                              </w:pPr>
                              <w:r>
                                <w:rPr>
                                  <w:rFonts w:hint="eastAsia" w:ascii="ＭＳ 明朝" w:hAnsi="ＭＳ 明朝" w:eastAsia="ＭＳ 明朝"/>
                                  <w:sz w:val="18"/>
                                </w:rPr>
                                <w:t>　　　　　　　　　　　　　　　し尿の処理が中心</w:t>
                              </w:r>
                            </w:p>
                            <w:p>
                              <w:pPr>
                                <w:pStyle w:val="0"/>
                                <w:rPr>
                                  <w:rFonts w:hint="eastAsia"/>
                                </w:rPr>
                              </w:pPr>
                              <w:r>
                                <w:rPr>
                                  <w:rFonts w:hint="eastAsia" w:ascii="ＭＳ 明朝" w:hAnsi="ＭＳ 明朝" w:eastAsia="ＭＳ 明朝"/>
                                  <w:sz w:val="18"/>
                                </w:rPr>
                                <w:t>　　　復旧・復興期の業務　：　災害廃棄物の処理が中心</w:t>
                              </w:r>
                            </w:p>
                          </w:txbxContent>
                        </wps:txbx>
                        <wps:bodyPr vertOverflow="overflow" horzOverflow="overflow" wrap="square" lIns="74295" tIns="8890" rIns="74295" bIns="8890"/>
                      </wps:wsp>
                      <wps:wsp>
                        <wps:cNvPr id="1049" name="オブジェクト 0"/>
                        <wps:cNvSpPr txBox="1"/>
                        <wps:spPr>
                          <a:xfrm>
                            <a:off x="4686" y="6652"/>
                            <a:ext cx="2938" cy="37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ＭＳ ゴシック" w:hAnsi="ＭＳ ゴシック" w:eastAsia="ＭＳ ゴシック"/>
                                  <w:sz w:val="16"/>
                                </w:rPr>
                                <w:t>図</w:t>
                              </w:r>
                              <w:r>
                                <w:rPr>
                                  <w:rFonts w:hint="eastAsia" w:ascii="ＭＳ ゴシック" w:hAnsi="ＭＳ ゴシック" w:eastAsia="ＭＳ ゴシック"/>
                                  <w:sz w:val="16"/>
                                </w:rPr>
                                <w:t>2-1-1</w:t>
                              </w:r>
                              <w:r>
                                <w:rPr>
                                  <w:rFonts w:hint="eastAsia" w:ascii="ＭＳ ゴシック" w:hAnsi="ＭＳ ゴシック" w:eastAsia="ＭＳ ゴシック"/>
                                  <w:sz w:val="16"/>
                                </w:rPr>
                                <w:t>　組織体制図（例）</w:t>
                              </w:r>
                            </w:p>
                          </w:txbxContent>
                        </wps:txbx>
                        <wps:bodyPr vertOverflow="overflow" horzOverflow="overflow" wrap="square" lIns="74295" tIns="8890" rIns="74295" bIns="8890"/>
                      </wps:wsp>
                    </wpg:wgp>
                  </a:graphicData>
                </a:graphic>
              </wp:anchor>
            </w:drawing>
          </mc:Choice>
          <mc:Fallback>
            <w:pict>
              <v:group id="オブジェクト 0" style="margin-top:3.2pt;mso-position-vertical-relative:text;mso-position-horizontal-relative:text;position:absolute;height:384.35pt;width:412.5pt;margin-left:13.65pt;z-index:73;" coordsize="8175,7687" coordorigin="1864,2136" o:spid="_x0000_s1031" o:allowincell="t" o:allowoverlap="t">
                <v:shapetype id="_x0000_t202" coordsize="21600,21600" o:spt="202" path="m,l,21600r21600,l21600,xe">
                  <v:stroke joinstyle="miter"/>
                  <v:path gradientshapeok="t" o:connecttype="rect"/>
                </v:shapetype>
                <v:shape id="オブジェクト 0" style="height:364;width:1829;top:2307;left:4989;position:absolute;" o:spid="_x0000_s1032" filled="t" fillcolor="#b5c7e8 [1300]" stroked="t" strokecolor="#000000" strokeweight="1pt" o:spt="202" type="#_x0000_t202">
                  <v:fill/>
                  <v:stroke linestyle="single" filltype="solid"/>
                  <v:textbox style="layout-flow:horizontal;">
                    <w:txbxContent>
                      <w:p>
                        <w:pPr>
                          <w:pStyle w:val="0"/>
                          <w:spacing w:line="240" w:lineRule="auto"/>
                          <w:jc w:val="center"/>
                          <w:rPr>
                            <w:rFonts w:hint="eastAsia"/>
                          </w:rPr>
                        </w:pPr>
                        <w:r>
                          <w:rPr>
                            <w:rFonts w:hint="eastAsia" w:ascii="ＭＳ ゴシック" w:hAnsi="ＭＳ ゴシック" w:eastAsia="ＭＳ ゴシック"/>
                            <w:sz w:val="16"/>
                          </w:rPr>
                          <w:t>町災害対策本部</w:t>
                        </w:r>
                      </w:p>
                    </w:txbxContent>
                  </v:textbox>
                  <v:imagedata o:title=""/>
                  <w10:wrap type="none" anchorx="text" anchory="text"/>
                </v:shape>
                <v:shape id="オブジェクト 0" style="height:352;width:1541;top:3076;left:2669;position:absolute;" o:spid="_x0000_s1033" filled="t" fillcolor="#b5c7e8 [1300]" stroked="t" strokecolor="#000000" strokeweight="1pt" o:spt="202" type="#_x0000_t202">
                  <v:fill/>
                  <v:stroke linestyle="single" filltype="solid"/>
                  <v:textbox style="layout-flow:horizontal;">
                    <w:txbxContent>
                      <w:p>
                        <w:pPr>
                          <w:pStyle w:val="0"/>
                          <w:jc w:val="center"/>
                          <w:rPr>
                            <w:rFonts w:hint="eastAsia"/>
                          </w:rPr>
                        </w:pPr>
                        <w:r>
                          <w:rPr>
                            <w:rFonts w:hint="eastAsia" w:ascii="ＭＳ ゴシック" w:hAnsi="ＭＳ ゴシック" w:eastAsia="ＭＳ ゴシック"/>
                            <w:sz w:val="16"/>
                          </w:rPr>
                          <w:t>総合調整業務</w:t>
                        </w:r>
                      </w:p>
                    </w:txbxContent>
                  </v:textbox>
                  <v:imagedata o:title=""/>
                  <w10:wrap type="none" anchorx="text" anchory="text"/>
                </v:shape>
                <v:line id="オブジェクト 0" style="height:218;width:0;top:2671;left:5918;position:absolute;" o:spid="_x0000_s1034" filled="f" stroked="t" strokecolor="#000000 [3213]" strokeweight="1pt" o:spt="20" from="5918,2671" to="5918,2889">
                  <v:fill/>
                  <v:stroke linestyle="single" miterlimit="8" endcap="flat" dashstyle="solid" filltype="solid"/>
                  <v:textbox style="layout-flow:horizontal;"/>
                  <v:imagedata o:title=""/>
                  <w10:wrap type="none" anchorx="text" anchory="text"/>
                </v:line>
                <v:line id="オブジェクト 0" style="height:0;width:5175;top:2889;left:3499;position:absolute;" o:spid="_x0000_s1035" filled="f" stroked="t" strokecolor="#000000 [3213]" strokeweight="1pt" o:spt="20" from="3499,2889" to="8674,2889">
                  <v:fill/>
                  <v:stroke linestyle="single" miterlimit="8" endcap="flat" dashstyle="solid" filltype="solid"/>
                  <v:textbox style="layout-flow:horizontal;"/>
                  <v:imagedata o:title=""/>
                  <w10:wrap type="none" anchorx="text" anchory="text"/>
                </v:line>
                <v:line id="オブジェクト 0" style="height:187;width:0;top:2889;left:3499;position:absolute;" o:spid="_x0000_s1036" filled="f" stroked="t" strokecolor="#000000 [3213]" strokeweight="1pt" o:spt="20" from="3499,2889" to="3499,3076">
                  <v:fill/>
                  <v:stroke linestyle="single" miterlimit="8" endcap="flat" dashstyle="solid" filltype="solid"/>
                  <v:textbox style="layout-flow:horizontal;"/>
                  <v:imagedata o:title=""/>
                  <w10:wrap type="none" anchorx="text" anchory="text"/>
                </v:line>
                <v:line id="オブジェクト 0" style="height:237;width:0;top:2889;left:8674;position:absolute;" o:spid="_x0000_s1037" filled="f" stroked="t" strokecolor="#000000 [3213]" strokeweight="1pt" o:spt="20" from="8674,2889" to="8674,3126">
                  <v:fill/>
                  <v:stroke linestyle="single" miterlimit="8" endcap="flat" dashstyle="solid" filltype="solid"/>
                  <v:textbox style="layout-flow:horizontal;"/>
                  <v:imagedata o:title=""/>
                  <w10:wrap type="none" anchorx="text" anchory="text"/>
                </v:line>
                <v:line id="オブジェクト 0" style="height:226;width:0;top:2900;left:5076;position:absolute;" o:spid="_x0000_s1038" filled="f" stroked="t" strokecolor="#000000 [3213]" strokeweight="1pt" o:spt="20" from="5076,2900" to="5076,3126">
                  <v:fill/>
                  <v:stroke linestyle="single" miterlimit="8" endcap="flat" dashstyle="solid" filltype="solid"/>
                  <v:textbox style="layout-flow:horizontal;"/>
                  <v:imagedata o:title=""/>
                  <w10:wrap type="none" anchorx="text" anchory="text"/>
                </v:line>
                <v:line id="オブジェクト 0" style="height:226;width:0;top:2900;left:6818;position:absolute;" o:spid="_x0000_s1039" filled="f" stroked="t" strokecolor="#000000 [3213]" strokeweight="1pt" o:spt="20" from="6818,2900" to="6818,3126">
                  <v:fill/>
                  <v:stroke linestyle="single" miterlimit="8" endcap="flat" dashstyle="solid" filltype="solid"/>
                  <v:textbox style="layout-flow:horizontal;"/>
                  <v:imagedata o:title=""/>
                  <w10:wrap type="none" anchorx="text" anchory="text"/>
                </v:line>
                <v:shape id="オブジェクト 0" style="height:352;width:2017;top:3076;left:7705;position:absolute;" o:spid="_x0000_s1040" filled="t" fillcolor="#b5c7e8 [1300]" stroked="t" strokecolor="#000000" strokeweight="1pt" o:spt="202" type="#_x0000_t202">
                  <v:fill/>
                  <v:stroke linestyle="single" filltype="solid"/>
                  <v:textbox style="layout-flow:horizontal;">
                    <w:txbxContent>
                      <w:p>
                        <w:pPr>
                          <w:pStyle w:val="0"/>
                          <w:jc w:val="center"/>
                          <w:rPr>
                            <w:rFonts w:hint="eastAsia"/>
                          </w:rPr>
                        </w:pPr>
                        <w:r>
                          <w:rPr>
                            <w:rFonts w:hint="eastAsia" w:ascii="ＭＳ ゴシック" w:hAnsi="ＭＳ ゴシック" w:eastAsia="ＭＳ ゴシック"/>
                            <w:sz w:val="16"/>
                          </w:rPr>
                          <w:t>初動対応実行業務</w:t>
                        </w:r>
                      </w:p>
                    </w:txbxContent>
                  </v:textbox>
                  <v:imagedata o:title=""/>
                  <w10:wrap type="none" anchorx="text" anchory="text"/>
                </v:shape>
                <v:rect id="オブジェクト 0" style="height:7687;width:8175;top:2136;left:1864;position:absolute;" o:spid="_x0000_s1041" filled="f" stroked="t" strokecolor="#000000 [3213]" strokeweight="0.5pt" o:spt="1">
                  <v:fill/>
                  <v:stroke linestyle="single" miterlimit="8" endcap="flat" dashstyle="shortdot" filltype="solid"/>
                  <v:textbox style="layout-flow:horizontal;"/>
                  <v:imagedata o:title=""/>
                  <w10:wrap type="none" anchorx="text" anchory="text"/>
                </v:rect>
                <v:shape id="オブジェクト 0" style="height:352;width:1541;top:3076;left:4327;position:absolute;" o:spid="_x0000_s1042" filled="t" fillcolor="#b5c7e8 [1300]" stroked="t" strokecolor="#000000" strokeweight="1pt" o:spt="202" type="#_x0000_t202">
                  <v:fill/>
                  <v:stroke linestyle="single" filltype="solid"/>
                  <v:textbox style="layout-flow:horizontal;">
                    <w:txbxContent>
                      <w:p>
                        <w:pPr>
                          <w:pStyle w:val="0"/>
                          <w:jc w:val="center"/>
                          <w:rPr>
                            <w:rFonts w:hint="eastAsia"/>
                          </w:rPr>
                        </w:pPr>
                        <w:r>
                          <w:rPr>
                            <w:rFonts w:hint="eastAsia" w:ascii="ＭＳ ゴシック" w:hAnsi="ＭＳ ゴシック" w:eastAsia="ＭＳ ゴシック"/>
                            <w:sz w:val="16"/>
                          </w:rPr>
                          <w:t>計画担当業務</w:t>
                        </w:r>
                      </w:p>
                    </w:txbxContent>
                  </v:textbox>
                  <v:imagedata o:title=""/>
                  <w10:wrap type="none" anchorx="text" anchory="text"/>
                </v:shape>
                <v:shape id="オブジェクト 0" style="height:352;width:1541;top:3076;left:6002;position:absolute;" o:spid="_x0000_s1043" filled="t" fillcolor="#b5c7e8 [1300]" stroked="t" strokecolor="#000000" strokeweight="1pt" o:spt="202" type="#_x0000_t202">
                  <v:fill/>
                  <v:stroke linestyle="single" filltype="solid"/>
                  <v:textbox style="layout-flow:horizontal;">
                    <w:txbxContent>
                      <w:p>
                        <w:pPr>
                          <w:pStyle w:val="0"/>
                          <w:jc w:val="center"/>
                          <w:rPr>
                            <w:rFonts w:hint="eastAsia"/>
                          </w:rPr>
                        </w:pPr>
                        <w:r>
                          <w:rPr>
                            <w:rFonts w:hint="eastAsia" w:ascii="ＭＳ ゴシック" w:hAnsi="ＭＳ ゴシック" w:eastAsia="ＭＳ ゴシック"/>
                            <w:sz w:val="16"/>
                          </w:rPr>
                          <w:t>経理業務</w:t>
                        </w:r>
                      </w:p>
                    </w:txbxContent>
                  </v:textbox>
                  <v:imagedata o:title=""/>
                  <w10:wrap type="none" anchorx="text" anchory="text"/>
                </v:shape>
                <v:shape id="オブジェクト 0" style="height:2601;width:1541;top:3545;left:2669;position:absolute;" o:spid="_x0000_s1044" filled="f" stroked="t" strokecolor="#000000" strokeweight="0.5pt" o:spt="202" type="#_x0000_t202">
                  <v:fill/>
                  <v:stroke linestyle="single" dashstyle="shortdash" filltype="solid"/>
                  <v:textbox style="layout-flow:horizontal;" inset="2.0637499999999998mm,0.24694444444444438mm,2.0637499999999998mm,0.24694444444444438mm">
                    <w:txbxContent>
                      <w:p>
                        <w:pPr>
                          <w:pStyle w:val="0"/>
                          <w:rPr>
                            <w:rFonts w:hint="eastAsia"/>
                          </w:rPr>
                        </w:pPr>
                        <w:r>
                          <w:rPr>
                            <w:rFonts w:hint="eastAsia" w:ascii="ＭＳ ゴシック" w:hAnsi="ＭＳ ゴシック" w:eastAsia="ＭＳ ゴシック"/>
                            <w:sz w:val="16"/>
                          </w:rPr>
                          <w:t>庁内調整</w:t>
                        </w:r>
                      </w:p>
                      <w:p>
                        <w:pPr>
                          <w:pStyle w:val="0"/>
                          <w:rPr>
                            <w:rFonts w:hint="eastAsia"/>
                          </w:rPr>
                        </w:pPr>
                        <w:r>
                          <w:rPr>
                            <w:rFonts w:hint="eastAsia" w:ascii="ＭＳ ゴシック" w:hAnsi="ＭＳ ゴシック" w:eastAsia="ＭＳ ゴシック"/>
                            <w:sz w:val="16"/>
                          </w:rPr>
                          <w:t>事務予算の確保</w:t>
                        </w:r>
                      </w:p>
                      <w:p>
                        <w:pPr>
                          <w:pStyle w:val="0"/>
                          <w:rPr>
                            <w:rFonts w:hint="eastAsia"/>
                          </w:rPr>
                        </w:pPr>
                      </w:p>
                      <w:p>
                        <w:pPr>
                          <w:pStyle w:val="0"/>
                          <w:rPr>
                            <w:rFonts w:hint="eastAsia"/>
                          </w:rPr>
                        </w:pPr>
                        <w:r>
                          <w:rPr>
                            <w:rFonts w:hint="eastAsia" w:ascii="ＭＳ ゴシック" w:hAnsi="ＭＳ ゴシック" w:eastAsia="ＭＳ ゴシック"/>
                            <w:sz w:val="16"/>
                          </w:rPr>
                          <w:t>国、支援団体</w:t>
                        </w:r>
                      </w:p>
                      <w:p>
                        <w:pPr>
                          <w:pStyle w:val="0"/>
                          <w:rPr>
                            <w:rFonts w:hint="eastAsia"/>
                          </w:rPr>
                        </w:pPr>
                      </w:p>
                      <w:p>
                        <w:pPr>
                          <w:pStyle w:val="0"/>
                          <w:rPr>
                            <w:rFonts w:hint="eastAsia"/>
                          </w:rPr>
                        </w:pPr>
                        <w:r>
                          <w:rPr>
                            <w:rFonts w:hint="eastAsia" w:ascii="ＭＳ ゴシック" w:hAnsi="ＭＳ ゴシック" w:eastAsia="ＭＳ ゴシック"/>
                            <w:sz w:val="16"/>
                          </w:rPr>
                          <w:t>広域処理関係</w:t>
                        </w:r>
                      </w:p>
                      <w:p>
                        <w:pPr>
                          <w:pStyle w:val="0"/>
                          <w:rPr>
                            <w:rFonts w:hint="eastAsia"/>
                          </w:rPr>
                        </w:pPr>
                      </w:p>
                    </w:txbxContent>
                  </v:textbox>
                  <v:imagedata o:title=""/>
                  <w10:wrap type="none" anchorx="text" anchory="text"/>
                </v:shape>
                <v:shape id="オブジェクト 0" style="height:2601;width:1541;top:3545;left:4327;position:absolute;" o:spid="_x0000_s1045" filled="f" stroked="t" strokecolor="#000000" strokeweight="0.5pt" o:spt="202" type="#_x0000_t202">
                  <v:fill/>
                  <v:stroke linestyle="single" dashstyle="shortdash" filltype="solid"/>
                  <v:textbox style="layout-flow:horizontal;" inset="2.0637499999999998mm,0.24694444444444438mm,2.0637499999999998mm,0.24694444444444438mm">
                    <w:txbxContent>
                      <w:p>
                        <w:pPr>
                          <w:pStyle w:val="0"/>
                          <w:rPr>
                            <w:rFonts w:hint="eastAsia"/>
                          </w:rPr>
                        </w:pPr>
                        <w:r>
                          <w:rPr>
                            <w:rFonts w:hint="eastAsia" w:ascii="ＭＳ ゴシック" w:hAnsi="ＭＳ ゴシック" w:eastAsia="ＭＳ ゴシック"/>
                            <w:sz w:val="16"/>
                          </w:rPr>
                          <w:t>対外交渉</w:t>
                        </w:r>
                      </w:p>
                      <w:p>
                        <w:pPr>
                          <w:pStyle w:val="0"/>
                          <w:rPr>
                            <w:rFonts w:hint="eastAsia"/>
                          </w:rPr>
                        </w:pPr>
                      </w:p>
                      <w:p>
                        <w:pPr>
                          <w:pStyle w:val="0"/>
                          <w:rPr>
                            <w:rFonts w:hint="eastAsia"/>
                          </w:rPr>
                        </w:pPr>
                        <w:r>
                          <w:rPr>
                            <w:rFonts w:hint="eastAsia" w:ascii="ＭＳ ゴシック" w:hAnsi="ＭＳ ゴシック" w:eastAsia="ＭＳ ゴシック"/>
                            <w:sz w:val="16"/>
                          </w:rPr>
                          <w:t>町民広報</w:t>
                        </w:r>
                      </w:p>
                      <w:p>
                        <w:pPr>
                          <w:pStyle w:val="0"/>
                          <w:rPr>
                            <w:rFonts w:hint="eastAsia"/>
                          </w:rPr>
                        </w:pPr>
                      </w:p>
                      <w:p>
                        <w:pPr>
                          <w:pStyle w:val="0"/>
                          <w:rPr>
                            <w:rFonts w:hint="eastAsia"/>
                          </w:rPr>
                        </w:pPr>
                        <w:r>
                          <w:rPr>
                            <w:rFonts w:hint="eastAsia" w:ascii="ＭＳ ゴシック" w:hAnsi="ＭＳ ゴシック" w:eastAsia="ＭＳ ゴシック"/>
                            <w:sz w:val="16"/>
                          </w:rPr>
                          <w:t>処理実行計画作成</w:t>
                        </w:r>
                      </w:p>
                      <w:p>
                        <w:pPr>
                          <w:pStyle w:val="0"/>
                          <w:rPr>
                            <w:rFonts w:hint="eastAsia"/>
                          </w:rPr>
                        </w:pPr>
                      </w:p>
                    </w:txbxContent>
                  </v:textbox>
                  <v:imagedata o:title=""/>
                  <w10:wrap type="none" anchorx="text" anchory="text"/>
                </v:shape>
                <v:shape id="オブジェクト 0" style="height:2601;width:1541;top:3545;left:6002;position:absolute;" o:spid="_x0000_s1046" filled="f" stroked="t" strokecolor="#000000" strokeweight="0.5pt" o:spt="202" type="#_x0000_t202">
                  <v:fill/>
                  <v:stroke linestyle="single" dashstyle="shortdash" filltype="solid"/>
                  <v:textbox style="layout-flow:horizontal;" inset="2.0637499999999998mm,0.24694444444444438mm,2.0637499999999998mm,0.24694444444444438mm">
                    <w:txbxContent>
                      <w:p>
                        <w:pPr>
                          <w:pStyle w:val="0"/>
                          <w:rPr>
                            <w:rFonts w:hint="eastAsia"/>
                          </w:rPr>
                        </w:pPr>
                        <w:r>
                          <w:rPr>
                            <w:rFonts w:hint="eastAsia" w:ascii="ＭＳ ゴシック" w:hAnsi="ＭＳ ゴシック" w:eastAsia="ＭＳ ゴシック"/>
                            <w:sz w:val="16"/>
                          </w:rPr>
                          <w:t>資金管理</w:t>
                        </w:r>
                      </w:p>
                      <w:p>
                        <w:pPr>
                          <w:pStyle w:val="0"/>
                          <w:rPr>
                            <w:rFonts w:hint="eastAsia"/>
                          </w:rPr>
                        </w:pPr>
                      </w:p>
                      <w:p>
                        <w:pPr>
                          <w:pStyle w:val="0"/>
                          <w:rPr>
                            <w:rFonts w:hint="eastAsia"/>
                          </w:rPr>
                        </w:pPr>
                      </w:p>
                      <w:p>
                        <w:pPr>
                          <w:pStyle w:val="0"/>
                          <w:rPr>
                            <w:rFonts w:hint="eastAsia"/>
                          </w:rPr>
                        </w:pPr>
                        <w:r>
                          <w:rPr>
                            <w:rFonts w:hint="eastAsia" w:ascii="ＭＳ ゴシック" w:hAnsi="ＭＳ ゴシック" w:eastAsia="ＭＳ ゴシック"/>
                            <w:sz w:val="16"/>
                          </w:rPr>
                          <w:t>物品管理</w:t>
                        </w:r>
                      </w:p>
                      <w:p>
                        <w:pPr>
                          <w:pStyle w:val="0"/>
                          <w:rPr>
                            <w:rFonts w:hint="eastAsia"/>
                          </w:rPr>
                        </w:pPr>
                      </w:p>
                      <w:p>
                        <w:pPr>
                          <w:pStyle w:val="0"/>
                          <w:rPr>
                            <w:rFonts w:hint="eastAsia"/>
                          </w:rPr>
                        </w:pPr>
                      </w:p>
                      <w:p>
                        <w:pPr>
                          <w:pStyle w:val="0"/>
                          <w:rPr>
                            <w:rFonts w:hint="eastAsia"/>
                          </w:rPr>
                        </w:pPr>
                      </w:p>
                    </w:txbxContent>
                  </v:textbox>
                  <v:imagedata o:title=""/>
                  <w10:wrap type="none" anchorx="text" anchory="text"/>
                </v:shape>
                <v:shape id="オブジェクト 0" style="height:2601;width:2017;top:3545;left:7705;position:absolute;" o:spid="_x0000_s1047" filled="f" stroked="t" strokecolor="#000000" strokeweight="0.5pt" o:spt="202" type="#_x0000_t202">
                  <v:fill/>
                  <v:stroke linestyle="single" dashstyle="shortdash" filltype="solid"/>
                  <v:textbox style="layout-flow:horizontal;" inset="2.0637499999999998mm,0.24694444444444438mm,2.0637499999999998mm,0.24694444444444438mm">
                    <w:txbxContent>
                      <w:p>
                        <w:pPr>
                          <w:pStyle w:val="0"/>
                          <w:rPr>
                            <w:rFonts w:hint="eastAsia"/>
                          </w:rPr>
                        </w:pPr>
                        <w:r>
                          <w:rPr>
                            <w:rFonts w:hint="eastAsia" w:ascii="ＭＳ ゴシック" w:hAnsi="ＭＳ ゴシック" w:eastAsia="ＭＳ ゴシック"/>
                            <w:sz w:val="16"/>
                          </w:rPr>
                          <w:t>建物の解体・がれき撤去</w:t>
                        </w:r>
                      </w:p>
                      <w:p>
                        <w:pPr>
                          <w:pStyle w:val="0"/>
                          <w:rPr>
                            <w:rFonts w:hint="eastAsia"/>
                          </w:rPr>
                        </w:pPr>
                      </w:p>
                      <w:p>
                        <w:pPr>
                          <w:pStyle w:val="0"/>
                          <w:rPr>
                            <w:rFonts w:hint="eastAsia"/>
                          </w:rPr>
                        </w:pPr>
                        <w:r>
                          <w:rPr>
                            <w:rFonts w:hint="eastAsia" w:ascii="ＭＳ ゴシック" w:hAnsi="ＭＳ ゴシック" w:eastAsia="ＭＳ ゴシック"/>
                            <w:sz w:val="16"/>
                          </w:rPr>
                          <w:t>仮置場・仮設トイレ</w:t>
                        </w:r>
                      </w:p>
                      <w:p>
                        <w:pPr>
                          <w:pStyle w:val="0"/>
                          <w:rPr>
                            <w:rFonts w:hint="eastAsia"/>
                          </w:rPr>
                        </w:pPr>
                      </w:p>
                      <w:p>
                        <w:pPr>
                          <w:pStyle w:val="0"/>
                          <w:rPr>
                            <w:rFonts w:hint="eastAsia"/>
                          </w:rPr>
                        </w:pPr>
                        <w:r>
                          <w:rPr>
                            <w:rFonts w:hint="eastAsia" w:ascii="ＭＳ ゴシック" w:hAnsi="ＭＳ ゴシック" w:eastAsia="ＭＳ ゴシック"/>
                            <w:sz w:val="16"/>
                          </w:rPr>
                          <w:t>ごみ収集・し尿処理</w:t>
                        </w:r>
                      </w:p>
                      <w:p>
                        <w:pPr>
                          <w:pStyle w:val="0"/>
                          <w:rPr>
                            <w:rFonts w:hint="eastAsia"/>
                          </w:rPr>
                        </w:pPr>
                      </w:p>
                      <w:p>
                        <w:pPr>
                          <w:pStyle w:val="0"/>
                          <w:rPr>
                            <w:rFonts w:hint="eastAsia"/>
                          </w:rPr>
                        </w:pPr>
                        <w:r>
                          <w:rPr>
                            <w:rFonts w:hint="eastAsia" w:ascii="ＭＳ ゴシック" w:hAnsi="ＭＳ ゴシック" w:eastAsia="ＭＳ ゴシック"/>
                            <w:sz w:val="16"/>
                          </w:rPr>
                          <w:t>仮置場運営管理</w:t>
                        </w:r>
                      </w:p>
                      <w:p>
                        <w:pPr>
                          <w:pStyle w:val="0"/>
                          <w:rPr>
                            <w:rFonts w:hint="eastAsia"/>
                          </w:rPr>
                        </w:pPr>
                      </w:p>
                    </w:txbxContent>
                  </v:textbox>
                  <v:imagedata o:title=""/>
                  <w10:wrap type="none" anchorx="text" anchory="text"/>
                </v:shape>
                <v:shape id="オブジェクト 0" style="height:2684;width:7951;top:6915;left:1951;position:absolute;" o:spid="_x0000_s1048" filled="t" fillcolor="#ffffff [3212]" stroked="f" strokeweight="0.5pt" o:spt="202" type="#_x0000_t202">
                  <v:fill/>
                  <v:stroke linestyle="single"/>
                  <v:textbox style="layout-flow:horizontal;" inset="2.0637499999999998mm,0.24694444444444438mm,2.0637499999999998mm,0.24694444444444438mm">
                    <w:txbxContent>
                      <w:p>
                        <w:pPr>
                          <w:pStyle w:val="0"/>
                          <w:rPr>
                            <w:rFonts w:hint="eastAsia"/>
                          </w:rPr>
                        </w:pPr>
                      </w:p>
                      <w:p>
                        <w:pPr>
                          <w:pStyle w:val="0"/>
                          <w:rPr>
                            <w:rFonts w:hint="eastAsia"/>
                          </w:rPr>
                        </w:pPr>
                        <w:r>
                          <w:rPr>
                            <w:rFonts w:hint="eastAsia" w:ascii="ＭＳ 明朝" w:hAnsi="ＭＳ 明朝" w:eastAsia="ＭＳ 明朝"/>
                            <w:sz w:val="18"/>
                          </w:rPr>
                          <w:t>・発災後には、組織体制図で示す業務の実施が必要となるため、発災前に組織体制を検討して</w:t>
                        </w:r>
                      </w:p>
                      <w:p>
                        <w:pPr>
                          <w:pStyle w:val="0"/>
                          <w:ind w:firstLine="180" w:firstLineChars="100"/>
                          <w:rPr>
                            <w:rFonts w:hint="eastAsia"/>
                          </w:rPr>
                        </w:pPr>
                        <w:r>
                          <w:rPr>
                            <w:rFonts w:hint="eastAsia" w:ascii="ＭＳ 明朝" w:hAnsi="ＭＳ 明朝" w:eastAsia="ＭＳ 明朝"/>
                            <w:sz w:val="18"/>
                          </w:rPr>
                          <w:t>おき、発災直後、迅速に対応できるよう準備をしておく。</w:t>
                        </w:r>
                      </w:p>
                      <w:p>
                        <w:pPr>
                          <w:pStyle w:val="0"/>
                          <w:rPr>
                            <w:rFonts w:hint="eastAsia"/>
                          </w:rPr>
                        </w:pPr>
                        <w:r>
                          <w:rPr>
                            <w:rFonts w:hint="eastAsia" w:ascii="ＭＳ 明朝" w:hAnsi="ＭＳ 明朝" w:eastAsia="ＭＳ 明朝"/>
                            <w:sz w:val="18"/>
                          </w:rPr>
                          <w:t>・発災後には、災害の規模、被災状況、職員の被災状況などを勘案し、応援要請を含めた組織</w:t>
                        </w:r>
                      </w:p>
                      <w:p>
                        <w:pPr>
                          <w:pStyle w:val="0"/>
                          <w:ind w:firstLine="180" w:firstLineChars="100"/>
                          <w:rPr>
                            <w:rFonts w:hint="eastAsia"/>
                          </w:rPr>
                        </w:pPr>
                        <w:r>
                          <w:rPr>
                            <w:rFonts w:hint="eastAsia" w:ascii="ＭＳ 明朝" w:hAnsi="ＭＳ 明朝" w:eastAsia="ＭＳ 明朝"/>
                            <w:sz w:val="18"/>
                          </w:rPr>
                          <w:t>体制の見直しを行う。</w:t>
                        </w:r>
                      </w:p>
                      <w:p>
                        <w:pPr>
                          <w:pStyle w:val="0"/>
                          <w:rPr>
                            <w:rFonts w:hint="eastAsia"/>
                          </w:rPr>
                        </w:pPr>
                        <w:r>
                          <w:rPr>
                            <w:rFonts w:hint="eastAsia" w:ascii="ＭＳ 明朝" w:hAnsi="ＭＳ 明朝" w:eastAsia="ＭＳ 明朝"/>
                            <w:sz w:val="18"/>
                          </w:rPr>
                          <w:t>・必要とされる重点業務は、時間の経過とともに変化するため、処理の進捗等に応じた組織体制</w:t>
                        </w:r>
                      </w:p>
                      <w:p>
                        <w:pPr>
                          <w:pStyle w:val="0"/>
                          <w:rPr>
                            <w:rFonts w:hint="eastAsia"/>
                          </w:rPr>
                        </w:pPr>
                        <w:r>
                          <w:rPr>
                            <w:rFonts w:hint="eastAsia" w:ascii="ＭＳ 明朝" w:hAnsi="ＭＳ 明朝" w:eastAsia="ＭＳ 明朝"/>
                            <w:sz w:val="18"/>
                          </w:rPr>
                          <w:t>　の見直しも必要である。</w:t>
                        </w:r>
                      </w:p>
                      <w:p>
                        <w:pPr>
                          <w:pStyle w:val="0"/>
                          <w:rPr>
                            <w:rFonts w:hint="eastAsia"/>
                          </w:rPr>
                        </w:pPr>
                        <w:r>
                          <w:rPr>
                            <w:rFonts w:hint="eastAsia" w:ascii="ＭＳ 明朝" w:hAnsi="ＭＳ 明朝" w:eastAsia="ＭＳ 明朝"/>
                            <w:sz w:val="18"/>
                          </w:rPr>
                          <w:t>　　　災害応急対応期の業務：　人命救助を最優先とした災害廃棄物の撤去や避難所等における</w:t>
                        </w:r>
                      </w:p>
                      <w:p>
                        <w:pPr>
                          <w:pStyle w:val="0"/>
                          <w:rPr>
                            <w:rFonts w:hint="eastAsia"/>
                          </w:rPr>
                        </w:pPr>
                        <w:r>
                          <w:rPr>
                            <w:rFonts w:hint="eastAsia" w:ascii="ＭＳ 明朝" w:hAnsi="ＭＳ 明朝" w:eastAsia="ＭＳ 明朝"/>
                            <w:sz w:val="18"/>
                          </w:rPr>
                          <w:t>　　　　　　　　　　　　　　　し尿の処理が中心</w:t>
                        </w:r>
                      </w:p>
                      <w:p>
                        <w:pPr>
                          <w:pStyle w:val="0"/>
                          <w:rPr>
                            <w:rFonts w:hint="eastAsia"/>
                          </w:rPr>
                        </w:pPr>
                        <w:r>
                          <w:rPr>
                            <w:rFonts w:hint="eastAsia" w:ascii="ＭＳ 明朝" w:hAnsi="ＭＳ 明朝" w:eastAsia="ＭＳ 明朝"/>
                            <w:sz w:val="18"/>
                          </w:rPr>
                          <w:t>　　　復旧・復興期の業務　：　災害廃棄物の処理が中心</w:t>
                        </w:r>
                      </w:p>
                    </w:txbxContent>
                  </v:textbox>
                  <v:imagedata o:title=""/>
                  <w10:wrap type="none" anchorx="text" anchory="text"/>
                </v:shape>
                <v:shape id="オブジェクト 0" style="height:375;width:2938;top:6652;left:4686;position:absolute;" o:spid="_x0000_s1049" filled="t" fillcolor="#ffffff" stroked="f" strokeweight="0.5pt" o:spt="202" type="#_x0000_t202">
                  <v:fill/>
                  <v:stroke linestyle="single"/>
                  <v:textbox style="layout-flow:horizontal;" inset="2.0637499999999998mm,0.24694444444444438mm,2.0637499999999998mm,0.24694444444444438mm">
                    <w:txbxContent>
                      <w:p>
                        <w:pPr>
                          <w:pStyle w:val="0"/>
                          <w:jc w:val="center"/>
                          <w:rPr>
                            <w:rFonts w:hint="eastAsia"/>
                          </w:rPr>
                        </w:pPr>
                        <w:r>
                          <w:rPr>
                            <w:rFonts w:hint="eastAsia" w:ascii="ＭＳ ゴシック" w:hAnsi="ＭＳ ゴシック" w:eastAsia="ＭＳ ゴシック"/>
                            <w:sz w:val="16"/>
                          </w:rPr>
                          <w:t>図</w:t>
                        </w:r>
                        <w:r>
                          <w:rPr>
                            <w:rFonts w:hint="eastAsia" w:ascii="ＭＳ ゴシック" w:hAnsi="ＭＳ ゴシック" w:eastAsia="ＭＳ ゴシック"/>
                            <w:sz w:val="16"/>
                          </w:rPr>
                          <w:t>2-1-1</w:t>
                        </w:r>
                        <w:r>
                          <w:rPr>
                            <w:rFonts w:hint="eastAsia" w:ascii="ＭＳ ゴシック" w:hAnsi="ＭＳ ゴシック" w:eastAsia="ＭＳ ゴシック"/>
                            <w:sz w:val="16"/>
                          </w:rPr>
                          <w:t>　組織体制図（例）</w:t>
                        </w:r>
                      </w:p>
                    </w:txbxContent>
                  </v:textbox>
                  <v:imagedata o:title=""/>
                  <w10:wrap type="none" anchorx="text" anchory="text"/>
                </v:shape>
                <w10:wrap type="none" anchorx="text" anchory="text"/>
              </v:group>
            </w:pict>
          </mc:Fallback>
        </mc:AlternateContent>
      </w: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 w:firstLineChars="100"/>
        <w:rPr>
          <w:rFonts w:hint="default" w:ascii="ＭＳ 明朝" w:hAnsi="ＭＳ 明朝" w:eastAsia="ＭＳ 明朝"/>
          <w:kern w:val="2"/>
          <w:sz w:val="21"/>
        </w:rPr>
      </w:pPr>
    </w:p>
    <w:p>
      <w:pPr>
        <w:pStyle w:val="15"/>
        <w:spacing w:before="45" w:beforeLines="0" w:beforeAutospacing="0" w:line="276" w:lineRule="auto"/>
        <w:ind w:right="127" w:firstLine="2100" w:firstLineChars="1000"/>
        <w:rPr>
          <w:rFonts w:hint="default"/>
          <w:sz w:val="21"/>
        </w:rPr>
      </w:pPr>
      <w:r>
        <w:rPr>
          <w:rFonts w:hint="eastAsia"/>
          <w:sz w:val="21"/>
        </w:rPr>
        <w:t>図４　災害廃棄物処理組織体制（案）</w:t>
      </w:r>
    </w:p>
    <w:p>
      <w:pPr>
        <w:pStyle w:val="0"/>
        <w:widowControl w:val="1"/>
        <w:autoSpaceDE w:val="1"/>
        <w:autoSpaceDN w:val="1"/>
        <w:rPr>
          <w:rFonts w:hint="default"/>
          <w:sz w:val="21"/>
        </w:rPr>
      </w:pPr>
    </w:p>
    <w:p>
      <w:pPr>
        <w:pStyle w:val="15"/>
        <w:tabs>
          <w:tab w:val="left" w:leader="none" w:pos="2076"/>
        </w:tabs>
        <w:spacing w:before="26" w:beforeLines="0" w:beforeAutospacing="0" w:after="42" w:afterLines="0" w:afterAutospacing="0"/>
        <w:jc w:val="center"/>
        <w:rPr>
          <w:rFonts w:hint="default"/>
          <w:sz w:val="21"/>
        </w:rPr>
      </w:pPr>
      <w:bookmarkStart w:id="15" w:name="_Hlk19017850"/>
      <w:r>
        <w:rPr>
          <w:rFonts w:hint="default"/>
          <w:sz w:val="21"/>
        </w:rPr>
        <w:t>表</w:t>
      </w:r>
      <w:r>
        <w:rPr>
          <w:rFonts w:hint="eastAsia"/>
          <w:sz w:val="21"/>
        </w:rPr>
        <w:t>５　</w:t>
      </w:r>
      <w:r>
        <w:rPr>
          <w:rFonts w:hint="default"/>
          <w:sz w:val="21"/>
        </w:rPr>
        <w:t>災害廃棄物等処理（被災者の生活に伴う廃棄物）</w:t>
      </w:r>
    </w:p>
    <w:tbl>
      <w:tblPr>
        <w:tblStyle w:val="66"/>
        <w:tblW w:w="0" w:type="auto"/>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1506"/>
        <w:gridCol w:w="1844"/>
        <w:gridCol w:w="5245"/>
      </w:tblGrid>
      <w:tr>
        <w:trPr>
          <w:trHeight w:val="370" w:hRule="exact"/>
        </w:trPr>
        <w:tc>
          <w:tcPr>
            <w:tcW w:w="3350" w:type="dxa"/>
            <w:gridSpan w:val="2"/>
            <w:shd w:val="clear" w:color="auto" w:themeFill="background1" w:themeFillTint="FF" w:themeFillShade="D9"/>
            <w:vAlign w:val="top"/>
          </w:tcPr>
          <w:p>
            <w:pPr>
              <w:pStyle w:val="0"/>
              <w:tabs>
                <w:tab w:val="left" w:leader="none" w:pos="720"/>
              </w:tabs>
              <w:spacing w:line="300" w:lineRule="exact"/>
              <w:jc w:val="center"/>
              <w:rPr>
                <w:rFonts w:hint="default" w:ascii="HGPｺﾞｼｯｸM" w:hAnsi="HGPｺﾞｼｯｸM" w:eastAsia="HGPｺﾞｼｯｸM"/>
                <w:sz w:val="21"/>
              </w:rPr>
            </w:pPr>
            <w:r>
              <w:rPr>
                <w:rFonts w:hint="default" w:ascii="HGPｺﾞｼｯｸM" w:hAnsi="HGPｺﾞｼｯｸM" w:eastAsia="HGPｺﾞｼｯｸM"/>
                <w:sz w:val="21"/>
              </w:rPr>
              <w:t>項</w:t>
            </w:r>
            <w:r>
              <w:rPr>
                <w:rFonts w:hint="default" w:ascii="HGPｺﾞｼｯｸM" w:hAnsi="HGPｺﾞｼｯｸM" w:eastAsia="HGPｺﾞｼｯｸM"/>
                <w:sz w:val="21"/>
              </w:rPr>
              <w:tab/>
            </w:r>
            <w:r>
              <w:rPr>
                <w:rFonts w:hint="default" w:ascii="HGPｺﾞｼｯｸM" w:hAnsi="HGPｺﾞｼｯｸM" w:eastAsia="HGPｺﾞｼｯｸM"/>
                <w:sz w:val="21"/>
              </w:rPr>
              <w:t>目</w:t>
            </w:r>
          </w:p>
        </w:tc>
        <w:tc>
          <w:tcPr>
            <w:tcW w:w="5245" w:type="dxa"/>
            <w:shd w:val="clear" w:color="auto" w:themeFill="background1" w:themeFillTint="FF" w:themeFillShade="D9"/>
            <w:vAlign w:val="top"/>
          </w:tcPr>
          <w:p>
            <w:pPr>
              <w:pStyle w:val="0"/>
              <w:tabs>
                <w:tab w:val="left" w:leader="none" w:pos="719"/>
              </w:tabs>
              <w:spacing w:line="300" w:lineRule="exact"/>
              <w:jc w:val="center"/>
              <w:rPr>
                <w:rFonts w:hint="default" w:ascii="HGPｺﾞｼｯｸM" w:hAnsi="HGPｺﾞｼｯｸM" w:eastAsia="HGPｺﾞｼｯｸM"/>
                <w:sz w:val="21"/>
              </w:rPr>
            </w:pPr>
            <w:r>
              <w:rPr>
                <w:rFonts w:hint="default" w:ascii="HGPｺﾞｼｯｸM" w:hAnsi="HGPｺﾞｼｯｸM" w:eastAsia="HGPｺﾞｼｯｸM"/>
                <w:sz w:val="21"/>
              </w:rPr>
              <w:t>内</w:t>
            </w:r>
            <w:r>
              <w:rPr>
                <w:rFonts w:hint="default" w:ascii="HGPｺﾞｼｯｸM" w:hAnsi="HGPｺﾞｼｯｸM" w:eastAsia="HGPｺﾞｼｯｸM"/>
                <w:sz w:val="21"/>
              </w:rPr>
              <w:tab/>
            </w:r>
            <w:r>
              <w:rPr>
                <w:rFonts w:hint="default" w:ascii="HGPｺﾞｼｯｸM" w:hAnsi="HGPｺﾞｼｯｸM" w:eastAsia="HGPｺﾞｼｯｸM"/>
                <w:sz w:val="21"/>
              </w:rPr>
              <w:t>容</w:t>
            </w:r>
          </w:p>
        </w:tc>
      </w:tr>
      <w:tr>
        <w:trPr>
          <w:trHeight w:val="334" w:hRule="atLeast"/>
        </w:trPr>
        <w:tc>
          <w:tcPr>
            <w:tcW w:w="1506" w:type="dxa"/>
            <w:vMerge w:val="restart"/>
            <w:vAlign w:val="center"/>
          </w:tcPr>
          <w:p>
            <w:pPr>
              <w:pStyle w:val="0"/>
              <w:spacing w:line="240" w:lineRule="atLeast"/>
              <w:ind w:left="-110" w:leftChars="-50"/>
              <w:jc w:val="center"/>
              <w:rPr>
                <w:rFonts w:hint="default" w:ascii="HGPｺﾞｼｯｸM" w:hAnsi="HGPｺﾞｼｯｸM" w:eastAsia="HGPｺﾞｼｯｸM"/>
                <w:sz w:val="21"/>
              </w:rPr>
            </w:pPr>
            <w:r>
              <w:rPr>
                <w:rFonts w:hint="default" w:ascii="HGPｺﾞｼｯｸM" w:hAnsi="HGPｺﾞｼｯｸM" w:eastAsia="HGPｺﾞｼｯｸM"/>
                <w:sz w:val="21"/>
              </w:rPr>
              <w:t>初動期</w:t>
            </w:r>
          </w:p>
        </w:tc>
        <w:tc>
          <w:tcPr>
            <w:tcW w:w="1844" w:type="dxa"/>
            <w:vMerge w:val="restart"/>
            <w:vAlign w:val="center"/>
          </w:tcPr>
          <w:p>
            <w:pPr>
              <w:pStyle w:val="0"/>
              <w:spacing w:line="240" w:lineRule="atLeast"/>
              <w:ind w:left="103"/>
              <w:jc w:val="both"/>
              <w:rPr>
                <w:rFonts w:hint="default" w:ascii="HGPｺﾞｼｯｸM" w:hAnsi="HGPｺﾞｼｯｸM" w:eastAsia="HGPｺﾞｼｯｸM"/>
                <w:sz w:val="21"/>
              </w:rPr>
            </w:pPr>
            <w:r>
              <w:rPr>
                <w:rFonts w:hint="eastAsia" w:ascii="HGPｺﾞｼｯｸM" w:hAnsi="HGPｺﾞｼｯｸM" w:eastAsia="HGPｺﾞｼｯｸM"/>
                <w:sz w:val="21"/>
              </w:rPr>
              <w:t>生活ごみ</w:t>
            </w:r>
          </w:p>
          <w:p>
            <w:pPr>
              <w:pStyle w:val="0"/>
              <w:spacing w:line="240" w:lineRule="atLeast"/>
              <w:ind w:left="103"/>
              <w:jc w:val="both"/>
              <w:rPr>
                <w:rFonts w:hint="default" w:ascii="HGPｺﾞｼｯｸM" w:hAnsi="HGPｺﾞｼｯｸM" w:eastAsia="HGPｺﾞｼｯｸM"/>
                <w:sz w:val="21"/>
              </w:rPr>
            </w:pPr>
            <w:r>
              <w:rPr>
                <w:rFonts w:hint="default" w:ascii="HGPｺﾞｼｯｸM" w:hAnsi="HGPｺﾞｼｯｸM" w:eastAsia="HGPｺﾞｼｯｸM"/>
                <w:sz w:val="21"/>
              </w:rPr>
              <w:t>避難所ごみ等</w:t>
            </w: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ごみ焼却施設等の被害状況の把握、安全性の確認</w:t>
            </w:r>
          </w:p>
        </w:tc>
      </w:tr>
      <w:tr>
        <w:trPr>
          <w:trHeight w:val="334" w:hRule="atLeast"/>
        </w:trPr>
        <w:tc>
          <w:tcPr>
            <w:tcW w:w="1506" w:type="dxa"/>
            <w:vMerge w:val="continue"/>
            <w:vAlign w:val="center"/>
          </w:tcPr>
          <w:p>
            <w:pPr>
              <w:pStyle w:val="0"/>
              <w:rPr>
                <w:rFonts w:hint="eastAsia"/>
              </w:rPr>
            </w:pPr>
          </w:p>
        </w:tc>
        <w:tc>
          <w:tcPr>
            <w:tcW w:w="1844" w:type="dxa"/>
            <w:vMerge w:val="continue"/>
            <w:vAlign w:val="center"/>
          </w:tcPr>
          <w:p>
            <w:pPr>
              <w:pStyle w:val="0"/>
              <w:rPr>
                <w:rFonts w:hint="eastAsia"/>
              </w:rPr>
            </w:pP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収集方法の確立・周知・広報</w:t>
            </w:r>
          </w:p>
        </w:tc>
      </w:tr>
      <w:tr>
        <w:trPr>
          <w:trHeight w:val="334" w:hRule="atLeast"/>
        </w:trPr>
        <w:tc>
          <w:tcPr>
            <w:tcW w:w="1506" w:type="dxa"/>
            <w:vMerge w:val="continue"/>
            <w:vAlign w:val="center"/>
          </w:tcPr>
          <w:p>
            <w:pPr>
              <w:pStyle w:val="0"/>
              <w:rPr>
                <w:rFonts w:hint="eastAsia"/>
              </w:rPr>
            </w:pPr>
          </w:p>
        </w:tc>
        <w:tc>
          <w:tcPr>
            <w:tcW w:w="1844" w:type="dxa"/>
            <w:vMerge w:val="continue"/>
            <w:vAlign w:val="center"/>
          </w:tcPr>
          <w:p>
            <w:pPr>
              <w:pStyle w:val="0"/>
              <w:rPr>
                <w:rFonts w:hint="eastAsia"/>
              </w:rPr>
            </w:pP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避難所ごみ等生活ごみの保管場所の確保</w:t>
            </w:r>
          </w:p>
        </w:tc>
      </w:tr>
      <w:tr>
        <w:trPr>
          <w:trHeight w:val="334" w:hRule="atLeast"/>
        </w:trPr>
        <w:tc>
          <w:tcPr>
            <w:tcW w:w="1506" w:type="dxa"/>
            <w:vMerge w:val="continue"/>
            <w:vAlign w:val="center"/>
          </w:tcPr>
          <w:p>
            <w:pPr>
              <w:pStyle w:val="0"/>
              <w:rPr>
                <w:rFonts w:hint="eastAsia"/>
              </w:rPr>
            </w:pPr>
          </w:p>
        </w:tc>
        <w:tc>
          <w:tcPr>
            <w:tcW w:w="1844" w:type="dxa"/>
            <w:vMerge w:val="restart"/>
            <w:vAlign w:val="center"/>
          </w:tcPr>
          <w:p>
            <w:pPr>
              <w:pStyle w:val="0"/>
              <w:spacing w:line="240" w:lineRule="atLeast"/>
              <w:ind w:left="103"/>
              <w:jc w:val="both"/>
              <w:rPr>
                <w:rFonts w:hint="default" w:ascii="HGPｺﾞｼｯｸM" w:hAnsi="HGPｺﾞｼｯｸM" w:eastAsia="HGPｺﾞｼｯｸM"/>
                <w:sz w:val="21"/>
              </w:rPr>
            </w:pPr>
            <w:r>
              <w:rPr>
                <w:rFonts w:hint="eastAsia" w:ascii="HGPｺﾞｼｯｸM" w:hAnsi="HGPｺﾞｼｯｸM" w:eastAsia="HGPｺﾞｼｯｸM"/>
                <w:sz w:val="21"/>
              </w:rPr>
              <w:t>仮設トイレ等の</w:t>
            </w:r>
          </w:p>
          <w:p>
            <w:pPr>
              <w:pStyle w:val="0"/>
              <w:spacing w:line="240" w:lineRule="atLeast"/>
              <w:ind w:left="103"/>
              <w:jc w:val="both"/>
              <w:rPr>
                <w:rFonts w:hint="default" w:ascii="HGPｺﾞｼｯｸM" w:hAnsi="HGPｺﾞｼｯｸM" w:eastAsia="HGPｺﾞｼｯｸM"/>
                <w:sz w:val="21"/>
              </w:rPr>
            </w:pPr>
            <w:r>
              <w:rPr>
                <w:rFonts w:hint="default" w:ascii="HGPｺﾞｼｯｸM" w:hAnsi="HGPｺﾞｼｯｸM" w:eastAsia="HGPｺﾞｼｯｸM"/>
                <w:sz w:val="21"/>
              </w:rPr>
              <w:t>し尿</w:t>
            </w: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pacing w:val="4"/>
                <w:sz w:val="21"/>
              </w:rPr>
              <w:t>仮設トイレ（簡易トイレを含む</w:t>
            </w:r>
            <w:r>
              <w:rPr>
                <w:rFonts w:hint="default" w:ascii="HGPｺﾞｼｯｸM" w:hAnsi="HGPｺﾞｼｯｸM" w:eastAsia="HGPｺﾞｼｯｸM"/>
                <w:spacing w:val="-113"/>
                <w:sz w:val="21"/>
              </w:rPr>
              <w:t>）</w:t>
            </w:r>
            <w:r>
              <w:rPr>
                <w:rFonts w:hint="default" w:ascii="HGPｺﾞｼｯｸM" w:hAnsi="HGPｺﾞｼｯｸM" w:eastAsia="HGPｺﾞｼｯｸM"/>
                <w:spacing w:val="3"/>
                <w:sz w:val="21"/>
              </w:rPr>
              <w:t>、消臭剤や脱臭剤等の確保</w:t>
            </w:r>
          </w:p>
        </w:tc>
      </w:tr>
      <w:tr>
        <w:trPr>
          <w:trHeight w:val="334" w:hRule="atLeast"/>
        </w:trPr>
        <w:tc>
          <w:tcPr>
            <w:tcW w:w="1506" w:type="dxa"/>
            <w:vMerge w:val="continue"/>
            <w:vAlign w:val="center"/>
          </w:tcPr>
          <w:p>
            <w:pPr>
              <w:pStyle w:val="0"/>
              <w:rPr>
                <w:rFonts w:hint="eastAsia"/>
              </w:rPr>
            </w:pPr>
          </w:p>
        </w:tc>
        <w:tc>
          <w:tcPr>
            <w:tcW w:w="1844" w:type="dxa"/>
            <w:vMerge w:val="continue"/>
            <w:vAlign w:val="center"/>
          </w:tcPr>
          <w:p>
            <w:pPr>
              <w:pStyle w:val="0"/>
              <w:rPr>
                <w:rFonts w:hint="eastAsia"/>
              </w:rPr>
            </w:pP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pacing w:val="4"/>
                <w:sz w:val="21"/>
              </w:rPr>
            </w:pPr>
            <w:r>
              <w:rPr>
                <w:rFonts w:hint="eastAsia" w:ascii="HGPｺﾞｼｯｸM" w:hAnsi="HGPｺﾞｼｯｸM" w:eastAsia="HGPｺﾞｼｯｸM"/>
                <w:spacing w:val="4"/>
                <w:sz w:val="21"/>
              </w:rPr>
              <w:t>仮設トイレの必要数の把握</w:t>
            </w:r>
          </w:p>
        </w:tc>
      </w:tr>
      <w:tr>
        <w:trPr>
          <w:trHeight w:val="334" w:hRule="atLeast"/>
        </w:trPr>
        <w:tc>
          <w:tcPr>
            <w:tcW w:w="1506" w:type="dxa"/>
            <w:vMerge w:val="continue"/>
            <w:vAlign w:val="center"/>
          </w:tcPr>
          <w:p>
            <w:pPr>
              <w:pStyle w:val="0"/>
              <w:spacing w:line="240" w:lineRule="atLeast"/>
              <w:ind w:left="-110" w:leftChars="-50"/>
              <w:jc w:val="center"/>
              <w:rPr>
                <w:rFonts w:hint="default" w:ascii="HGPｺﾞｼｯｸM" w:hAnsi="HGPｺﾞｼｯｸM" w:eastAsia="HGPｺﾞｼｯｸM"/>
                <w:sz w:val="21"/>
              </w:rPr>
            </w:pPr>
          </w:p>
        </w:tc>
        <w:tc>
          <w:tcPr>
            <w:tcW w:w="1844" w:type="dxa"/>
            <w:vMerge w:val="continue"/>
            <w:vAlign w:val="center"/>
          </w:tcPr>
          <w:p>
            <w:pPr>
              <w:pStyle w:val="0"/>
              <w:spacing w:line="240" w:lineRule="atLeast"/>
              <w:ind w:left="103"/>
              <w:jc w:val="both"/>
              <w:rPr>
                <w:rFonts w:hint="default" w:ascii="HGPｺﾞｼｯｸM" w:hAnsi="HGPｺﾞｼｯｸM" w:eastAsia="HGPｺﾞｼｯｸM"/>
                <w:sz w:val="21"/>
              </w:rPr>
            </w:pP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pacing w:val="4"/>
                <w:sz w:val="21"/>
              </w:rPr>
            </w:pPr>
            <w:r>
              <w:rPr>
                <w:rFonts w:hint="eastAsia" w:ascii="HGPｺﾞｼｯｸM" w:hAnsi="HGPｺﾞｼｯｸM" w:eastAsia="HGPｺﾞｼｯｸM"/>
                <w:spacing w:val="4"/>
                <w:sz w:val="21"/>
              </w:rPr>
              <w:t>仮設トイレの運搬、し尿の汲み取り運搬計画の策定</w:t>
            </w:r>
          </w:p>
        </w:tc>
      </w:tr>
      <w:tr>
        <w:trPr>
          <w:trHeight w:val="334" w:hRule="atLeast"/>
        </w:trPr>
        <w:tc>
          <w:tcPr>
            <w:tcW w:w="1506" w:type="dxa"/>
            <w:vMerge w:val="continue"/>
            <w:vAlign w:val="center"/>
          </w:tcPr>
          <w:p>
            <w:pPr>
              <w:pStyle w:val="0"/>
              <w:rPr>
                <w:rFonts w:hint="eastAsia"/>
              </w:rPr>
            </w:pPr>
          </w:p>
        </w:tc>
        <w:tc>
          <w:tcPr>
            <w:tcW w:w="1844" w:type="dxa"/>
            <w:vMerge w:val="continue"/>
            <w:vAlign w:val="center"/>
          </w:tcPr>
          <w:p>
            <w:pPr>
              <w:pStyle w:val="0"/>
              <w:rPr>
                <w:rFonts w:hint="eastAsia"/>
              </w:rPr>
            </w:pP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仮設トイレの設置</w:t>
            </w:r>
          </w:p>
        </w:tc>
      </w:tr>
      <w:tr>
        <w:trPr>
          <w:trHeight w:val="334" w:hRule="atLeast"/>
        </w:trPr>
        <w:tc>
          <w:tcPr>
            <w:tcW w:w="1506" w:type="dxa"/>
            <w:vMerge w:val="continue"/>
            <w:vAlign w:val="center"/>
          </w:tcPr>
          <w:p>
            <w:pPr>
              <w:pStyle w:val="0"/>
              <w:rPr>
                <w:rFonts w:hint="eastAsia"/>
              </w:rPr>
            </w:pPr>
          </w:p>
        </w:tc>
        <w:tc>
          <w:tcPr>
            <w:tcW w:w="1844" w:type="dxa"/>
            <w:vMerge w:val="continue"/>
            <w:vAlign w:val="center"/>
          </w:tcPr>
          <w:p>
            <w:pPr>
              <w:pStyle w:val="0"/>
              <w:rPr>
                <w:rFonts w:hint="eastAsia"/>
              </w:rPr>
            </w:pP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し尿の受入施設の確保（設置翌日からし尿収集運搬開始：処理、保管先の確保）</w:t>
            </w:r>
          </w:p>
        </w:tc>
      </w:tr>
      <w:tr>
        <w:trPr>
          <w:trHeight w:val="334" w:hRule="atLeast"/>
        </w:trPr>
        <w:tc>
          <w:tcPr>
            <w:tcW w:w="1506" w:type="dxa"/>
            <w:vMerge w:val="continue"/>
            <w:vAlign w:val="center"/>
          </w:tcPr>
          <w:p>
            <w:pPr>
              <w:pStyle w:val="0"/>
              <w:rPr>
                <w:rFonts w:hint="eastAsia"/>
              </w:rPr>
            </w:pPr>
          </w:p>
        </w:tc>
        <w:tc>
          <w:tcPr>
            <w:tcW w:w="1844" w:type="dxa"/>
            <w:vMerge w:val="continue"/>
            <w:vAlign w:val="center"/>
          </w:tcPr>
          <w:p>
            <w:pPr>
              <w:pStyle w:val="0"/>
              <w:rPr>
                <w:rFonts w:hint="eastAsia"/>
              </w:rPr>
            </w:pP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仮設トイレの管理、し尿の収集・処理</w:t>
            </w:r>
          </w:p>
        </w:tc>
      </w:tr>
      <w:tr>
        <w:trPr>
          <w:trHeight w:val="334" w:hRule="atLeast"/>
        </w:trPr>
        <w:tc>
          <w:tcPr>
            <w:tcW w:w="1506" w:type="dxa"/>
            <w:vMerge w:val="restart"/>
            <w:vAlign w:val="center"/>
          </w:tcPr>
          <w:p>
            <w:pPr>
              <w:pStyle w:val="0"/>
              <w:spacing w:line="240" w:lineRule="atLeast"/>
              <w:ind w:left="-110" w:leftChars="-50"/>
              <w:jc w:val="center"/>
              <w:rPr>
                <w:rFonts w:hint="default" w:ascii="HGPｺﾞｼｯｸM" w:hAnsi="HGPｺﾞｼｯｸM" w:eastAsia="HGPｺﾞｼｯｸM"/>
                <w:sz w:val="21"/>
              </w:rPr>
            </w:pPr>
            <w:r>
              <w:rPr>
                <w:rFonts w:hint="default" w:ascii="HGPｺﾞｼｯｸM" w:hAnsi="HGPｺﾞｼｯｸM" w:eastAsia="HGPｺﾞｼｯｸM"/>
                <w:sz w:val="21"/>
              </w:rPr>
              <w:t>応急対応</w:t>
            </w:r>
          </w:p>
          <w:p>
            <w:pPr>
              <w:pStyle w:val="0"/>
              <w:spacing w:line="240" w:lineRule="atLeast"/>
              <w:ind w:left="-110" w:leftChars="-50"/>
              <w:jc w:val="center"/>
              <w:rPr>
                <w:rFonts w:hint="default" w:ascii="HGPｺﾞｼｯｸM" w:hAnsi="HGPｺﾞｼｯｸM" w:eastAsia="HGPｺﾞｼｯｸM"/>
                <w:sz w:val="21"/>
              </w:rPr>
            </w:pPr>
            <w:r>
              <w:rPr>
                <w:rFonts w:hint="default" w:ascii="HGPｺﾞｼｯｸM" w:hAnsi="HGPｺﾞｼｯｸM" w:eastAsia="HGPｺﾞｼｯｸM"/>
                <w:sz w:val="21"/>
              </w:rPr>
              <w:t>（前半）</w:t>
            </w:r>
          </w:p>
        </w:tc>
        <w:tc>
          <w:tcPr>
            <w:tcW w:w="1844" w:type="dxa"/>
            <w:vMerge w:val="restart"/>
            <w:vAlign w:val="center"/>
          </w:tcPr>
          <w:p>
            <w:pPr>
              <w:pStyle w:val="0"/>
              <w:spacing w:line="240" w:lineRule="atLeast"/>
              <w:ind w:left="103"/>
              <w:jc w:val="both"/>
              <w:rPr>
                <w:rFonts w:hint="default" w:ascii="HGPｺﾞｼｯｸM" w:hAnsi="HGPｺﾞｼｯｸM" w:eastAsia="HGPｺﾞｼｯｸM"/>
                <w:sz w:val="21"/>
              </w:rPr>
            </w:pPr>
            <w:r>
              <w:rPr>
                <w:rFonts w:hint="eastAsia" w:ascii="HGPｺﾞｼｯｸM" w:hAnsi="HGPｺﾞｼｯｸM" w:eastAsia="HGPｺﾞｼｯｸM"/>
                <w:sz w:val="21"/>
              </w:rPr>
              <w:t>生活ごみ</w:t>
            </w:r>
          </w:p>
          <w:p>
            <w:pPr>
              <w:pStyle w:val="0"/>
              <w:spacing w:line="240" w:lineRule="atLeast"/>
              <w:ind w:left="103"/>
              <w:jc w:val="both"/>
              <w:rPr>
                <w:rFonts w:hint="default" w:ascii="HGPｺﾞｼｯｸM" w:hAnsi="HGPｺﾞｼｯｸM" w:eastAsia="HGPｺﾞｼｯｸM"/>
                <w:sz w:val="21"/>
              </w:rPr>
            </w:pPr>
            <w:r>
              <w:rPr>
                <w:rFonts w:hint="default" w:ascii="HGPｺﾞｼｯｸM" w:hAnsi="HGPｺﾞｼｯｸM" w:eastAsia="HGPｺﾞｼｯｸM"/>
                <w:sz w:val="21"/>
              </w:rPr>
              <w:t>避難所ごみ等</w:t>
            </w: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ごみ焼却施設等の稼動可能炉等の運転、災害廃棄物緊急処理受入</w:t>
            </w:r>
          </w:p>
        </w:tc>
      </w:tr>
      <w:tr>
        <w:trPr>
          <w:trHeight w:val="334" w:hRule="atLeast"/>
        </w:trPr>
        <w:tc>
          <w:tcPr>
            <w:tcW w:w="1506" w:type="dxa"/>
            <w:vMerge w:val="continue"/>
            <w:vAlign w:val="center"/>
          </w:tcPr>
          <w:p>
            <w:pPr>
              <w:pStyle w:val="0"/>
              <w:rPr>
                <w:rFonts w:hint="eastAsia"/>
              </w:rPr>
            </w:pPr>
          </w:p>
        </w:tc>
        <w:tc>
          <w:tcPr>
            <w:tcW w:w="1844" w:type="dxa"/>
            <w:vMerge w:val="continue"/>
            <w:vAlign w:val="center"/>
          </w:tcPr>
          <w:p>
            <w:pPr>
              <w:pStyle w:val="0"/>
              <w:rPr>
                <w:rFonts w:hint="eastAsia"/>
              </w:rPr>
            </w:pP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ごみ焼却施設等の補修体制の整備、必要資機材の確保</w:t>
            </w:r>
          </w:p>
        </w:tc>
      </w:tr>
      <w:tr>
        <w:trPr>
          <w:trHeight w:val="334" w:hRule="atLeast"/>
        </w:trPr>
        <w:tc>
          <w:tcPr>
            <w:tcW w:w="1506" w:type="dxa"/>
            <w:vMerge w:val="continue"/>
            <w:vAlign w:val="center"/>
          </w:tcPr>
          <w:p>
            <w:pPr>
              <w:pStyle w:val="0"/>
              <w:rPr>
                <w:rFonts w:hint="eastAsia"/>
              </w:rPr>
            </w:pPr>
          </w:p>
        </w:tc>
        <w:tc>
          <w:tcPr>
            <w:tcW w:w="1844" w:type="dxa"/>
            <w:vMerge w:val="continue"/>
            <w:vAlign w:val="center"/>
          </w:tcPr>
          <w:p>
            <w:pPr>
              <w:pStyle w:val="0"/>
              <w:rPr>
                <w:rFonts w:hint="eastAsia"/>
              </w:rPr>
            </w:pP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収集状況の確認・支援要請</w:t>
            </w:r>
          </w:p>
        </w:tc>
      </w:tr>
      <w:tr>
        <w:trPr>
          <w:trHeight w:val="334" w:hRule="atLeast"/>
        </w:trPr>
        <w:tc>
          <w:tcPr>
            <w:tcW w:w="1506" w:type="dxa"/>
            <w:vMerge w:val="continue"/>
            <w:vAlign w:val="center"/>
          </w:tcPr>
          <w:p>
            <w:pPr>
              <w:pStyle w:val="0"/>
              <w:rPr>
                <w:rFonts w:hint="eastAsia"/>
              </w:rPr>
            </w:pPr>
          </w:p>
        </w:tc>
        <w:tc>
          <w:tcPr>
            <w:tcW w:w="1844" w:type="dxa"/>
            <w:vMerge w:val="continue"/>
            <w:vAlign w:val="center"/>
          </w:tcPr>
          <w:p>
            <w:pPr>
              <w:pStyle w:val="0"/>
              <w:rPr>
                <w:rFonts w:hint="eastAsia"/>
              </w:rPr>
            </w:pP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生活ごみ・避難所ごみの保管場所の確保</w:t>
            </w:r>
          </w:p>
        </w:tc>
      </w:tr>
      <w:tr>
        <w:trPr>
          <w:trHeight w:val="334" w:hRule="atLeast"/>
        </w:trPr>
        <w:tc>
          <w:tcPr>
            <w:tcW w:w="1506" w:type="dxa"/>
            <w:vMerge w:val="continue"/>
            <w:vAlign w:val="center"/>
          </w:tcPr>
          <w:p>
            <w:pPr>
              <w:pStyle w:val="0"/>
              <w:rPr>
                <w:rFonts w:hint="eastAsia"/>
              </w:rPr>
            </w:pPr>
          </w:p>
        </w:tc>
        <w:tc>
          <w:tcPr>
            <w:tcW w:w="1844" w:type="dxa"/>
            <w:vMerge w:val="continue"/>
            <w:vAlign w:val="center"/>
          </w:tcPr>
          <w:p>
            <w:pPr>
              <w:pStyle w:val="0"/>
              <w:rPr>
                <w:rFonts w:hint="eastAsia"/>
              </w:rPr>
            </w:pP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収集運搬・処理体制の確保</w:t>
            </w:r>
          </w:p>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処理施設の稼動状況に合わせた分別区分の決定</w:t>
            </w:r>
          </w:p>
        </w:tc>
      </w:tr>
      <w:tr>
        <w:trPr>
          <w:trHeight w:val="334" w:hRule="atLeast"/>
        </w:trPr>
        <w:tc>
          <w:tcPr>
            <w:tcW w:w="1506" w:type="dxa"/>
            <w:vMerge w:val="continue"/>
            <w:vAlign w:val="center"/>
          </w:tcPr>
          <w:p>
            <w:pPr>
              <w:pStyle w:val="0"/>
              <w:rPr>
                <w:rFonts w:hint="eastAsia"/>
              </w:rPr>
            </w:pPr>
          </w:p>
        </w:tc>
        <w:tc>
          <w:tcPr>
            <w:tcW w:w="1844" w:type="dxa"/>
            <w:vMerge w:val="continue"/>
            <w:vAlign w:val="center"/>
          </w:tcPr>
          <w:p>
            <w:pPr>
              <w:pStyle w:val="0"/>
              <w:rPr>
                <w:rFonts w:hint="eastAsia"/>
              </w:rPr>
            </w:pP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収集運搬・処理の実施・残渣の最終処分</w:t>
            </w:r>
          </w:p>
        </w:tc>
      </w:tr>
      <w:tr>
        <w:trPr>
          <w:trHeight w:val="334" w:hRule="atLeast"/>
        </w:trPr>
        <w:tc>
          <w:tcPr>
            <w:tcW w:w="1506" w:type="dxa"/>
            <w:vMerge w:val="continue"/>
            <w:vAlign w:val="center"/>
          </w:tcPr>
          <w:p>
            <w:pPr>
              <w:pStyle w:val="0"/>
              <w:rPr>
                <w:rFonts w:hint="eastAsia"/>
              </w:rPr>
            </w:pPr>
          </w:p>
        </w:tc>
        <w:tc>
          <w:tcPr>
            <w:tcW w:w="1844" w:type="dxa"/>
            <w:vMerge w:val="continue"/>
            <w:vAlign w:val="center"/>
          </w:tcPr>
          <w:p>
            <w:pPr>
              <w:pStyle w:val="0"/>
              <w:rPr>
                <w:rFonts w:hint="eastAsia"/>
              </w:rPr>
            </w:pP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感染性廃棄物への対策</w:t>
            </w:r>
          </w:p>
        </w:tc>
      </w:tr>
      <w:tr>
        <w:trPr>
          <w:trHeight w:val="334" w:hRule="atLeast"/>
        </w:trPr>
        <w:tc>
          <w:tcPr>
            <w:tcW w:w="1506" w:type="dxa"/>
            <w:vMerge w:val="continue"/>
            <w:vAlign w:val="center"/>
          </w:tcPr>
          <w:p>
            <w:pPr>
              <w:pStyle w:val="0"/>
              <w:rPr>
                <w:rFonts w:hint="eastAsia"/>
              </w:rPr>
            </w:pPr>
          </w:p>
        </w:tc>
        <w:tc>
          <w:tcPr>
            <w:tcW w:w="1844" w:type="dxa"/>
            <w:vMerge w:val="restart"/>
            <w:vAlign w:val="center"/>
          </w:tcPr>
          <w:p>
            <w:pPr>
              <w:pStyle w:val="0"/>
              <w:spacing w:line="240" w:lineRule="atLeast"/>
              <w:ind w:left="103"/>
              <w:jc w:val="both"/>
              <w:rPr>
                <w:rFonts w:hint="default" w:ascii="HGPｺﾞｼｯｸM" w:hAnsi="HGPｺﾞｼｯｸM" w:eastAsia="HGPｺﾞｼｯｸM"/>
                <w:sz w:val="21"/>
              </w:rPr>
            </w:pPr>
            <w:r>
              <w:rPr>
                <w:rFonts w:hint="eastAsia" w:ascii="HGPｺﾞｼｯｸM" w:hAnsi="HGPｺﾞｼｯｸM" w:eastAsia="HGPｺﾞｼｯｸM"/>
                <w:sz w:val="21"/>
              </w:rPr>
              <w:t>仮設トイレ等の</w:t>
            </w:r>
          </w:p>
          <w:p>
            <w:pPr>
              <w:pStyle w:val="0"/>
              <w:spacing w:line="240" w:lineRule="atLeast"/>
              <w:ind w:left="103"/>
              <w:jc w:val="both"/>
              <w:rPr>
                <w:rFonts w:hint="default" w:ascii="HGPｺﾞｼｯｸM" w:hAnsi="HGPｺﾞｼｯｸM" w:eastAsia="HGPｺﾞｼｯｸM"/>
                <w:sz w:val="21"/>
              </w:rPr>
            </w:pPr>
            <w:r>
              <w:rPr>
                <w:rFonts w:hint="default" w:ascii="HGPｺﾞｼｯｸM" w:hAnsi="HGPｺﾞｼｯｸM" w:eastAsia="HGPｺﾞｼｯｸM"/>
                <w:sz w:val="21"/>
              </w:rPr>
              <w:t>し尿</w:t>
            </w: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収集状況の確認・支援要請</w:t>
            </w:r>
          </w:p>
        </w:tc>
      </w:tr>
      <w:tr>
        <w:trPr>
          <w:trHeight w:val="334" w:hRule="atLeast"/>
        </w:trPr>
        <w:tc>
          <w:tcPr>
            <w:tcW w:w="1506" w:type="dxa"/>
            <w:vMerge w:val="continue"/>
            <w:vAlign w:val="center"/>
          </w:tcPr>
          <w:p>
            <w:pPr>
              <w:pStyle w:val="0"/>
              <w:rPr>
                <w:rFonts w:hint="eastAsia"/>
              </w:rPr>
            </w:pPr>
          </w:p>
        </w:tc>
        <w:tc>
          <w:tcPr>
            <w:tcW w:w="1844" w:type="dxa"/>
            <w:vMerge w:val="continue"/>
            <w:vAlign w:val="center"/>
          </w:tcPr>
          <w:p>
            <w:pPr>
              <w:pStyle w:val="0"/>
              <w:rPr>
                <w:rFonts w:hint="eastAsia"/>
              </w:rPr>
            </w:pP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仮設トイレの使用方法、維持管理方法等の利用者への指導（衛生的な使用状況の確保）</w:t>
            </w:r>
          </w:p>
        </w:tc>
      </w:tr>
      <w:tr>
        <w:trPr>
          <w:trHeight w:val="334" w:hRule="atLeast"/>
        </w:trPr>
        <w:tc>
          <w:tcPr>
            <w:tcW w:w="1506" w:type="dxa"/>
            <w:vAlign w:val="center"/>
          </w:tcPr>
          <w:p>
            <w:pPr>
              <w:pStyle w:val="0"/>
              <w:spacing w:line="240" w:lineRule="atLeast"/>
              <w:ind w:left="-110" w:leftChars="-50"/>
              <w:jc w:val="center"/>
              <w:rPr>
                <w:rFonts w:hint="default" w:ascii="HGPｺﾞｼｯｸM" w:hAnsi="HGPｺﾞｼｯｸM" w:eastAsia="HGPｺﾞｼｯｸM"/>
                <w:sz w:val="21"/>
              </w:rPr>
            </w:pPr>
            <w:r>
              <w:rPr>
                <w:rFonts w:hint="default" w:ascii="HGPｺﾞｼｯｸM" w:hAnsi="HGPｺﾞｼｯｸM" w:eastAsia="HGPｺﾞｼｯｸM"/>
                <w:sz w:val="21"/>
              </w:rPr>
              <w:t>応急対応</w:t>
            </w:r>
          </w:p>
          <w:p>
            <w:pPr>
              <w:pStyle w:val="0"/>
              <w:spacing w:line="240" w:lineRule="atLeast"/>
              <w:ind w:left="-110" w:leftChars="-50"/>
              <w:jc w:val="center"/>
              <w:rPr>
                <w:rFonts w:hint="default" w:ascii="HGPｺﾞｼｯｸM" w:hAnsi="HGPｺﾞｼｯｸM" w:eastAsia="HGPｺﾞｼｯｸM"/>
                <w:sz w:val="21"/>
              </w:rPr>
            </w:pPr>
            <w:r>
              <w:rPr>
                <w:rFonts w:hint="default" w:ascii="HGPｺﾞｼｯｸM" w:hAnsi="HGPｺﾞｼｯｸM" w:eastAsia="HGPｺﾞｼｯｸM"/>
                <w:sz w:val="21"/>
              </w:rPr>
              <w:t>（後半）</w:t>
            </w:r>
          </w:p>
        </w:tc>
        <w:tc>
          <w:tcPr>
            <w:tcW w:w="1844" w:type="dxa"/>
            <w:vAlign w:val="center"/>
          </w:tcPr>
          <w:p>
            <w:pPr>
              <w:pStyle w:val="0"/>
              <w:spacing w:line="240" w:lineRule="atLeast"/>
              <w:ind w:left="103"/>
              <w:jc w:val="both"/>
              <w:rPr>
                <w:rFonts w:hint="default" w:ascii="HGPｺﾞｼｯｸM" w:hAnsi="HGPｺﾞｼｯｸM" w:eastAsia="HGPｺﾞｼｯｸM"/>
                <w:sz w:val="21"/>
              </w:rPr>
            </w:pPr>
            <w:r>
              <w:rPr>
                <w:rFonts w:hint="eastAsia" w:ascii="HGPｺﾞｼｯｸM" w:hAnsi="HGPｺﾞｼｯｸM" w:eastAsia="HGPｺﾞｼｯｸM"/>
                <w:sz w:val="21"/>
              </w:rPr>
              <w:t>生活ごみ</w:t>
            </w:r>
          </w:p>
          <w:p>
            <w:pPr>
              <w:pStyle w:val="0"/>
              <w:spacing w:line="240" w:lineRule="atLeast"/>
              <w:ind w:left="103"/>
              <w:jc w:val="both"/>
              <w:rPr>
                <w:rFonts w:hint="default" w:ascii="HGPｺﾞｼｯｸM" w:hAnsi="HGPｺﾞｼｯｸM" w:eastAsia="HGPｺﾞｼｯｸM"/>
                <w:sz w:val="21"/>
              </w:rPr>
            </w:pPr>
            <w:r>
              <w:rPr>
                <w:rFonts w:hint="default" w:ascii="HGPｺﾞｼｯｸM" w:hAnsi="HGPｺﾞｼｯｸM" w:eastAsia="HGPｺﾞｼｯｸM"/>
                <w:sz w:val="21"/>
              </w:rPr>
              <w:t>避難所ごみ等</w:t>
            </w: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ごみ焼却施設等の補修・再稼動の実施</w:t>
            </w:r>
          </w:p>
        </w:tc>
      </w:tr>
      <w:tr>
        <w:trPr>
          <w:trHeight w:val="334" w:hRule="atLeast"/>
        </w:trPr>
        <w:tc>
          <w:tcPr>
            <w:tcW w:w="1506" w:type="dxa"/>
            <w:vAlign w:val="center"/>
          </w:tcPr>
          <w:p>
            <w:pPr>
              <w:pStyle w:val="0"/>
              <w:spacing w:line="240" w:lineRule="atLeast"/>
              <w:ind w:left="-110" w:leftChars="-50"/>
              <w:jc w:val="center"/>
              <w:rPr>
                <w:rFonts w:hint="default" w:ascii="HGPｺﾞｼｯｸM" w:hAnsi="HGPｺﾞｼｯｸM" w:eastAsia="HGPｺﾞｼｯｸM"/>
                <w:sz w:val="21"/>
              </w:rPr>
            </w:pPr>
            <w:r>
              <w:rPr>
                <w:rFonts w:hint="default" w:ascii="HGPｺﾞｼｯｸM" w:hAnsi="HGPｺﾞｼｯｸM" w:eastAsia="HGPｺﾞｼｯｸM"/>
                <w:sz w:val="21"/>
              </w:rPr>
              <w:t>復旧・復興</w:t>
            </w:r>
          </w:p>
        </w:tc>
        <w:tc>
          <w:tcPr>
            <w:tcW w:w="1844" w:type="dxa"/>
            <w:vAlign w:val="center"/>
          </w:tcPr>
          <w:p>
            <w:pPr>
              <w:pStyle w:val="0"/>
              <w:spacing w:line="240" w:lineRule="atLeast"/>
              <w:ind w:left="103"/>
              <w:jc w:val="both"/>
              <w:rPr>
                <w:rFonts w:hint="default" w:ascii="HGPｺﾞｼｯｸM" w:hAnsi="HGPｺﾞｼｯｸM" w:eastAsia="HGPｺﾞｼｯｸM"/>
                <w:sz w:val="21"/>
              </w:rPr>
            </w:pPr>
            <w:r>
              <w:rPr>
                <w:rFonts w:hint="eastAsia" w:ascii="HGPｺﾞｼｯｸM" w:hAnsi="HGPｺﾞｼｯｸM" w:eastAsia="HGPｺﾞｼｯｸM"/>
                <w:sz w:val="21"/>
              </w:rPr>
              <w:t>仮設トイレ等の</w:t>
            </w:r>
          </w:p>
          <w:p>
            <w:pPr>
              <w:pStyle w:val="0"/>
              <w:spacing w:line="240" w:lineRule="atLeast"/>
              <w:ind w:left="103"/>
              <w:jc w:val="both"/>
              <w:rPr>
                <w:rFonts w:hint="default" w:ascii="HGPｺﾞｼｯｸM" w:hAnsi="HGPｺﾞｼｯｸM" w:eastAsia="HGPｺﾞｼｯｸM"/>
                <w:sz w:val="21"/>
              </w:rPr>
            </w:pPr>
            <w:r>
              <w:rPr>
                <w:rFonts w:hint="default" w:ascii="HGPｺﾞｼｯｸM" w:hAnsi="HGPｺﾞｼｯｸM" w:eastAsia="HGPｺﾞｼｯｸM"/>
                <w:sz w:val="21"/>
              </w:rPr>
              <w:t>し尿</w:t>
            </w:r>
          </w:p>
        </w:tc>
        <w:tc>
          <w:tcPr>
            <w:tcW w:w="5245"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避難所の閉鎖、下水道の復旧等に伴</w:t>
            </w:r>
            <w:r>
              <w:rPr>
                <w:rFonts w:hint="eastAsia" w:ascii="HGPｺﾞｼｯｸM" w:hAnsi="HGPｺﾞｼｯｸM" w:eastAsia="HGPｺﾞｼｯｸM"/>
                <w:sz w:val="21"/>
              </w:rPr>
              <w:t>う</w:t>
            </w:r>
            <w:r>
              <w:rPr>
                <w:rFonts w:hint="default" w:ascii="HGPｺﾞｼｯｸM" w:hAnsi="HGPｺﾞｼｯｸM" w:eastAsia="HGPｺﾞｼｯｸM"/>
                <w:sz w:val="21"/>
              </w:rPr>
              <w:t>仮設トイレの撤去</w:t>
            </w:r>
          </w:p>
        </w:tc>
      </w:tr>
    </w:tbl>
    <w:p>
      <w:pPr>
        <w:pStyle w:val="15"/>
        <w:tabs>
          <w:tab w:val="left" w:leader="none" w:pos="1836"/>
        </w:tabs>
        <w:spacing w:before="26" w:beforeLines="0" w:beforeAutospacing="0" w:after="42" w:afterLines="0" w:afterAutospacing="0"/>
        <w:ind w:firstLine="90" w:firstLineChars="50"/>
        <w:rPr>
          <w:rFonts w:hint="default" w:ascii="ＭＳ 明朝" w:hAnsi="ＭＳ 明朝" w:eastAsia="ＭＳ 明朝"/>
          <w:color w:val="000000" w:themeColor="text1"/>
          <w:sz w:val="18"/>
        </w:rPr>
      </w:pPr>
      <w:r>
        <w:rPr>
          <w:rFonts w:hint="default" w:ascii="ＭＳ 明朝" w:hAnsi="ＭＳ 明朝" w:eastAsia="ＭＳ 明朝"/>
          <w:color w:val="000000" w:themeColor="text1"/>
          <w:sz w:val="18"/>
        </w:rPr>
        <w:t>出典：環境省災害廃棄物対策指針（平成</w:t>
      </w:r>
      <w:r>
        <w:rPr>
          <w:rFonts w:hint="default" w:ascii="ＭＳ 明朝" w:hAnsi="ＭＳ 明朝" w:eastAsia="ＭＳ 明朝"/>
          <w:color w:val="000000" w:themeColor="text1"/>
          <w:sz w:val="18"/>
        </w:rPr>
        <w:t>30</w:t>
      </w:r>
      <w:r>
        <w:rPr>
          <w:rFonts w:hint="default" w:ascii="ＭＳ 明朝" w:hAnsi="ＭＳ 明朝" w:eastAsia="ＭＳ 明朝"/>
          <w:color w:val="000000" w:themeColor="text1"/>
          <w:sz w:val="18"/>
        </w:rPr>
        <w:t>年</w:t>
      </w:r>
      <w:r>
        <w:rPr>
          <w:rFonts w:hint="default" w:ascii="ＭＳ 明朝" w:hAnsi="ＭＳ 明朝" w:eastAsia="ＭＳ 明朝"/>
          <w:color w:val="000000" w:themeColor="text1"/>
          <w:sz w:val="18"/>
        </w:rPr>
        <w:t>3</w:t>
      </w:r>
      <w:r>
        <w:rPr>
          <w:rFonts w:hint="default" w:ascii="ＭＳ 明朝" w:hAnsi="ＭＳ 明朝" w:eastAsia="ＭＳ 明朝"/>
          <w:color w:val="000000" w:themeColor="text1"/>
          <w:sz w:val="18"/>
        </w:rPr>
        <w:t>月）</w:t>
      </w:r>
      <w:bookmarkStart w:id="16" w:name="_Hlk19112535"/>
      <w:r>
        <w:rPr>
          <w:rFonts w:hint="eastAsia" w:ascii="ＭＳ 明朝" w:hAnsi="ＭＳ 明朝" w:eastAsia="ＭＳ 明朝"/>
          <w:color w:val="000000" w:themeColor="text1"/>
          <w:sz w:val="18"/>
        </w:rPr>
        <w:t>p</w:t>
      </w:r>
      <w:r>
        <w:rPr>
          <w:rFonts w:hint="default" w:ascii="ＭＳ 明朝" w:hAnsi="ＭＳ 明朝" w:eastAsia="ＭＳ 明朝"/>
          <w:color w:val="000000" w:themeColor="text1"/>
          <w:sz w:val="18"/>
        </w:rPr>
        <w:t>.1-15</w:t>
      </w:r>
      <w:bookmarkEnd w:id="16"/>
      <w:r>
        <w:rPr>
          <w:rFonts w:hint="eastAsia" w:ascii="ＭＳ 明朝" w:hAnsi="ＭＳ 明朝" w:eastAsia="ＭＳ 明朝"/>
          <w:color w:val="000000" w:themeColor="text1"/>
          <w:sz w:val="18"/>
        </w:rPr>
        <w:t>を一部修正</w:t>
      </w:r>
    </w:p>
    <w:p>
      <w:pPr>
        <w:pStyle w:val="15"/>
        <w:ind w:firstLine="180" w:firstLineChars="100"/>
        <w:rPr>
          <w:rFonts w:hint="default" w:ascii="ＭＳ 明朝" w:hAnsi="ＭＳ 明朝" w:eastAsia="ＭＳ 明朝"/>
          <w:color w:val="000000" w:themeColor="text1"/>
          <w:sz w:val="18"/>
        </w:rPr>
      </w:pPr>
    </w:p>
    <w:p>
      <w:pPr>
        <w:pStyle w:val="15"/>
        <w:rPr>
          <w:rFonts w:hint="default" w:ascii="ＭＳ 明朝" w:hAnsi="ＭＳ 明朝" w:eastAsia="ＭＳ 明朝"/>
          <w:color w:val="000000" w:themeColor="text1"/>
          <w:sz w:val="18"/>
        </w:rPr>
      </w:pPr>
    </w:p>
    <w:p>
      <w:pPr>
        <w:pStyle w:val="15"/>
        <w:tabs>
          <w:tab w:val="left" w:leader="none" w:pos="1836"/>
        </w:tabs>
        <w:spacing w:before="26" w:beforeLines="0" w:beforeAutospacing="0" w:after="42" w:afterLines="0" w:afterAutospacing="0"/>
        <w:jc w:val="center"/>
        <w:rPr>
          <w:rFonts w:hint="default"/>
          <w:sz w:val="21"/>
        </w:rPr>
      </w:pPr>
      <w:bookmarkStart w:id="17" w:name="_Hlk19017809"/>
      <w:r>
        <w:rPr>
          <w:rFonts w:hint="default"/>
          <w:sz w:val="21"/>
        </w:rPr>
        <w:t>表</w:t>
      </w:r>
      <w:r>
        <w:rPr>
          <w:rFonts w:hint="eastAsia"/>
          <w:sz w:val="21"/>
        </w:rPr>
        <w:t>６　</w:t>
      </w:r>
      <w:r>
        <w:rPr>
          <w:rFonts w:hint="default"/>
          <w:sz w:val="21"/>
        </w:rPr>
        <w:t>災害廃棄物等処理（災害によって発生する廃棄物等）</w:t>
      </w:r>
    </w:p>
    <w:tbl>
      <w:tblPr>
        <w:tblStyle w:val="67"/>
        <w:tblW w:w="878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567"/>
        <w:gridCol w:w="2410"/>
        <w:gridCol w:w="5812"/>
      </w:tblGrid>
      <w:tr>
        <w:trPr>
          <w:trHeight w:val="334" w:hRule="atLeast"/>
          <w:tblHeader/>
        </w:trPr>
        <w:tc>
          <w:tcPr>
            <w:tcW w:w="2977" w:type="dxa"/>
            <w:gridSpan w:val="2"/>
            <w:shd w:val="clear" w:color="auto" w:themeFill="background1" w:themeFillTint="FF" w:themeFillShade="D9"/>
            <w:vAlign w:val="top"/>
          </w:tcPr>
          <w:p>
            <w:pPr>
              <w:pStyle w:val="0"/>
              <w:tabs>
                <w:tab w:val="left" w:leader="none" w:pos="1651"/>
              </w:tabs>
              <w:spacing w:line="300" w:lineRule="exact"/>
              <w:ind w:left="931"/>
              <w:rPr>
                <w:rFonts w:hint="default" w:ascii="HGPｺﾞｼｯｸM" w:hAnsi="HGPｺﾞｼｯｸM" w:eastAsia="HGPｺﾞｼｯｸM"/>
                <w:sz w:val="21"/>
              </w:rPr>
            </w:pPr>
            <w:r>
              <w:rPr>
                <w:rFonts w:hint="default" w:ascii="HGPｺﾞｼｯｸM" w:hAnsi="HGPｺﾞｼｯｸM" w:eastAsia="HGPｺﾞｼｯｸM"/>
                <w:sz w:val="21"/>
              </w:rPr>
              <w:t>項</w:t>
            </w:r>
            <w:r>
              <w:rPr>
                <w:rFonts w:hint="default" w:ascii="HGPｺﾞｼｯｸM" w:hAnsi="HGPｺﾞｼｯｸM" w:eastAsia="HGPｺﾞｼｯｸM"/>
                <w:sz w:val="21"/>
              </w:rPr>
              <w:tab/>
            </w:r>
            <w:r>
              <w:rPr>
                <w:rFonts w:hint="default" w:ascii="HGPｺﾞｼｯｸM" w:hAnsi="HGPｺﾞｼｯｸM" w:eastAsia="HGPｺﾞｼｯｸM"/>
                <w:sz w:val="21"/>
              </w:rPr>
              <w:t>目</w:t>
            </w:r>
          </w:p>
        </w:tc>
        <w:tc>
          <w:tcPr>
            <w:tcW w:w="5812" w:type="dxa"/>
            <w:shd w:val="clear" w:color="auto" w:themeFill="background1" w:themeFillTint="FF" w:themeFillShade="D9"/>
            <w:vAlign w:val="top"/>
          </w:tcPr>
          <w:p>
            <w:pPr>
              <w:pStyle w:val="0"/>
              <w:tabs>
                <w:tab w:val="left" w:leader="none" w:pos="719"/>
              </w:tabs>
              <w:spacing w:line="300" w:lineRule="exact"/>
              <w:jc w:val="center"/>
              <w:rPr>
                <w:rFonts w:hint="default" w:ascii="HGPｺﾞｼｯｸM" w:hAnsi="HGPｺﾞｼｯｸM" w:eastAsia="HGPｺﾞｼｯｸM"/>
                <w:sz w:val="21"/>
              </w:rPr>
            </w:pPr>
            <w:r>
              <w:rPr>
                <w:rFonts w:hint="default" w:ascii="HGPｺﾞｼｯｸM" w:hAnsi="HGPｺﾞｼｯｸM" w:eastAsia="HGPｺﾞｼｯｸM"/>
                <w:sz w:val="21"/>
              </w:rPr>
              <w:t>内</w:t>
            </w:r>
            <w:r>
              <w:rPr>
                <w:rFonts w:hint="default" w:ascii="HGPｺﾞｼｯｸM" w:hAnsi="HGPｺﾞｼｯｸM" w:eastAsia="HGPｺﾞｼｯｸM"/>
                <w:sz w:val="21"/>
              </w:rPr>
              <w:tab/>
            </w:r>
            <w:r>
              <w:rPr>
                <w:rFonts w:hint="default" w:ascii="HGPｺﾞｼｯｸM" w:hAnsi="HGPｺﾞｼｯｸM" w:eastAsia="HGPｺﾞｼｯｸM"/>
                <w:sz w:val="21"/>
              </w:rPr>
              <w:t>容</w:t>
            </w:r>
          </w:p>
        </w:tc>
      </w:tr>
      <w:tr>
        <w:trPr>
          <w:trHeight w:val="334" w:hRule="atLeast"/>
        </w:trPr>
        <w:tc>
          <w:tcPr>
            <w:tcW w:w="567" w:type="dxa"/>
            <w:vMerge w:val="restart"/>
            <w:textDirection w:val="tbRlV"/>
            <w:vAlign w:val="center"/>
          </w:tcPr>
          <w:p>
            <w:pPr>
              <w:pStyle w:val="0"/>
              <w:spacing w:line="240" w:lineRule="atLeast"/>
              <w:ind w:left="113" w:right="228"/>
              <w:jc w:val="center"/>
              <w:rPr>
                <w:rFonts w:hint="default" w:ascii="HGPｺﾞｼｯｸM" w:hAnsi="HGPｺﾞｼｯｸM" w:eastAsia="HGPｺﾞｼｯｸM"/>
                <w:sz w:val="21"/>
              </w:rPr>
            </w:pPr>
            <w:r>
              <w:rPr>
                <w:rFonts w:hint="default" w:ascii="HGPｺﾞｼｯｸM" w:hAnsi="HGPｺﾞｼｯｸM" w:eastAsia="HGPｺﾞｼｯｸM"/>
                <w:sz w:val="21"/>
              </w:rPr>
              <w:t>初動期</w:t>
            </w:r>
          </w:p>
        </w:tc>
        <w:tc>
          <w:tcPr>
            <w:tcW w:w="2410" w:type="dxa"/>
            <w:vAlign w:val="center"/>
          </w:tcPr>
          <w:p>
            <w:pPr>
              <w:pStyle w:val="0"/>
              <w:spacing w:line="240" w:lineRule="atLeast"/>
              <w:ind w:left="100"/>
              <w:jc w:val="both"/>
              <w:rPr>
                <w:rFonts w:hint="default" w:ascii="HGPｺﾞｼｯｸM" w:hAnsi="HGPｺﾞｼｯｸM" w:eastAsia="HGPｺﾞｼｯｸM"/>
                <w:sz w:val="21"/>
              </w:rPr>
            </w:pPr>
            <w:r>
              <w:rPr>
                <w:rFonts w:hint="default" w:ascii="HGPｺﾞｼｯｸM" w:hAnsi="HGPｺﾞｼｯｸM" w:eastAsia="HGPｺﾞｼｯｸM"/>
                <w:sz w:val="21"/>
              </w:rPr>
              <w:t>自衛隊等との連携</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自衛隊・警察・消防との連携</w:t>
            </w:r>
          </w:p>
        </w:tc>
      </w:tr>
      <w:tr>
        <w:trPr>
          <w:trHeight w:val="334" w:hRule="atLeast"/>
        </w:trPr>
        <w:tc>
          <w:tcPr>
            <w:tcW w:w="567" w:type="dxa"/>
            <w:vMerge w:val="continue"/>
            <w:textDirection w:val="tbRlV"/>
            <w:vAlign w:val="center"/>
          </w:tcPr>
          <w:p>
            <w:pPr>
              <w:pStyle w:val="0"/>
              <w:spacing w:line="240" w:lineRule="atLeast"/>
              <w:ind w:left="113" w:right="113"/>
              <w:jc w:val="center"/>
              <w:rPr>
                <w:rFonts w:hint="default" w:ascii="HGPｺﾞｼｯｸM" w:hAnsi="HGPｺﾞｼｯｸM" w:eastAsia="HGPｺﾞｼｯｸM"/>
                <w:sz w:val="21"/>
              </w:rPr>
            </w:pPr>
          </w:p>
        </w:tc>
        <w:tc>
          <w:tcPr>
            <w:tcW w:w="2410" w:type="dxa"/>
            <w:vAlign w:val="center"/>
          </w:tcPr>
          <w:p>
            <w:pPr>
              <w:pStyle w:val="0"/>
              <w:spacing w:line="240" w:lineRule="atLeast"/>
              <w:ind w:left="100" w:right="65"/>
              <w:jc w:val="both"/>
              <w:rPr>
                <w:rFonts w:hint="default" w:ascii="HGPｺﾞｼｯｸM" w:hAnsi="HGPｺﾞｼｯｸM" w:eastAsia="HGPｺﾞｼｯｸM"/>
                <w:sz w:val="21"/>
              </w:rPr>
            </w:pPr>
            <w:r>
              <w:rPr>
                <w:rFonts w:hint="default" w:ascii="HGPｺﾞｼｯｸM" w:hAnsi="HGPｺﾞｼｯｸM" w:eastAsia="HGPｺﾞｼｯｸM"/>
                <w:sz w:val="21"/>
              </w:rPr>
              <w:t>発生量</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被害状況等の情報から</w:t>
            </w:r>
            <w:r>
              <w:rPr>
                <w:rFonts w:hint="default" w:ascii="HGPｺﾞｼｯｸM" w:hAnsi="HGPｺﾞｼｯｸM" w:eastAsia="HGPｺﾞｼｯｸM"/>
                <w:sz w:val="21"/>
              </w:rPr>
              <w:t>災害廃棄物の発生量の推計</w:t>
            </w:r>
            <w:r>
              <w:rPr>
                <w:rFonts w:hint="eastAsia" w:ascii="HGPｺﾞｼｯｸM" w:hAnsi="HGPｺﾞｼｯｸM" w:eastAsia="HGPｺﾞｼｯｸM"/>
                <w:sz w:val="21"/>
              </w:rPr>
              <w:t>開始</w:t>
            </w:r>
          </w:p>
        </w:tc>
      </w:tr>
      <w:tr>
        <w:trPr>
          <w:cantSplit/>
          <w:trHeight w:val="334" w:hRule="atLeast"/>
        </w:trPr>
        <w:tc>
          <w:tcPr>
            <w:tcW w:w="567" w:type="dxa"/>
            <w:vMerge w:val="continue"/>
            <w:textDirection w:val="tbRlV"/>
            <w:vAlign w:val="center"/>
          </w:tcPr>
          <w:p>
            <w:pPr>
              <w:pStyle w:val="0"/>
              <w:spacing w:line="240" w:lineRule="atLeast"/>
              <w:ind w:left="113" w:right="113"/>
              <w:jc w:val="center"/>
              <w:rPr>
                <w:rFonts w:hint="default" w:ascii="HGPｺﾞｼｯｸM" w:hAnsi="HGPｺﾞｼｯｸM" w:eastAsia="HGPｺﾞｼｯｸM"/>
                <w:sz w:val="21"/>
              </w:rPr>
            </w:pPr>
          </w:p>
        </w:tc>
        <w:tc>
          <w:tcPr>
            <w:tcW w:w="2410" w:type="dxa"/>
            <w:vMerge w:val="restart"/>
            <w:vAlign w:val="center"/>
          </w:tcPr>
          <w:p>
            <w:pPr>
              <w:pStyle w:val="0"/>
              <w:spacing w:line="240" w:lineRule="atLeast"/>
              <w:ind w:left="102"/>
              <w:jc w:val="both"/>
              <w:rPr>
                <w:rFonts w:hint="default" w:ascii="HGPｺﾞｼｯｸM" w:hAnsi="HGPｺﾞｼｯｸM" w:eastAsia="HGPｺﾞｼｯｸM"/>
                <w:sz w:val="21"/>
              </w:rPr>
            </w:pPr>
            <w:r>
              <w:rPr>
                <w:rFonts w:hint="eastAsia" w:ascii="HGPｺﾞｼｯｸM" w:hAnsi="HGPｺﾞｼｯｸM" w:eastAsia="HGPｺﾞｼｯｸM"/>
                <w:sz w:val="21"/>
              </w:rPr>
              <w:t>収集運搬</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片付けごみ回収方法の検討</w:t>
            </w:r>
          </w:p>
        </w:tc>
      </w:tr>
      <w:tr>
        <w:trPr>
          <w:trHeight w:val="334" w:hRule="atLeast"/>
        </w:trPr>
        <w:tc>
          <w:tcPr>
            <w:tcW w:w="567" w:type="dxa"/>
            <w:vMerge w:val="continue"/>
            <w:textDirection w:val="tbRlV"/>
            <w:vAlign w:val="center"/>
          </w:tcPr>
          <w:p>
            <w:pPr>
              <w:pStyle w:val="0"/>
              <w:spacing w:line="240" w:lineRule="atLeast"/>
              <w:ind w:left="113" w:right="113"/>
              <w:jc w:val="center"/>
              <w:rPr>
                <w:rFonts w:hint="default" w:ascii="HGPｺﾞｼｯｸM" w:hAnsi="HGPｺﾞｼｯｸM" w:eastAsia="HGPｺﾞｼｯｸM"/>
                <w:sz w:val="21"/>
              </w:rPr>
            </w:pPr>
          </w:p>
        </w:tc>
        <w:tc>
          <w:tcPr>
            <w:tcW w:w="2410" w:type="dxa"/>
            <w:vMerge w:val="continue"/>
            <w:vAlign w:val="center"/>
          </w:tcPr>
          <w:p>
            <w:pPr>
              <w:pStyle w:val="0"/>
              <w:spacing w:line="240" w:lineRule="atLeast"/>
              <w:ind w:left="100"/>
              <w:jc w:val="both"/>
              <w:rPr>
                <w:rFonts w:hint="default" w:ascii="HGPｺﾞｼｯｸM" w:hAnsi="HGPｺﾞｼｯｸM" w:eastAsia="HGPｺﾞｼｯｸM"/>
                <w:sz w:val="21"/>
              </w:rPr>
            </w:pP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住民、ボランティアへの情報提供（分別方法、仮置場の場所等）</w:t>
            </w:r>
          </w:p>
        </w:tc>
      </w:tr>
      <w:tr>
        <w:trPr>
          <w:trHeight w:val="334" w:hRule="atLeast"/>
        </w:trPr>
        <w:tc>
          <w:tcPr>
            <w:tcW w:w="567" w:type="dxa"/>
            <w:vMerge w:val="continue"/>
            <w:textDirection w:val="tbRlV"/>
            <w:vAlign w:val="center"/>
          </w:tcPr>
          <w:p>
            <w:pPr>
              <w:pStyle w:val="0"/>
              <w:spacing w:line="240" w:lineRule="atLeast"/>
              <w:ind w:left="113" w:right="113"/>
              <w:jc w:val="center"/>
              <w:rPr>
                <w:rFonts w:hint="default" w:ascii="HGPｺﾞｼｯｸM" w:hAnsi="HGPｺﾞｼｯｸM" w:eastAsia="HGPｺﾞｼｯｸM"/>
                <w:sz w:val="21"/>
              </w:rPr>
            </w:pPr>
          </w:p>
        </w:tc>
        <w:tc>
          <w:tcPr>
            <w:tcW w:w="2410" w:type="dxa"/>
            <w:vMerge w:val="continue"/>
            <w:vAlign w:val="center"/>
          </w:tcPr>
          <w:p>
            <w:pPr>
              <w:pStyle w:val="0"/>
              <w:spacing w:line="240" w:lineRule="atLeast"/>
              <w:jc w:val="both"/>
              <w:rPr>
                <w:rFonts w:hint="default" w:ascii="HGPｺﾞｼｯｸM" w:hAnsi="HGPｺﾞｼｯｸM" w:eastAsia="HGPｺﾞｼｯｸM"/>
                <w:sz w:val="21"/>
              </w:rPr>
            </w:pP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収集運搬体制の確保</w:t>
            </w:r>
            <w:r>
              <w:rPr>
                <w:rFonts w:hint="eastAsia" w:ascii="HGPｺﾞｼｯｸM" w:hAnsi="HGPｺﾞｼｯｸM" w:eastAsia="HGPｺﾞｼｯｸM"/>
                <w:sz w:val="21"/>
              </w:rPr>
              <w:t>、ボランティアとの連携</w:t>
            </w:r>
          </w:p>
        </w:tc>
      </w:tr>
      <w:tr>
        <w:trPr>
          <w:trHeight w:val="334" w:hRule="atLeast"/>
        </w:trPr>
        <w:tc>
          <w:tcPr>
            <w:tcW w:w="567" w:type="dxa"/>
            <w:vMerge w:val="continue"/>
            <w:textDirection w:val="tbRlV"/>
            <w:vAlign w:val="center"/>
          </w:tcPr>
          <w:p>
            <w:pPr>
              <w:pStyle w:val="0"/>
              <w:spacing w:line="240" w:lineRule="atLeast"/>
              <w:ind w:left="113" w:right="113"/>
              <w:jc w:val="center"/>
              <w:rPr>
                <w:rFonts w:hint="default" w:ascii="HGPｺﾞｼｯｸM" w:hAnsi="HGPｺﾞｼｯｸM" w:eastAsia="HGPｺﾞｼｯｸM"/>
                <w:sz w:val="21"/>
              </w:rPr>
            </w:pPr>
          </w:p>
        </w:tc>
        <w:tc>
          <w:tcPr>
            <w:tcW w:w="2410"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tLeast"/>
              <w:jc w:val="both"/>
              <w:rPr>
                <w:rFonts w:hint="default" w:ascii="HGPｺﾞｼｯｸM" w:hAnsi="HGPｺﾞｼｯｸM" w:eastAsia="HGPｺﾞｼｯｸM"/>
                <w:sz w:val="21"/>
              </w:rPr>
            </w:pP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収集運搬の実施</w:t>
            </w:r>
          </w:p>
        </w:tc>
      </w:tr>
      <w:tr>
        <w:trPr>
          <w:trHeight w:val="334" w:hRule="atLeast"/>
        </w:trPr>
        <w:tc>
          <w:tcPr>
            <w:tcW w:w="567" w:type="dxa"/>
            <w:vMerge w:val="continue"/>
            <w:textDirection w:val="tbRlV"/>
            <w:vAlign w:val="center"/>
          </w:tcPr>
          <w:p>
            <w:pPr>
              <w:pStyle w:val="0"/>
              <w:spacing w:line="240" w:lineRule="atLeast"/>
              <w:ind w:left="113" w:right="113"/>
              <w:jc w:val="center"/>
              <w:rPr>
                <w:rFonts w:hint="default" w:ascii="HGPｺﾞｼｯｸM" w:hAnsi="HGPｺﾞｼｯｸM" w:eastAsia="HGPｺﾞｼｯｸM"/>
                <w:sz w:val="21"/>
              </w:rPr>
            </w:pPr>
          </w:p>
        </w:tc>
        <w:tc>
          <w:tcPr>
            <w:tcW w:w="2410"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tLeast"/>
              <w:ind w:left="110" w:leftChars="50"/>
              <w:jc w:val="both"/>
              <w:rPr>
                <w:rFonts w:hint="default" w:ascii="HGPｺﾞｼｯｸM" w:hAnsi="HGPｺﾞｼｯｸM" w:eastAsia="HGPｺﾞｼｯｸM"/>
                <w:sz w:val="21"/>
              </w:rPr>
            </w:pPr>
            <w:r>
              <w:rPr>
                <w:rFonts w:hint="eastAsia" w:ascii="HGPｺﾞｼｯｸM" w:hAnsi="HGPｺﾞｼｯｸM" w:eastAsia="HGPｺﾞｼｯｸM"/>
                <w:sz w:val="21"/>
              </w:rPr>
              <w:t>撤去</w:t>
            </w:r>
          </w:p>
        </w:tc>
        <w:tc>
          <w:tcPr>
            <w:tcW w:w="5812"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通行障害となっている災害廃棄物の優先撤去（関係部局との連携）</w:t>
            </w:r>
          </w:p>
        </w:tc>
      </w:tr>
      <w:tr>
        <w:trPr>
          <w:trHeight w:val="334" w:hRule="atLeast"/>
        </w:trPr>
        <w:tc>
          <w:tcPr>
            <w:tcW w:w="567" w:type="dxa"/>
            <w:vMerge w:val="continue"/>
            <w:textDirection w:val="tbRlV"/>
            <w:vAlign w:val="center"/>
          </w:tcPr>
          <w:p>
            <w:pPr>
              <w:pStyle w:val="0"/>
              <w:spacing w:line="240" w:lineRule="atLeast"/>
              <w:ind w:left="113" w:right="113"/>
              <w:jc w:val="center"/>
              <w:rPr>
                <w:rFonts w:hint="default" w:ascii="HGPｺﾞｼｯｸM" w:hAnsi="HGPｺﾞｼｯｸM" w:eastAsia="HGPｺﾞｼｯｸM"/>
                <w:sz w:val="21"/>
              </w:rPr>
            </w:pPr>
          </w:p>
        </w:tc>
        <w:tc>
          <w:tcPr>
            <w:tcW w:w="2410"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tLeast"/>
              <w:ind w:firstLine="105" w:firstLineChars="50"/>
              <w:jc w:val="both"/>
              <w:rPr>
                <w:rFonts w:hint="default" w:ascii="HGPｺﾞｼｯｸM" w:hAnsi="HGPｺﾞｼｯｸM" w:eastAsia="HGPｺﾞｼｯｸM"/>
                <w:sz w:val="21"/>
              </w:rPr>
            </w:pPr>
            <w:r>
              <w:rPr>
                <w:rFonts w:hint="eastAsia" w:ascii="HGPｺﾞｼｯｸM" w:hAnsi="HGPｺﾞｼｯｸM" w:eastAsia="HGPｺﾞｼｯｸM"/>
                <w:sz w:val="21"/>
              </w:rPr>
              <w:t>仮置場</w:t>
            </w:r>
          </w:p>
        </w:tc>
        <w:tc>
          <w:tcPr>
            <w:tcW w:w="5812"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仮置場の候補地の選定</w:t>
            </w:r>
          </w:p>
        </w:tc>
      </w:tr>
      <w:tr>
        <w:trPr>
          <w:trHeight w:val="334" w:hRule="atLeast"/>
        </w:trPr>
        <w:tc>
          <w:tcPr>
            <w:tcW w:w="567"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textDirection w:val="tbRlV"/>
            <w:vAlign w:val="center"/>
          </w:tcPr>
          <w:p>
            <w:pPr>
              <w:pStyle w:val="0"/>
              <w:spacing w:line="240" w:lineRule="atLeast"/>
              <w:ind w:left="113" w:right="113"/>
              <w:jc w:val="center"/>
              <w:rPr>
                <w:rFonts w:hint="default" w:ascii="HGPｺﾞｼｯｸM" w:hAnsi="HGPｺﾞｼｯｸM" w:eastAsia="HGPｺﾞｼｯｸM"/>
                <w:sz w:val="21"/>
              </w:rPr>
            </w:pPr>
          </w:p>
        </w:tc>
        <w:tc>
          <w:tcPr>
            <w:tcW w:w="2410"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tLeast"/>
              <w:ind w:left="100"/>
              <w:jc w:val="both"/>
              <w:rPr>
                <w:rFonts w:hint="default" w:ascii="HGPｺﾞｼｯｸM" w:hAnsi="HGPｺﾞｼｯｸM" w:eastAsia="HGPｺﾞｼｯｸM"/>
                <w:sz w:val="21"/>
              </w:rPr>
            </w:pP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受入に関する合意形成</w:t>
            </w:r>
          </w:p>
        </w:tc>
      </w:tr>
      <w:tr>
        <w:trPr>
          <w:trHeight w:val="334" w:hRule="atLeast"/>
        </w:trPr>
        <w:tc>
          <w:tcPr>
            <w:tcW w:w="567"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textDirection w:val="tbRlV"/>
            <w:vAlign w:val="center"/>
          </w:tcPr>
          <w:p>
            <w:pPr>
              <w:pStyle w:val="0"/>
              <w:spacing w:line="240" w:lineRule="atLeast"/>
              <w:ind w:left="113" w:right="228"/>
              <w:jc w:val="center"/>
              <w:rPr>
                <w:rFonts w:hint="default" w:ascii="HGPｺﾞｼｯｸM" w:hAnsi="HGPｺﾞｼｯｸM" w:eastAsia="HGPｺﾞｼｯｸM"/>
                <w:sz w:val="21"/>
              </w:rPr>
            </w:pPr>
            <w:r>
              <w:rPr>
                <w:rFonts w:hint="default" w:ascii="HGPｺﾞｼｯｸM" w:hAnsi="HGPｺﾞｼｯｸM" w:eastAsia="HGPｺﾞｼｯｸM"/>
                <w:sz w:val="21"/>
              </w:rPr>
              <w:t>初動期</w:t>
            </w:r>
          </w:p>
        </w:tc>
        <w:tc>
          <w:tcPr>
            <w:tcW w:w="2410"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tLeast"/>
              <w:ind w:firstLine="105" w:firstLineChars="50"/>
              <w:jc w:val="both"/>
              <w:rPr>
                <w:rFonts w:hint="default" w:ascii="HGPｺﾞｼｯｸM" w:hAnsi="HGPｺﾞｼｯｸM" w:eastAsia="HGPｺﾞｼｯｸM"/>
                <w:sz w:val="21"/>
              </w:rPr>
            </w:pPr>
            <w:r>
              <w:rPr>
                <w:rFonts w:hint="eastAsia" w:ascii="HGPｺﾞｼｯｸM" w:hAnsi="HGPｺﾞｼｯｸM" w:eastAsia="HGPｺﾞｼｯｸM"/>
                <w:sz w:val="21"/>
              </w:rPr>
              <w:t>仮置場</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仮置場の確保</w:t>
            </w:r>
            <w:r>
              <w:rPr>
                <w:rFonts w:hint="eastAsia" w:ascii="HGPｺﾞｼｯｸM" w:hAnsi="HGPｺﾞｼｯｸM" w:eastAsia="HGPｺﾞｼｯｸM"/>
                <w:sz w:val="21"/>
              </w:rPr>
              <w:t>・設置・管理・運営、火災防止策、飛散・漏水防止策</w:t>
            </w:r>
          </w:p>
        </w:tc>
      </w:tr>
      <w:tr>
        <w:trPr>
          <w:trHeight w:val="334" w:hRule="atLeast"/>
        </w:trPr>
        <w:tc>
          <w:tcPr>
            <w:tcW w:w="567" w:type="dxa"/>
            <w:vMerge w:val="continue"/>
            <w:textDirection w:val="tbRlV"/>
            <w:vAlign w:val="center"/>
          </w:tcPr>
          <w:p>
            <w:pPr>
              <w:pStyle w:val="0"/>
              <w:rPr>
                <w:rFonts w:hint="eastAsia"/>
              </w:rPr>
            </w:pPr>
          </w:p>
        </w:tc>
        <w:tc>
          <w:tcPr>
            <w:tcW w:w="2410" w:type="dxa"/>
            <w:vMerge w:val="continue"/>
            <w:vAlign w:val="center"/>
          </w:tcPr>
          <w:p>
            <w:pPr>
              <w:pStyle w:val="0"/>
              <w:rPr>
                <w:rFonts w:hint="eastAsia"/>
              </w:rPr>
            </w:pP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仮置場必要面積の算定</w:t>
            </w:r>
          </w:p>
        </w:tc>
      </w:tr>
      <w:tr>
        <w:trPr>
          <w:trHeight w:val="334" w:hRule="atLeast"/>
        </w:trPr>
        <w:tc>
          <w:tcPr>
            <w:tcW w:w="567" w:type="dxa"/>
            <w:vMerge w:val="continue"/>
            <w:textDirection w:val="tbRlV"/>
            <w:vAlign w:val="center"/>
          </w:tcPr>
          <w:p>
            <w:pPr>
              <w:pStyle w:val="0"/>
              <w:rPr>
                <w:rFonts w:hint="eastAsia"/>
              </w:rPr>
            </w:pPr>
          </w:p>
        </w:tc>
        <w:tc>
          <w:tcPr>
            <w:tcW w:w="2410" w:type="dxa"/>
            <w:vMerge w:val="continue"/>
            <w:vAlign w:val="center"/>
          </w:tcPr>
          <w:p>
            <w:pPr>
              <w:pStyle w:val="0"/>
              <w:rPr>
                <w:rFonts w:hint="eastAsia"/>
              </w:rPr>
            </w:pP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仮置場の</w:t>
            </w:r>
            <w:r>
              <w:rPr>
                <w:rFonts w:hint="eastAsia" w:ascii="HGPｺﾞｼｯｸM" w:hAnsi="HGPｺﾞｼｯｸM" w:eastAsia="HGPｺﾞｼｯｸM"/>
                <w:sz w:val="21"/>
              </w:rPr>
              <w:t>過不足の確認、集約</w:t>
            </w:r>
          </w:p>
        </w:tc>
      </w:tr>
      <w:tr>
        <w:trPr>
          <w:trHeight w:val="334" w:hRule="atLeast"/>
        </w:trPr>
        <w:tc>
          <w:tcPr>
            <w:tcW w:w="567" w:type="dxa"/>
            <w:vMerge w:val="continue"/>
            <w:textDirection w:val="tbRlV"/>
            <w:vAlign w:val="center"/>
          </w:tcPr>
          <w:p>
            <w:pPr>
              <w:pStyle w:val="0"/>
              <w:rPr>
                <w:rFonts w:hint="eastAsia"/>
              </w:rPr>
            </w:pPr>
          </w:p>
        </w:tc>
        <w:tc>
          <w:tcPr>
            <w:tcW w:w="2410" w:type="dxa"/>
            <w:vAlign w:val="center"/>
          </w:tcPr>
          <w:p>
            <w:pPr>
              <w:pStyle w:val="0"/>
              <w:spacing w:line="240" w:lineRule="atLeast"/>
              <w:ind w:left="100"/>
              <w:jc w:val="both"/>
              <w:rPr>
                <w:rFonts w:hint="default" w:ascii="HGPｺﾞｼｯｸM" w:hAnsi="HGPｺﾞｼｯｸM" w:eastAsia="HGPｺﾞｼｯｸM"/>
                <w:sz w:val="21"/>
              </w:rPr>
            </w:pPr>
            <w:r>
              <w:rPr>
                <w:rFonts w:hint="eastAsia" w:ascii="HGPｺﾞｼｯｸM" w:hAnsi="HGPｺﾞｼｯｸM" w:eastAsia="HGPｺﾞｼｯｸM"/>
                <w:sz w:val="21"/>
              </w:rPr>
              <w:t>環境対策</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仮置場環境モニタリングの実施（特に石綿モニタリングは、初動時に実施することが重要。実施に際しては、環境保全担当と連携）</w:t>
            </w:r>
          </w:p>
        </w:tc>
      </w:tr>
      <w:tr>
        <w:trPr>
          <w:trHeight w:val="334" w:hRule="atLeast"/>
        </w:trPr>
        <w:tc>
          <w:tcPr>
            <w:tcW w:w="567" w:type="dxa"/>
            <w:vMerge w:val="continue"/>
            <w:textDirection w:val="tbRlV"/>
            <w:vAlign w:val="center"/>
          </w:tcPr>
          <w:p>
            <w:pPr>
              <w:pStyle w:val="0"/>
              <w:rPr>
                <w:rFonts w:hint="eastAsia"/>
              </w:rPr>
            </w:pPr>
          </w:p>
        </w:tc>
        <w:tc>
          <w:tcPr>
            <w:tcW w:w="2410" w:type="dxa"/>
            <w:vAlign w:val="center"/>
          </w:tcPr>
          <w:p>
            <w:pPr>
              <w:pStyle w:val="0"/>
              <w:spacing w:line="240" w:lineRule="atLeast"/>
              <w:ind w:left="100"/>
              <w:jc w:val="both"/>
              <w:rPr>
                <w:rFonts w:hint="default" w:ascii="HGPｺﾞｼｯｸM" w:hAnsi="HGPｺﾞｼｯｸM" w:eastAsia="HGPｺﾞｼｯｸM"/>
                <w:sz w:val="21"/>
              </w:rPr>
            </w:pPr>
            <w:r>
              <w:rPr>
                <w:rFonts w:hint="default" w:ascii="HGPｺﾞｼｯｸM" w:hAnsi="HGPｺﾞｼｯｸM" w:eastAsia="HGPｺﾞｼｯｸM"/>
                <w:sz w:val="21"/>
              </w:rPr>
              <w:t>有害廃棄物・危険物対策</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有害廃棄物・危険物への配慮</w:t>
            </w:r>
          </w:p>
        </w:tc>
      </w:tr>
      <w:tr>
        <w:trPr>
          <w:trHeight w:val="334" w:hRule="atLeast"/>
        </w:trPr>
        <w:tc>
          <w:tcPr>
            <w:tcW w:w="567" w:type="dxa"/>
            <w:vMerge w:val="continue"/>
            <w:textDirection w:val="tbRlV"/>
            <w:vAlign w:val="center"/>
          </w:tcPr>
          <w:p>
            <w:pPr>
              <w:pStyle w:val="0"/>
              <w:spacing w:line="240" w:lineRule="atLeast"/>
              <w:ind w:left="113" w:right="228"/>
              <w:jc w:val="center"/>
              <w:rPr>
                <w:rFonts w:hint="default" w:ascii="HGPｺﾞｼｯｸM" w:hAnsi="HGPｺﾞｼｯｸM" w:eastAsia="HGPｺﾞｼｯｸM"/>
                <w:sz w:val="21"/>
              </w:rPr>
            </w:pPr>
          </w:p>
        </w:tc>
        <w:tc>
          <w:tcPr>
            <w:tcW w:w="2410" w:type="dxa"/>
            <w:vMerge w:val="restart"/>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破砕・選別・中間処理・再資源化・最終処分</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既存施設（一般廃棄物・産業廃棄物）を活用した破砕・選別・中間処理・再資源化・最終処分</w:t>
            </w:r>
          </w:p>
        </w:tc>
      </w:tr>
      <w:tr>
        <w:trPr>
          <w:trHeight w:val="334" w:hRule="atLeast"/>
        </w:trPr>
        <w:tc>
          <w:tcPr>
            <w:tcW w:w="567" w:type="dxa"/>
            <w:vMerge w:val="continue"/>
            <w:textDirection w:val="tbRlV"/>
            <w:vAlign w:val="center"/>
          </w:tcPr>
          <w:p>
            <w:pPr>
              <w:pStyle w:val="0"/>
              <w:rPr>
                <w:rFonts w:hint="eastAsia"/>
              </w:rPr>
            </w:pPr>
          </w:p>
        </w:tc>
        <w:tc>
          <w:tcPr>
            <w:tcW w:w="2410" w:type="dxa"/>
            <w:vMerge w:val="continue"/>
            <w:vAlign w:val="center"/>
          </w:tcPr>
          <w:p>
            <w:pPr>
              <w:pStyle w:val="0"/>
              <w:rPr>
                <w:rFonts w:hint="eastAsia"/>
              </w:rPr>
            </w:pP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処理可能量の推計</w:t>
            </w:r>
          </w:p>
        </w:tc>
      </w:tr>
      <w:tr>
        <w:trPr>
          <w:trHeight w:val="334" w:hRule="atLeast"/>
        </w:trPr>
        <w:tc>
          <w:tcPr>
            <w:tcW w:w="567" w:type="dxa"/>
            <w:vMerge w:val="continue"/>
            <w:textDirection w:val="tbRlV"/>
            <w:vAlign w:val="center"/>
          </w:tcPr>
          <w:p>
            <w:pPr>
              <w:pStyle w:val="0"/>
              <w:rPr>
                <w:rFonts w:hint="eastAsia"/>
              </w:rPr>
            </w:pPr>
          </w:p>
        </w:tc>
        <w:tc>
          <w:tcPr>
            <w:tcW w:w="2410" w:type="dxa"/>
            <w:vMerge w:val="continue"/>
            <w:vAlign w:val="center"/>
          </w:tcPr>
          <w:p>
            <w:pPr>
              <w:pStyle w:val="0"/>
              <w:rPr>
                <w:rFonts w:hint="eastAsia"/>
              </w:rPr>
            </w:pP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腐敗性廃棄物の優先的処理</w:t>
            </w:r>
          </w:p>
        </w:tc>
      </w:tr>
      <w:tr>
        <w:trPr>
          <w:trHeight w:val="334" w:hRule="atLeast"/>
        </w:trPr>
        <w:tc>
          <w:tcPr>
            <w:tcW w:w="567" w:type="dxa"/>
            <w:vMerge w:val="continue"/>
            <w:textDirection w:val="tbRlV"/>
            <w:vAlign w:val="center"/>
          </w:tcPr>
          <w:p>
            <w:pPr>
              <w:pStyle w:val="0"/>
              <w:rPr>
                <w:rFonts w:hint="eastAsia"/>
              </w:rPr>
            </w:pPr>
          </w:p>
        </w:tc>
        <w:tc>
          <w:tcPr>
            <w:tcW w:w="2410" w:type="dxa"/>
            <w:vAlign w:val="center"/>
          </w:tcPr>
          <w:p>
            <w:pPr>
              <w:pStyle w:val="0"/>
              <w:spacing w:line="240" w:lineRule="atLeast"/>
              <w:ind w:left="100"/>
              <w:jc w:val="both"/>
              <w:rPr>
                <w:rFonts w:hint="default" w:ascii="HGPｺﾞｼｯｸM" w:hAnsi="HGPｺﾞｼｯｸM" w:eastAsia="HGPｺﾞｼｯｸM"/>
                <w:sz w:val="21"/>
              </w:rPr>
            </w:pPr>
            <w:r>
              <w:rPr>
                <w:rFonts w:hint="eastAsia" w:ascii="HGPｺﾞｼｯｸM" w:hAnsi="HGPｺﾞｼｯｸM" w:eastAsia="HGPｺﾞｼｯｸM"/>
                <w:sz w:val="21"/>
              </w:rPr>
              <w:t>進捗管理</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進捗状況記録、課題抽出、評価</w:t>
            </w:r>
          </w:p>
        </w:tc>
      </w:tr>
      <w:tr>
        <w:trPr>
          <w:trHeight w:val="334" w:hRule="atLeast"/>
        </w:trPr>
        <w:tc>
          <w:tcPr>
            <w:tcW w:w="567" w:type="dxa"/>
            <w:vMerge w:val="continue"/>
            <w:textDirection w:val="tbRlV"/>
            <w:vAlign w:val="center"/>
          </w:tcPr>
          <w:p>
            <w:pPr>
              <w:pStyle w:val="0"/>
              <w:rPr>
                <w:rFonts w:hint="eastAsia"/>
              </w:rPr>
            </w:pPr>
          </w:p>
        </w:tc>
        <w:tc>
          <w:tcPr>
            <w:tcW w:w="241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300" w:lineRule="exact"/>
              <w:ind w:left="102" w:right="102"/>
              <w:jc w:val="both"/>
              <w:rPr>
                <w:rFonts w:hint="default" w:ascii="HGPｺﾞｼｯｸM" w:hAnsi="HGPｺﾞｼｯｸM" w:eastAsia="HGPｺﾞｼｯｸM"/>
                <w:sz w:val="21"/>
              </w:rPr>
            </w:pPr>
            <w:r>
              <w:rPr>
                <w:rFonts w:hint="default" w:ascii="HGPｺﾞｼｯｸM" w:hAnsi="HGPｺﾞｼｯｸM" w:eastAsia="HGPｺﾞｼｯｸM"/>
                <w:sz w:val="21"/>
              </w:rPr>
              <w:t>各種相談窓口の設置</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損壊家屋等の撤去（必要に応じて</w:t>
            </w:r>
            <w:r>
              <w:rPr>
                <w:rFonts w:hint="default" w:ascii="HGPｺﾞｼｯｸM" w:hAnsi="HGPｺﾞｼｯｸM" w:eastAsia="HGPｺﾞｼｯｸM"/>
                <w:sz w:val="21"/>
              </w:rPr>
              <w:t>解体</w:t>
            </w:r>
            <w:r>
              <w:rPr>
                <w:rFonts w:hint="eastAsia" w:ascii="HGPｺﾞｼｯｸM" w:hAnsi="HGPｺﾞｼｯｸM" w:eastAsia="HGPｺﾞｼｯｸM"/>
                <w:sz w:val="21"/>
              </w:rPr>
              <w:t>）等、</w:t>
            </w:r>
            <w:r>
              <w:rPr>
                <w:rFonts w:hint="default" w:ascii="HGPｺﾞｼｯｸM" w:hAnsi="HGPｺﾞｼｯｸM" w:eastAsia="HGPｺﾞｼｯｸM"/>
                <w:sz w:val="21"/>
              </w:rPr>
              <w:t>各種相談窓口の設置（立ち上げは初動期が望ましい）</w:t>
            </w:r>
          </w:p>
        </w:tc>
      </w:tr>
      <w:tr>
        <w:trPr>
          <w:trHeight w:val="334" w:hRule="atLeast"/>
        </w:trPr>
        <w:tc>
          <w:tcPr>
            <w:tcW w:w="567" w:type="dxa"/>
            <w:vMerge w:val="continue"/>
            <w:textDirection w:val="tbRlV"/>
            <w:vAlign w:val="center"/>
          </w:tcPr>
          <w:p>
            <w:pPr>
              <w:pStyle w:val="0"/>
              <w:rPr>
                <w:rFonts w:hint="eastAsia"/>
              </w:rPr>
            </w:pPr>
          </w:p>
        </w:tc>
        <w:tc>
          <w:tcPr>
            <w:tcW w:w="2410"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tLeast"/>
              <w:ind w:left="100"/>
              <w:jc w:val="both"/>
              <w:rPr>
                <w:rFonts w:hint="default" w:ascii="HGPｺﾞｼｯｸM" w:hAnsi="HGPｺﾞｼｯｸM" w:eastAsia="HGPｺﾞｼｯｸM"/>
                <w:sz w:val="21"/>
              </w:rPr>
            </w:pPr>
            <w:r>
              <w:rPr>
                <w:rFonts w:hint="eastAsia" w:ascii="HGPｺﾞｼｯｸM" w:hAnsi="HGPｺﾞｼｯｸM" w:eastAsia="HGPｺﾞｼｯｸM"/>
                <w:sz w:val="21"/>
              </w:rPr>
              <w:t>住民等への啓発広報</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住民等への啓発・広報</w:t>
            </w:r>
          </w:p>
        </w:tc>
      </w:tr>
      <w:tr>
        <w:trPr>
          <w:trHeight w:val="334" w:hRule="atLeast"/>
        </w:trPr>
        <w:tc>
          <w:tcPr>
            <w:tcW w:w="567" w:type="dxa"/>
            <w:vMerge w:val="restart"/>
            <w:textDirection w:val="tbRlV"/>
            <w:vAlign w:val="center"/>
          </w:tcPr>
          <w:p>
            <w:pPr>
              <w:pStyle w:val="0"/>
              <w:spacing w:line="240" w:lineRule="atLeast"/>
              <w:ind w:left="230" w:right="228"/>
              <w:jc w:val="center"/>
              <w:rPr>
                <w:rFonts w:hint="default" w:ascii="HGPｺﾞｼｯｸM" w:hAnsi="HGPｺﾞｼｯｸM" w:eastAsia="HGPｺﾞｼｯｸM"/>
                <w:sz w:val="21"/>
              </w:rPr>
            </w:pPr>
          </w:p>
          <w:p>
            <w:pPr>
              <w:pStyle w:val="0"/>
              <w:spacing w:line="240" w:lineRule="atLeast"/>
              <w:ind w:left="230" w:right="228"/>
              <w:jc w:val="center"/>
              <w:rPr>
                <w:rFonts w:hint="default" w:ascii="HGPｺﾞｼｯｸM" w:hAnsi="HGPｺﾞｼｯｸM" w:eastAsia="HGPｺﾞｼｯｸM"/>
                <w:sz w:val="21"/>
              </w:rPr>
            </w:pPr>
            <w:r>
              <w:rPr>
                <w:rFonts w:hint="default" w:ascii="HGPｺﾞｼｯｸM" w:hAnsi="HGPｺﾞｼｯｸM" w:eastAsia="HGPｺﾞｼｯｸM"/>
                <w:sz w:val="21"/>
              </w:rPr>
              <w:t>応</w:t>
            </w:r>
            <w:r>
              <w:rPr>
                <w:rFonts w:hint="eastAsia" w:ascii="HGPｺﾞｼｯｸM" w:hAnsi="HGPｺﾞｼｯｸM" w:eastAsia="HGPｺﾞｼｯｸM"/>
                <w:sz w:val="21"/>
              </w:rPr>
              <w:t>急対応</w:t>
            </w:r>
          </w:p>
          <w:p>
            <w:pPr>
              <w:pStyle w:val="0"/>
              <w:spacing w:line="240" w:lineRule="atLeast"/>
              <w:ind w:left="230" w:right="228"/>
              <w:jc w:val="center"/>
              <w:rPr>
                <w:rFonts w:hint="default" w:ascii="HGPｺﾞｼｯｸM" w:hAnsi="HGPｺﾞｼｯｸM" w:eastAsia="HGPｺﾞｼｯｸM"/>
                <w:sz w:val="21"/>
              </w:rPr>
            </w:pPr>
            <w:r>
              <w:rPr>
                <w:rFonts w:hint="eastAsia" w:ascii="HGPｺﾞｼｯｸM" w:hAnsi="HGPｺﾞｼｯｸM" w:eastAsia="HGPｺﾞｼｯｸM"/>
                <w:sz w:val="21"/>
              </w:rPr>
              <w:t>（前半）</w:t>
            </w:r>
          </w:p>
          <w:p>
            <w:pPr>
              <w:pStyle w:val="0"/>
              <w:spacing w:line="240" w:lineRule="atLeast"/>
              <w:ind w:left="230" w:right="228"/>
              <w:jc w:val="center"/>
              <w:rPr>
                <w:rFonts w:hint="default" w:ascii="HGPｺﾞｼｯｸM" w:hAnsi="HGPｺﾞｼｯｸM" w:eastAsia="HGPｺﾞｼｯｸM"/>
                <w:sz w:val="21"/>
              </w:rPr>
            </w:pPr>
            <w:r>
              <w:rPr>
                <w:rFonts w:hint="default" w:ascii="HGPｺﾞｼｯｸM" w:hAnsi="HGPｺﾞｼｯｸM" w:eastAsia="HGPｺﾞｼｯｸM"/>
                <w:sz w:val="21"/>
              </w:rPr>
              <w:t>（前半）</w:t>
            </w:r>
          </w:p>
        </w:tc>
        <w:tc>
          <w:tcPr>
            <w:tcW w:w="2410" w:type="dxa"/>
            <w:vAlign w:val="center"/>
          </w:tcPr>
          <w:p>
            <w:pPr>
              <w:pStyle w:val="0"/>
              <w:spacing w:line="240" w:lineRule="atLeast"/>
              <w:ind w:left="100"/>
              <w:jc w:val="both"/>
              <w:rPr>
                <w:rFonts w:hint="default" w:ascii="HGPｺﾞｼｯｸM" w:hAnsi="HGPｺﾞｼｯｸM" w:eastAsia="HGPｺﾞｼｯｸM"/>
                <w:sz w:val="21"/>
              </w:rPr>
            </w:pPr>
            <w:r>
              <w:rPr>
                <w:rFonts w:hint="default" w:ascii="HGPｺﾞｼｯｸM" w:hAnsi="HGPｺﾞｼｯｸM" w:eastAsia="HGPｺﾞｼｯｸM"/>
                <w:sz w:val="21"/>
              </w:rPr>
              <w:t>発生量</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災害廃棄物の発生量</w:t>
            </w:r>
            <w:r>
              <w:rPr>
                <w:rFonts w:hint="eastAsia" w:ascii="HGPｺﾞｼｯｸM" w:hAnsi="HGPｺﾞｼｯｸM" w:eastAsia="HGPｺﾞｼｯｸM"/>
                <w:sz w:val="21"/>
              </w:rPr>
              <w:t>の</w:t>
            </w:r>
            <w:r>
              <w:rPr>
                <w:rFonts w:hint="default" w:ascii="HGPｺﾞｼｯｸM" w:hAnsi="HGPｺﾞｼｯｸM" w:eastAsia="HGPｺﾞｼｯｸM"/>
                <w:sz w:val="21"/>
              </w:rPr>
              <w:t>推計</w:t>
            </w:r>
            <w:r>
              <w:rPr>
                <w:rFonts w:hint="eastAsia" w:ascii="HGPｺﾞｼｯｸM" w:hAnsi="HGPｺﾞｼｯｸM" w:eastAsia="HGPｺﾞｼｯｸM"/>
                <w:sz w:val="21"/>
              </w:rPr>
              <w:t>（必要に応じて見直し）</w:t>
            </w:r>
          </w:p>
        </w:tc>
      </w:tr>
      <w:tr>
        <w:trPr>
          <w:trHeight w:val="334" w:hRule="atLeast"/>
        </w:trPr>
        <w:tc>
          <w:tcPr>
            <w:tcW w:w="567" w:type="dxa"/>
            <w:vMerge w:val="continue"/>
            <w:textDirection w:val="tbRlV"/>
            <w:vAlign w:val="center"/>
          </w:tcPr>
          <w:p>
            <w:pPr>
              <w:pStyle w:val="0"/>
              <w:rPr>
                <w:rFonts w:hint="eastAsia"/>
              </w:rPr>
            </w:pPr>
          </w:p>
        </w:tc>
        <w:tc>
          <w:tcPr>
            <w:tcW w:w="2410" w:type="dxa"/>
            <w:vAlign w:val="center"/>
          </w:tcPr>
          <w:p>
            <w:pPr>
              <w:pStyle w:val="0"/>
              <w:spacing w:line="240" w:lineRule="atLeast"/>
              <w:ind w:left="100"/>
              <w:jc w:val="both"/>
              <w:rPr>
                <w:rFonts w:hint="default" w:ascii="HGPｺﾞｼｯｸM" w:hAnsi="HGPｺﾞｼｯｸM" w:eastAsia="HGPｺﾞｼｯｸM"/>
                <w:sz w:val="21"/>
              </w:rPr>
            </w:pPr>
            <w:r>
              <w:rPr>
                <w:rFonts w:hint="eastAsia" w:ascii="HGPｺﾞｼｯｸM" w:hAnsi="HGPｺﾞｼｯｸM" w:eastAsia="HGPｺﾞｼｯｸM"/>
                <w:sz w:val="21"/>
              </w:rPr>
              <w:t>実行計画</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実行計画の策定・見直し</w:t>
            </w:r>
          </w:p>
        </w:tc>
      </w:tr>
      <w:tr>
        <w:trPr>
          <w:trHeight w:val="334" w:hRule="atLeast"/>
        </w:trPr>
        <w:tc>
          <w:tcPr>
            <w:tcW w:w="567" w:type="dxa"/>
            <w:vMerge w:val="continue"/>
            <w:textDirection w:val="tbRlV"/>
            <w:vAlign w:val="center"/>
          </w:tcPr>
          <w:p>
            <w:pPr>
              <w:pStyle w:val="0"/>
              <w:rPr>
                <w:rFonts w:hint="eastAsia"/>
              </w:rPr>
            </w:pPr>
          </w:p>
        </w:tc>
        <w:tc>
          <w:tcPr>
            <w:tcW w:w="2410" w:type="dxa"/>
            <w:vAlign w:val="center"/>
          </w:tcPr>
          <w:p>
            <w:pPr>
              <w:pStyle w:val="0"/>
              <w:spacing w:line="240" w:lineRule="atLeast"/>
              <w:ind w:left="100"/>
              <w:jc w:val="both"/>
              <w:rPr>
                <w:rFonts w:hint="default" w:ascii="HGPｺﾞｼｯｸM" w:hAnsi="HGPｺﾞｼｯｸM" w:eastAsia="HGPｺﾞｼｯｸM"/>
                <w:sz w:val="21"/>
              </w:rPr>
            </w:pPr>
            <w:r>
              <w:rPr>
                <w:rFonts w:hint="eastAsia" w:ascii="HGPｺﾞｼｯｸM" w:hAnsi="HGPｺﾞｼｯｸM" w:eastAsia="HGPｺﾞｼｯｸM"/>
                <w:sz w:val="21"/>
              </w:rPr>
              <w:t>処理方針</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処理方針の策定</w:t>
            </w:r>
          </w:p>
        </w:tc>
      </w:tr>
      <w:tr>
        <w:trPr>
          <w:trHeight w:val="334" w:hRule="atLeast"/>
        </w:trPr>
        <w:tc>
          <w:tcPr>
            <w:tcW w:w="567" w:type="dxa"/>
            <w:vMerge w:val="continue"/>
            <w:textDirection w:val="tbRlV"/>
            <w:vAlign w:val="center"/>
          </w:tcPr>
          <w:p>
            <w:pPr>
              <w:pStyle w:val="0"/>
              <w:rPr>
                <w:rFonts w:hint="eastAsia"/>
              </w:rPr>
            </w:pPr>
          </w:p>
        </w:tc>
        <w:tc>
          <w:tcPr>
            <w:tcW w:w="2410" w:type="dxa"/>
            <w:vAlign w:val="center"/>
          </w:tcPr>
          <w:p>
            <w:pPr>
              <w:pStyle w:val="0"/>
              <w:spacing w:line="240" w:lineRule="atLeast"/>
              <w:ind w:left="100"/>
              <w:jc w:val="both"/>
              <w:rPr>
                <w:rFonts w:hint="default" w:ascii="HGPｺﾞｼｯｸM" w:hAnsi="HGPｺﾞｼｯｸM" w:eastAsia="HGPｺﾞｼｯｸM"/>
                <w:sz w:val="21"/>
              </w:rPr>
            </w:pPr>
            <w:r>
              <w:rPr>
                <w:rFonts w:hint="default" w:ascii="HGPｺﾞｼｯｸM" w:hAnsi="HGPｺﾞｼｯｸM" w:eastAsia="HGPｺﾞｼｯｸM"/>
                <w:sz w:val="21"/>
              </w:rPr>
              <w:t>処理フロー</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default" w:ascii="HGPｺﾞｼｯｸM" w:hAnsi="HGPｺﾞｼｯｸM" w:eastAsia="HGPｺﾞｼｯｸM"/>
                <w:sz w:val="21"/>
              </w:rPr>
              <w:t>処理フローの作成、見直し</w:t>
            </w:r>
          </w:p>
        </w:tc>
      </w:tr>
      <w:tr>
        <w:trPr>
          <w:trHeight w:val="334" w:hRule="atLeast"/>
        </w:trPr>
        <w:tc>
          <w:tcPr>
            <w:tcW w:w="567" w:type="dxa"/>
            <w:vMerge w:val="continue"/>
            <w:textDirection w:val="tbRlV"/>
            <w:vAlign w:val="center"/>
          </w:tcPr>
          <w:p>
            <w:pPr>
              <w:pStyle w:val="0"/>
              <w:rPr>
                <w:rFonts w:hint="eastAsia"/>
              </w:rPr>
            </w:pPr>
          </w:p>
        </w:tc>
        <w:tc>
          <w:tcPr>
            <w:tcW w:w="2410" w:type="dxa"/>
            <w:vAlign w:val="center"/>
          </w:tcPr>
          <w:p>
            <w:pPr>
              <w:pStyle w:val="0"/>
              <w:spacing w:line="240" w:lineRule="atLeast"/>
              <w:ind w:left="100"/>
              <w:jc w:val="both"/>
              <w:rPr>
                <w:rFonts w:hint="default" w:ascii="HGPｺﾞｼｯｸM" w:hAnsi="HGPｺﾞｼｯｸM" w:eastAsia="HGPｺﾞｼｯｸM"/>
                <w:sz w:val="21"/>
              </w:rPr>
            </w:pPr>
            <w:r>
              <w:rPr>
                <w:rFonts w:hint="eastAsia" w:ascii="HGPｺﾞｼｯｸM" w:hAnsi="HGPｺﾞｼｯｸM" w:eastAsia="HGPｺﾞｼｯｸM"/>
                <w:sz w:val="21"/>
              </w:rPr>
              <w:t>処理スケジュール</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処理スケジュールの検討・見直し</w:t>
            </w:r>
          </w:p>
        </w:tc>
      </w:tr>
      <w:tr>
        <w:trPr>
          <w:trHeight w:val="334" w:hRule="atLeast"/>
        </w:trPr>
        <w:tc>
          <w:tcPr>
            <w:tcW w:w="567" w:type="dxa"/>
            <w:vMerge w:val="continue"/>
            <w:textDirection w:val="tbRlV"/>
            <w:vAlign w:val="center"/>
          </w:tcPr>
          <w:p>
            <w:pPr>
              <w:pStyle w:val="0"/>
              <w:rPr>
                <w:rFonts w:hint="eastAsia"/>
              </w:rPr>
            </w:pPr>
          </w:p>
        </w:tc>
        <w:tc>
          <w:tcPr>
            <w:tcW w:w="2410" w:type="dxa"/>
            <w:vMerge w:val="restart"/>
            <w:vAlign w:val="center"/>
          </w:tcPr>
          <w:p>
            <w:pPr>
              <w:pStyle w:val="0"/>
              <w:spacing w:line="240" w:lineRule="atLeast"/>
              <w:ind w:left="100"/>
              <w:jc w:val="both"/>
              <w:rPr>
                <w:rFonts w:hint="default" w:ascii="HGPｺﾞｼｯｸM" w:hAnsi="HGPｺﾞｼｯｸM" w:eastAsia="HGPｺﾞｼｯｸM"/>
                <w:sz w:val="21"/>
              </w:rPr>
            </w:pPr>
            <w:r>
              <w:rPr>
                <w:rFonts w:hint="default" w:ascii="HGPｺﾞｼｯｸM" w:hAnsi="HGPｺﾞｼｯｸM" w:eastAsia="HGPｺﾞｼｯｸM"/>
                <w:sz w:val="21"/>
              </w:rPr>
              <w:t>撤去</w:t>
            </w:r>
          </w:p>
          <w:p>
            <w:pPr>
              <w:pStyle w:val="0"/>
              <w:spacing w:line="240" w:lineRule="atLeast"/>
              <w:ind w:left="100"/>
              <w:jc w:val="both"/>
              <w:rPr>
                <w:rFonts w:hint="default" w:ascii="HGPｺﾞｼｯｸM" w:hAnsi="HGPｺﾞｼｯｸM" w:eastAsia="HGPｺﾞｼｯｸM"/>
                <w:sz w:val="21"/>
              </w:rPr>
            </w:pPr>
            <w:r>
              <w:rPr>
                <w:rFonts w:hint="eastAsia" w:ascii="HGPｺﾞｼｯｸM" w:hAnsi="HGPｺﾞｼｯｸM" w:eastAsia="HGPｺﾞｼｯｸM"/>
                <w:sz w:val="21"/>
              </w:rPr>
              <w:t>環境対策</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倒壊の危険のある建物の優先撤去（設計、積算、現場管理等を含む）（関係部局との連携）</w:t>
            </w:r>
          </w:p>
        </w:tc>
      </w:tr>
      <w:tr>
        <w:trPr>
          <w:trHeight w:val="334" w:hRule="atLeast"/>
        </w:trPr>
        <w:tc>
          <w:tcPr>
            <w:tcW w:w="567" w:type="dxa"/>
            <w:vMerge w:val="continue"/>
            <w:textDirection w:val="tbRlV"/>
            <w:vAlign w:val="center"/>
          </w:tcPr>
          <w:p>
            <w:pPr>
              <w:pStyle w:val="0"/>
              <w:rPr>
                <w:rFonts w:hint="eastAsia"/>
              </w:rPr>
            </w:pPr>
          </w:p>
        </w:tc>
        <w:tc>
          <w:tcPr>
            <w:tcW w:w="2410" w:type="dxa"/>
            <w:vMerge w:val="continue"/>
            <w:vAlign w:val="center"/>
          </w:tcPr>
          <w:p>
            <w:pPr>
              <w:pStyle w:val="0"/>
              <w:rPr>
                <w:rFonts w:hint="eastAsia"/>
              </w:rPr>
            </w:pP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悪臭及び害虫防止対策</w:t>
            </w:r>
          </w:p>
        </w:tc>
      </w:tr>
      <w:tr>
        <w:trPr>
          <w:trHeight w:val="334" w:hRule="atLeast"/>
        </w:trPr>
        <w:tc>
          <w:tcPr>
            <w:tcW w:w="567" w:type="dxa"/>
            <w:vMerge w:val="continue"/>
            <w:textDirection w:val="tbRlV"/>
            <w:vAlign w:val="center"/>
          </w:tcPr>
          <w:p>
            <w:pPr>
              <w:pStyle w:val="0"/>
              <w:rPr>
                <w:rFonts w:hint="eastAsia"/>
              </w:rPr>
            </w:pPr>
          </w:p>
        </w:tc>
        <w:tc>
          <w:tcPr>
            <w:tcW w:w="2410" w:type="dxa"/>
            <w:vAlign w:val="center"/>
          </w:tcPr>
          <w:p>
            <w:pPr>
              <w:pStyle w:val="0"/>
              <w:spacing w:line="240" w:lineRule="atLeast"/>
              <w:ind w:left="100"/>
              <w:jc w:val="both"/>
              <w:rPr>
                <w:rFonts w:hint="default" w:ascii="HGPｺﾞｼｯｸM" w:hAnsi="HGPｺﾞｼｯｸM" w:eastAsia="HGPｺﾞｼｯｸM"/>
                <w:sz w:val="21"/>
              </w:rPr>
            </w:pPr>
            <w:r>
              <w:rPr>
                <w:rFonts w:hint="eastAsia" w:ascii="HGPｺﾞｼｯｸM" w:hAnsi="HGPｺﾞｼｯｸM" w:eastAsia="HGPｺﾞｼｯｸM"/>
                <w:sz w:val="21"/>
              </w:rPr>
              <w:t>有害廃棄物・危険物対策</w:t>
            </w:r>
          </w:p>
        </w:tc>
        <w:tc>
          <w:tcPr>
            <w:tcW w:w="5812" w:type="dxa"/>
            <w:vAlign w:val="center"/>
          </w:tcPr>
          <w:p>
            <w:pPr>
              <w:pStyle w:val="0"/>
              <w:spacing w:line="300" w:lineRule="exac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所在、発生量の把握、受入・保管・管理方法の検討、処理先の確定、撤去作業の安全確保</w:t>
            </w:r>
          </w:p>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PCB</w:t>
            </w:r>
            <w:r>
              <w:rPr>
                <w:rFonts w:hint="eastAsia" w:ascii="HGPｺﾞｼｯｸM" w:hAnsi="HGPｺﾞｼｯｸM" w:eastAsia="HGPｺﾞｼｯｸM"/>
                <w:sz w:val="21"/>
              </w:rPr>
              <w:t>、テトラクロロエチレン､フロンなどの優先的回収</w:t>
            </w:r>
          </w:p>
        </w:tc>
      </w:tr>
      <w:tr>
        <w:trPr>
          <w:trHeight w:val="334" w:hRule="atLeast"/>
        </w:trPr>
        <w:tc>
          <w:tcPr>
            <w:tcW w:w="567" w:type="dxa"/>
            <w:vMerge w:val="continue"/>
            <w:textDirection w:val="tbRlV"/>
            <w:vAlign w:val="center"/>
          </w:tcPr>
          <w:p>
            <w:pPr>
              <w:pStyle w:val="0"/>
              <w:rPr>
                <w:rFonts w:hint="eastAsia"/>
              </w:rPr>
            </w:pPr>
          </w:p>
        </w:tc>
        <w:tc>
          <w:tcPr>
            <w:tcW w:w="2410" w:type="dxa"/>
            <w:vMerge w:val="restart"/>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破砕・選別・中間処理・再資源化・最終処分</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広域処理の必要性の検討</w:t>
            </w:r>
          </w:p>
        </w:tc>
      </w:tr>
      <w:tr>
        <w:trPr>
          <w:trHeight w:val="334" w:hRule="atLeast"/>
        </w:trPr>
        <w:tc>
          <w:tcPr>
            <w:tcW w:w="567" w:type="dxa"/>
            <w:vMerge w:val="continue"/>
            <w:textDirection w:val="tbRlV"/>
            <w:vAlign w:val="center"/>
          </w:tcPr>
          <w:p>
            <w:pPr>
              <w:pStyle w:val="0"/>
              <w:rPr>
                <w:rFonts w:hint="eastAsia"/>
              </w:rPr>
            </w:pPr>
          </w:p>
        </w:tc>
        <w:tc>
          <w:tcPr>
            <w:tcW w:w="2410" w:type="dxa"/>
            <w:vMerge w:val="continue"/>
            <w:vAlign w:val="center"/>
          </w:tcPr>
          <w:p>
            <w:pPr>
              <w:pStyle w:val="0"/>
              <w:rPr>
                <w:rFonts w:hint="eastAsia"/>
              </w:rPr>
            </w:pP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仮設処理施設の必要性の検討</w:t>
            </w:r>
          </w:p>
        </w:tc>
      </w:tr>
      <w:tr>
        <w:trPr>
          <w:trHeight w:val="334" w:hRule="atLeast"/>
        </w:trPr>
        <w:tc>
          <w:tcPr>
            <w:tcW w:w="567" w:type="dxa"/>
            <w:vMerge w:val="continue"/>
            <w:textDirection w:val="tbRlV"/>
            <w:vAlign w:val="center"/>
          </w:tcPr>
          <w:p>
            <w:pPr>
              <w:pStyle w:val="0"/>
              <w:rPr>
                <w:rFonts w:hint="eastAsia"/>
              </w:rPr>
            </w:pPr>
          </w:p>
        </w:tc>
        <w:tc>
          <w:tcPr>
            <w:tcW w:w="2410" w:type="dxa"/>
            <w:vAlign w:val="center"/>
          </w:tcPr>
          <w:p>
            <w:pPr>
              <w:pStyle w:val="0"/>
              <w:spacing w:line="240" w:lineRule="atLeast"/>
              <w:ind w:left="100"/>
              <w:jc w:val="both"/>
              <w:rPr>
                <w:rFonts w:hint="default" w:ascii="HGPｺﾞｼｯｸM" w:hAnsi="HGPｺﾞｼｯｸM" w:eastAsia="HGPｺﾞｼｯｸM"/>
                <w:sz w:val="21"/>
              </w:rPr>
            </w:pPr>
            <w:r>
              <w:rPr>
                <w:rFonts w:hint="eastAsia" w:ascii="HGPｺﾞｼｯｸM" w:hAnsi="HGPｺﾞｼｯｸM" w:eastAsia="HGPｺﾞｼｯｸM"/>
                <w:sz w:val="21"/>
              </w:rPr>
              <w:t>収集運搬</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広域処理する際の輸送体制の確立</w:t>
            </w:r>
          </w:p>
        </w:tc>
      </w:tr>
      <w:tr>
        <w:trPr>
          <w:trHeight w:val="439" w:hRule="atLeast"/>
        </w:trPr>
        <w:tc>
          <w:tcPr>
            <w:tcW w:w="567" w:type="dxa"/>
            <w:vMerge w:val="restart"/>
            <w:textDirection w:val="tbRlV"/>
            <w:vAlign w:val="center"/>
          </w:tcPr>
          <w:p>
            <w:pPr>
              <w:pStyle w:val="0"/>
              <w:spacing w:line="240" w:lineRule="atLeast"/>
              <w:ind w:left="230" w:right="228"/>
              <w:jc w:val="center"/>
              <w:rPr>
                <w:rFonts w:hint="default" w:ascii="HGPｺﾞｼｯｸM" w:hAnsi="HGPｺﾞｼｯｸM" w:eastAsia="HGPｺﾞｼｯｸM"/>
                <w:sz w:val="21"/>
              </w:rPr>
            </w:pPr>
            <w:r>
              <w:rPr>
                <w:rFonts w:hint="default" w:ascii="HGPｺﾞｼｯｸM" w:hAnsi="HGPｺﾞｼｯｸM" w:eastAsia="HGPｺﾞｼｯｸM"/>
                <w:sz w:val="21"/>
              </w:rPr>
              <w:t>応急対応（後半）</w:t>
            </w:r>
          </w:p>
        </w:tc>
        <w:tc>
          <w:tcPr>
            <w:tcW w:w="2410" w:type="dxa"/>
            <w:vMerge w:val="restart"/>
            <w:vAlign w:val="center"/>
          </w:tcPr>
          <w:p>
            <w:pPr>
              <w:pStyle w:val="0"/>
              <w:spacing w:line="240" w:lineRule="atLeast"/>
              <w:ind w:left="102" w:right="113"/>
              <w:jc w:val="both"/>
              <w:rPr>
                <w:rFonts w:hint="default" w:ascii="HGPｺﾞｼｯｸM" w:hAnsi="HGPｺﾞｼｯｸM" w:eastAsia="HGPｺﾞｼｯｸM"/>
                <w:sz w:val="21"/>
              </w:rPr>
            </w:pPr>
            <w:r>
              <w:rPr>
                <w:rFonts w:hint="eastAsia" w:ascii="HGPｺﾞｼｯｸM" w:hAnsi="HGPｺﾞｼｯｸM" w:eastAsia="HGPｺﾞｼｯｸM"/>
                <w:sz w:val="21"/>
              </w:rPr>
              <w:t>破砕・選別・中間処理・再資源化・最終処分</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広域処理の実施</w:t>
            </w:r>
          </w:p>
        </w:tc>
      </w:tr>
      <w:tr>
        <w:trPr>
          <w:trHeight w:val="403" w:hRule="atLeast"/>
        </w:trPr>
        <w:tc>
          <w:tcPr>
            <w:tcW w:w="567" w:type="dxa"/>
            <w:vMerge w:val="continue"/>
            <w:textDirection w:val="tbRlV"/>
            <w:vAlign w:val="center"/>
          </w:tcPr>
          <w:p>
            <w:pPr>
              <w:pStyle w:val="0"/>
              <w:rPr>
                <w:rFonts w:hint="eastAsia"/>
              </w:rPr>
            </w:pPr>
          </w:p>
        </w:tc>
        <w:tc>
          <w:tcPr>
            <w:tcW w:w="2410" w:type="dxa"/>
            <w:vMerge w:val="continue"/>
            <w:vAlign w:val="center"/>
          </w:tcPr>
          <w:p>
            <w:pPr>
              <w:pStyle w:val="0"/>
              <w:rPr>
                <w:rFonts w:hint="eastAsia"/>
              </w:rPr>
            </w:pP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仮設処理施設の設置・管理・運営</w:t>
            </w:r>
          </w:p>
        </w:tc>
      </w:tr>
      <w:tr>
        <w:trPr>
          <w:trHeight w:val="565" w:hRule="atLeast"/>
        </w:trPr>
        <w:tc>
          <w:tcPr>
            <w:tcW w:w="567"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textDirection w:val="tbRlV"/>
            <w:vAlign w:val="center"/>
          </w:tcPr>
          <w:p>
            <w:pPr>
              <w:pStyle w:val="0"/>
              <w:rPr>
                <w:rFonts w:hint="eastAsia"/>
              </w:rPr>
            </w:pPr>
          </w:p>
        </w:tc>
        <w:tc>
          <w:tcPr>
            <w:tcW w:w="2410" w:type="dxa"/>
            <w:vAlign w:val="center"/>
          </w:tcPr>
          <w:p>
            <w:pPr>
              <w:pStyle w:val="0"/>
              <w:spacing w:line="300" w:lineRule="exact"/>
              <w:ind w:left="102" w:right="102"/>
              <w:jc w:val="both"/>
              <w:rPr>
                <w:rFonts w:hint="default" w:ascii="HGPｺﾞｼｯｸM" w:hAnsi="HGPｺﾞｼｯｸM" w:eastAsia="HGPｺﾞｼｯｸM"/>
                <w:sz w:val="21"/>
              </w:rPr>
            </w:pPr>
            <w:r>
              <w:rPr>
                <w:rFonts w:hint="eastAsia" w:ascii="HGPｺﾞｼｯｸM" w:hAnsi="HGPｺﾞｼｯｸM" w:eastAsia="HGPｺﾞｼｯｸM"/>
                <w:sz w:val="21"/>
              </w:rPr>
              <w:t>各種相談窓口の設置</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相談受付、相談情報の管理</w:t>
            </w:r>
          </w:p>
        </w:tc>
      </w:tr>
      <w:tr>
        <w:trPr>
          <w:trHeight w:val="334" w:hRule="atLeast"/>
        </w:trPr>
        <w:tc>
          <w:tcPr>
            <w:tcW w:w="567"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textDirection w:val="tbRlV"/>
            <w:vAlign w:val="center"/>
          </w:tcPr>
          <w:p>
            <w:pPr>
              <w:pStyle w:val="0"/>
              <w:spacing w:line="240" w:lineRule="atLeast"/>
              <w:ind w:left="113" w:right="113"/>
              <w:jc w:val="center"/>
              <w:rPr>
                <w:rFonts w:hint="default" w:ascii="HGPｺﾞｼｯｸM" w:hAnsi="HGPｺﾞｼｯｸM" w:eastAsia="HGPｺﾞｼｯｸM"/>
                <w:sz w:val="21"/>
              </w:rPr>
            </w:pPr>
            <w:r>
              <w:rPr>
                <w:rFonts w:hint="eastAsia" w:ascii="HGPｺﾞｼｯｸM" w:hAnsi="HGPｺﾞｼｯｸM" w:eastAsia="HGPｺﾞｼｯｸM"/>
                <w:sz w:val="21"/>
              </w:rPr>
              <w:t>復旧・復興</w:t>
            </w:r>
          </w:p>
        </w:tc>
        <w:tc>
          <w:tcPr>
            <w:tcW w:w="241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spacing w:line="240" w:lineRule="atLeast"/>
              <w:ind w:left="100"/>
              <w:jc w:val="both"/>
              <w:rPr>
                <w:rFonts w:hint="default" w:ascii="HGPｺﾞｼｯｸM" w:hAnsi="HGPｺﾞｼｯｸM" w:eastAsia="HGPｺﾞｼｯｸM"/>
                <w:sz w:val="21"/>
              </w:rPr>
            </w:pPr>
            <w:r>
              <w:rPr>
                <w:rFonts w:hint="eastAsia" w:ascii="HGPｺﾞｼｯｸM" w:hAnsi="HGPｺﾞｼｯｸM" w:eastAsia="HGPｺﾞｼｯｸM"/>
                <w:sz w:val="21"/>
              </w:rPr>
              <w:t>撤去</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撤去（必要に応じて解体）が必要とされる損壊家屋等の撤去（必要に応じて解体）（設計、積算、現場管理等を含む）</w:t>
            </w:r>
          </w:p>
        </w:tc>
      </w:tr>
      <w:tr>
        <w:trPr>
          <w:trHeight w:val="334" w:hRule="atLeast"/>
        </w:trPr>
        <w:tc>
          <w:tcPr>
            <w:tcW w:w="567" w:type="dxa"/>
            <w:vMerge w:val="continue"/>
            <w:textDirection w:val="tbRlV"/>
            <w:vAlign w:val="center"/>
          </w:tcPr>
          <w:p>
            <w:pPr>
              <w:pStyle w:val="0"/>
              <w:spacing w:line="240" w:lineRule="atLeast"/>
              <w:ind w:left="113" w:right="113"/>
              <w:jc w:val="center"/>
              <w:rPr>
                <w:rFonts w:hint="default" w:ascii="HGPｺﾞｼｯｸM" w:hAnsi="HGPｺﾞｼｯｸM" w:eastAsia="HGPｺﾞｼｯｸM"/>
                <w:sz w:val="21"/>
              </w:rPr>
            </w:pPr>
          </w:p>
        </w:tc>
        <w:tc>
          <w:tcPr>
            <w:tcW w:w="2410" w:type="dxa"/>
            <w:vMerge w:val="restart"/>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0"/>
              <w:spacing w:line="240" w:lineRule="atLeast"/>
              <w:ind w:left="110" w:leftChars="50"/>
              <w:jc w:val="both"/>
              <w:rPr>
                <w:rFonts w:hint="default" w:ascii="HGPｺﾞｼｯｸM" w:hAnsi="HGPｺﾞｼｯｸM" w:eastAsia="HGPｺﾞｼｯｸM"/>
                <w:sz w:val="21"/>
              </w:rPr>
            </w:pPr>
            <w:r>
              <w:rPr>
                <w:rFonts w:hint="eastAsia" w:ascii="HGPｺﾞｼｯｸM" w:hAnsi="HGPｺﾞｼｯｸM" w:eastAsia="HGPｺﾞｼｯｸM"/>
                <w:sz w:val="21"/>
              </w:rPr>
              <w:t>仮置場</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仮置場の集約</w:t>
            </w:r>
          </w:p>
        </w:tc>
      </w:tr>
      <w:tr>
        <w:trPr>
          <w:trHeight w:val="334" w:hRule="atLeast"/>
        </w:trPr>
        <w:tc>
          <w:tcPr>
            <w:tcW w:w="567" w:type="dxa"/>
            <w:vMerge w:val="continue"/>
            <w:textDirection w:val="tbRlV"/>
            <w:vAlign w:val="center"/>
          </w:tcPr>
          <w:p>
            <w:pPr>
              <w:pStyle w:val="0"/>
              <w:spacing w:line="240" w:lineRule="atLeast"/>
              <w:ind w:left="113" w:right="113"/>
              <w:jc w:val="center"/>
              <w:rPr>
                <w:rFonts w:hint="default" w:ascii="HGPｺﾞｼｯｸM" w:hAnsi="HGPｺﾞｼｯｸM" w:eastAsia="HGPｺﾞｼｯｸM"/>
                <w:sz w:val="21"/>
              </w:rPr>
            </w:pPr>
          </w:p>
        </w:tc>
        <w:tc>
          <w:tcPr>
            <w:tcW w:w="2410" w:type="dxa"/>
            <w:vMerge w:val="continue"/>
            <w:vAlign w:val="center"/>
          </w:tcPr>
          <w:p>
            <w:pPr>
              <w:pStyle w:val="0"/>
              <w:spacing w:line="240" w:lineRule="atLeast"/>
              <w:jc w:val="both"/>
              <w:rPr>
                <w:rFonts w:hint="default" w:ascii="HGPｺﾞｼｯｸM" w:hAnsi="HGPｺﾞｼｯｸM" w:eastAsia="HGPｺﾞｼｯｸM"/>
                <w:sz w:val="21"/>
              </w:rPr>
            </w:pP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仮置場の復旧・返却</w:t>
            </w:r>
          </w:p>
        </w:tc>
      </w:tr>
      <w:tr>
        <w:trPr>
          <w:trHeight w:val="334" w:hRule="atLeast"/>
        </w:trPr>
        <w:tc>
          <w:tcPr>
            <w:tcW w:w="567" w:type="dxa"/>
            <w:vMerge w:val="continue"/>
            <w:tcBorders>
              <w:top w:val="none" w:color="auto" w:sz="0" w:space="0"/>
              <w:left w:val="none" w:color="auto" w:sz="0" w:space="0"/>
              <w:bottom w:val="single" w:color="auto" w:sz="4" w:space="0"/>
              <w:right w:val="none" w:color="auto" w:sz="0" w:space="0"/>
              <w:tl2br w:val="none" w:color="auto" w:sz="0" w:space="0"/>
              <w:tr2bl w:val="none" w:color="auto" w:sz="0" w:space="0"/>
            </w:tcBorders>
            <w:textDirection w:val="tbRlV"/>
            <w:vAlign w:val="center"/>
          </w:tcPr>
          <w:p>
            <w:pPr>
              <w:pStyle w:val="0"/>
              <w:spacing w:line="240" w:lineRule="atLeast"/>
              <w:ind w:left="113" w:right="113"/>
              <w:jc w:val="center"/>
              <w:rPr>
                <w:rFonts w:hint="default" w:ascii="HGPｺﾞｼｯｸM" w:hAnsi="HGPｺﾞｼｯｸM" w:eastAsia="HGPｺﾞｼｯｸM"/>
                <w:sz w:val="21"/>
              </w:rPr>
            </w:pPr>
          </w:p>
        </w:tc>
        <w:tc>
          <w:tcPr>
            <w:tcW w:w="2410"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破砕・選別・中間処理・再資源化・最終処分</w:t>
            </w:r>
          </w:p>
        </w:tc>
        <w:tc>
          <w:tcPr>
            <w:tcW w:w="5812" w:type="dxa"/>
            <w:vAlign w:val="center"/>
          </w:tcPr>
          <w:p>
            <w:pPr>
              <w:pStyle w:val="0"/>
              <w:spacing w:line="240" w:lineRule="atLeast"/>
              <w:ind w:left="102"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仮設処理施設の解体・撤去</w:t>
            </w:r>
          </w:p>
        </w:tc>
      </w:tr>
    </w:tbl>
    <w:p>
      <w:pPr>
        <w:pStyle w:val="0"/>
        <w:spacing w:line="300" w:lineRule="exact"/>
        <w:rPr>
          <w:rFonts w:hint="default" w:ascii="ＭＳ 明朝" w:hAnsi="ＭＳ 明朝" w:eastAsia="ＭＳ 明朝"/>
          <w:color w:val="000000" w:themeColor="text1"/>
          <w:sz w:val="18"/>
        </w:rPr>
        <w:sectPr>
          <w:footerReference r:id="rId7" w:type="default"/>
          <w:pgSz w:w="11910" w:h="16840"/>
          <w:pgMar w:top="1701" w:right="1701" w:bottom="1701" w:left="1701" w:header="0" w:footer="397" w:gutter="0"/>
          <w:pgNumType w:start="1"/>
          <w:cols w:space="720"/>
          <w:textDirection w:val="lrTb"/>
          <w:docGrid w:linePitch="299"/>
        </w:sectPr>
      </w:pPr>
      <w:bookmarkEnd w:id="17"/>
      <w:bookmarkEnd w:id="15"/>
      <w:r>
        <w:rPr>
          <w:rFonts w:hint="eastAsia" w:ascii="ＭＳ 明朝" w:hAnsi="ＭＳ 明朝" w:eastAsia="ＭＳ 明朝"/>
          <w:color w:val="000000" w:themeColor="text1"/>
          <w:sz w:val="18"/>
        </w:rPr>
        <w:t>出典：環境省災害廃棄物対策指針（平成</w:t>
      </w:r>
      <w:r>
        <w:rPr>
          <w:rFonts w:hint="eastAsia" w:ascii="ＭＳ 明朝" w:hAnsi="ＭＳ 明朝" w:eastAsia="ＭＳ 明朝"/>
          <w:color w:val="000000" w:themeColor="text1"/>
          <w:sz w:val="18"/>
        </w:rPr>
        <w:t>30</w:t>
      </w:r>
      <w:r>
        <w:rPr>
          <w:rFonts w:hint="eastAsia" w:ascii="ＭＳ 明朝" w:hAnsi="ＭＳ 明朝" w:eastAsia="ＭＳ 明朝"/>
          <w:color w:val="000000" w:themeColor="text1"/>
          <w:sz w:val="18"/>
        </w:rPr>
        <w:t>年</w:t>
      </w:r>
      <w:r>
        <w:rPr>
          <w:rFonts w:hint="eastAsia" w:ascii="ＭＳ 明朝" w:hAnsi="ＭＳ 明朝" w:eastAsia="ＭＳ 明朝"/>
          <w:color w:val="000000" w:themeColor="text1"/>
          <w:sz w:val="18"/>
        </w:rPr>
        <w:t>3</w:t>
      </w:r>
      <w:r>
        <w:rPr>
          <w:rFonts w:hint="eastAsia" w:ascii="ＭＳ 明朝" w:hAnsi="ＭＳ 明朝" w:eastAsia="ＭＳ 明朝"/>
          <w:color w:val="000000" w:themeColor="text1"/>
          <w:sz w:val="18"/>
        </w:rPr>
        <w:t>月）</w:t>
      </w:r>
      <w:bookmarkStart w:id="18" w:name="_Hlk19112545"/>
      <w:r>
        <w:rPr>
          <w:rFonts w:hint="eastAsia" w:ascii="ＭＳ 明朝" w:hAnsi="ＭＳ 明朝" w:eastAsia="ＭＳ 明朝"/>
          <w:color w:val="000000" w:themeColor="text1"/>
          <w:sz w:val="18"/>
        </w:rPr>
        <w:t>p</w:t>
      </w:r>
      <w:r>
        <w:rPr>
          <w:rFonts w:hint="default" w:ascii="ＭＳ 明朝" w:hAnsi="ＭＳ 明朝" w:eastAsia="ＭＳ 明朝"/>
          <w:color w:val="000000" w:themeColor="text1"/>
          <w:sz w:val="18"/>
        </w:rPr>
        <w:t>.1-14</w:t>
      </w:r>
      <w:bookmarkEnd w:id="18"/>
      <w:r>
        <w:rPr>
          <w:rFonts w:hint="eastAsia" w:ascii="ＭＳ 明朝" w:hAnsi="ＭＳ 明朝" w:eastAsia="ＭＳ 明朝"/>
          <w:color w:val="000000" w:themeColor="text1"/>
          <w:sz w:val="18"/>
        </w:rPr>
        <w:t>を一部修</w:t>
      </w:r>
      <w:r>
        <w:rPr>
          <w:rFonts w:hint="default" w:ascii="ＭＳ 明朝" w:hAnsi="ＭＳ 明朝" w:eastAsia="ＭＳ 明朝"/>
          <w:sz w:val="18"/>
        </w:rPr>
        <w:t>正</w:t>
      </w:r>
    </w:p>
    <w:p>
      <w:pPr>
        <w:pStyle w:val="2"/>
        <w:rPr>
          <w:rFonts w:hint="default" w:ascii="ＭＳ ゴシック" w:hAnsi="ＭＳ ゴシック" w:eastAsia="ＭＳ ゴシック"/>
          <w:b w:val="0"/>
          <w:u w:val="none" w:color="auto"/>
        </w:rPr>
      </w:pPr>
      <w:bookmarkStart w:id="19" w:name="_Toc60838748"/>
      <w:r>
        <w:rPr>
          <w:rFonts w:hint="eastAsia" w:ascii="ＭＳ ゴシック" w:hAnsi="ＭＳ ゴシック" w:eastAsia="ＭＳ ゴシック"/>
          <w:b w:val="0"/>
          <w:u w:val="none" w:color="auto"/>
        </w:rPr>
        <w:t>（３）職員への研修</w:t>
      </w:r>
      <w:bookmarkEnd w:id="19"/>
      <w:r>
        <w:rPr>
          <w:rFonts w:hint="eastAsia" w:ascii="ＭＳ ゴシック" w:hAnsi="ＭＳ ゴシック" w:eastAsia="ＭＳ ゴシック"/>
          <w:b w:val="0"/>
          <w:u w:val="none" w:color="auto"/>
        </w:rPr>
        <w:t>・訓練</w:t>
      </w:r>
    </w:p>
    <w:p>
      <w:pPr>
        <w:pStyle w:val="0"/>
        <w:spacing w:line="276" w:lineRule="auto"/>
        <w:ind w:firstLine="210" w:firstLineChars="100"/>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災害時に本計画が有効に活用され、円滑に災害廃棄物の処理が進められるよう、平時から本町総務課による防災訓練等に合わせて、災害廃棄物処理に係る研修を定期的に行う等、職員への周知・訓練を継続して行っていく。</w:t>
      </w:r>
    </w:p>
    <w:p>
      <w:pPr>
        <w:pStyle w:val="0"/>
        <w:spacing w:line="276" w:lineRule="auto"/>
        <w:ind w:firstLine="210" w:firstLineChars="100"/>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具体的には、年</w:t>
      </w:r>
      <w:r>
        <w:rPr>
          <w:rFonts w:hint="eastAsia" w:ascii="ＭＳ 明朝" w:hAnsi="ＭＳ 明朝" w:eastAsia="ＭＳ 明朝"/>
          <w:b w:val="0"/>
          <w:sz w:val="21"/>
          <w:u w:val="none" w:color="auto"/>
        </w:rPr>
        <w:t>1</w:t>
      </w:r>
      <w:r>
        <w:rPr>
          <w:rFonts w:hint="eastAsia" w:ascii="ＭＳ 明朝" w:hAnsi="ＭＳ 明朝" w:eastAsia="ＭＳ 明朝"/>
          <w:b w:val="0"/>
          <w:sz w:val="21"/>
          <w:u w:val="none" w:color="auto"/>
        </w:rPr>
        <w:t>回以上、次のような研修等を実施し、経験を蓄積・継承することができるよう取り組む。</w:t>
      </w:r>
    </w:p>
    <w:p>
      <w:pPr>
        <w:pStyle w:val="0"/>
        <w:spacing w:line="276" w:lineRule="auto"/>
        <w:ind w:firstLine="210" w:firstLineChars="100"/>
        <w:rPr>
          <w:rFonts w:hint="default" w:ascii="ＭＳ 明朝" w:hAnsi="ＭＳ 明朝" w:eastAsia="ＭＳ 明朝"/>
          <w:b w:val="0"/>
          <w:sz w:val="21"/>
          <w:u w:val="none" w:color="auto"/>
        </w:rPr>
      </w:pPr>
    </w:p>
    <w:p>
      <w:pPr>
        <w:pStyle w:val="0"/>
        <w:spacing w:line="276" w:lineRule="auto"/>
        <w:ind w:firstLine="210" w:firstLineChars="100"/>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＜研修内容例＞</w:t>
      </w:r>
    </w:p>
    <w:p>
      <w:pPr>
        <w:pStyle w:val="0"/>
        <w:spacing w:line="276" w:lineRule="auto"/>
        <w:ind w:firstLine="210" w:firstLineChars="100"/>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　○机上訓練による組織、連絡体制の確認について</w:t>
      </w:r>
    </w:p>
    <w:p>
      <w:pPr>
        <w:pStyle w:val="0"/>
        <w:spacing w:line="276" w:lineRule="auto"/>
        <w:ind w:firstLine="210" w:firstLineChars="100"/>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　○非常災害時の法令の特例について</w:t>
      </w:r>
    </w:p>
    <w:p>
      <w:pPr>
        <w:pStyle w:val="0"/>
        <w:spacing w:line="276" w:lineRule="auto"/>
        <w:ind w:firstLine="210" w:firstLineChars="100"/>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　○仮置場の開設・運用等について</w:t>
      </w:r>
    </w:p>
    <w:p>
      <w:pPr>
        <w:pStyle w:val="0"/>
        <w:spacing w:line="276" w:lineRule="auto"/>
        <w:ind w:firstLine="210" w:firstLineChars="100"/>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　○補助金申請手続き　　等</w:t>
      </w:r>
    </w:p>
    <w:p>
      <w:pPr>
        <w:pStyle w:val="0"/>
        <w:spacing w:line="276" w:lineRule="auto"/>
        <w:ind w:leftChars="0" w:firstLine="0" w:firstLineChars="0"/>
        <w:rPr>
          <w:rFonts w:hint="default" w:ascii="ＭＳ 明朝" w:hAnsi="ＭＳ 明朝" w:eastAsia="ＭＳ 明朝"/>
          <w:b w:val="0"/>
          <w:sz w:val="21"/>
          <w:u w:val="none" w:color="auto"/>
        </w:rPr>
      </w:pPr>
    </w:p>
    <w:p>
      <w:pPr>
        <w:pStyle w:val="0"/>
        <w:spacing w:line="276" w:lineRule="auto"/>
        <w:ind w:firstLine="210" w:firstLineChars="100"/>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また、災害時に災害廃棄物処理を担当する担当者間において、毎年役割分担を確認する機会を設けるとともに、定期的に災害廃棄物処理対応に関する研修を受講するなど、知識の向上に努めていく。</w:t>
      </w: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0"/>
        <w:spacing w:line="276" w:lineRule="auto"/>
        <w:ind w:leftChars="0" w:firstLine="0" w:firstLineChars="0"/>
        <w:rPr>
          <w:rFonts w:hint="default" w:ascii="ＭＳ 明朝" w:hAnsi="ＭＳ 明朝" w:eastAsia="ＭＳ 明朝"/>
          <w:sz w:val="21"/>
        </w:rPr>
      </w:pPr>
    </w:p>
    <w:p>
      <w:pPr>
        <w:pStyle w:val="2"/>
        <w:rPr>
          <w:rFonts w:hint="default" w:ascii="ＭＳ ゴシック" w:hAnsi="ＭＳ ゴシック" w:eastAsia="ＭＳ ゴシック"/>
          <w:sz w:val="24"/>
        </w:rPr>
      </w:pPr>
      <w:r>
        <w:rPr>
          <w:rFonts w:hint="default" w:ascii="ＭＳ ゴシック" w:hAnsi="ＭＳ ゴシック" w:eastAsia="ＭＳ ゴシック"/>
          <w:sz w:val="24"/>
        </w:rPr>
        <w:t>2</w:t>
      </w:r>
      <w:r>
        <w:rPr>
          <w:rFonts w:hint="eastAsia" w:ascii="ＭＳ ゴシック" w:hAnsi="ＭＳ ゴシック" w:eastAsia="ＭＳ ゴシック"/>
          <w:sz w:val="24"/>
        </w:rPr>
        <w:t>章　情報収集・連絡</w:t>
      </w:r>
    </w:p>
    <w:p>
      <w:pPr>
        <w:pStyle w:val="0"/>
        <w:rPr>
          <w:rFonts w:hint="default"/>
        </w:rPr>
      </w:pPr>
    </w:p>
    <w:p>
      <w:pPr>
        <w:pStyle w:val="3"/>
        <w:ind w:left="0" w:leftChars="0"/>
        <w:rPr>
          <w:rFonts w:hint="default" w:ascii="ＭＳ ゴシック" w:hAnsi="ＭＳ ゴシック" w:eastAsia="ＭＳ ゴシック"/>
        </w:rPr>
      </w:pPr>
      <w:r>
        <w:rPr>
          <w:rFonts w:hint="eastAsia" w:ascii="ＭＳ ゴシック" w:hAnsi="ＭＳ ゴシック" w:eastAsia="ＭＳ ゴシック"/>
        </w:rPr>
        <w:t>（１）町災害対策本部との連絡及び収集する情報</w:t>
      </w:r>
    </w:p>
    <w:p>
      <w:pPr>
        <w:pStyle w:val="0"/>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災害対策本部から収集する情報を表７に示す。</w:t>
      </w:r>
    </w:p>
    <w:p>
      <w:pPr>
        <w:pStyle w:val="0"/>
        <w:spacing w:line="276" w:lineRule="auto"/>
        <w:ind w:leftChars="0" w:firstLine="0" w:firstLineChars="0"/>
        <w:rPr>
          <w:rFonts w:hint="default" w:ascii="ＭＳ 明朝" w:hAnsi="ＭＳ 明朝" w:eastAsia="ＭＳ 明朝"/>
          <w:sz w:val="21"/>
        </w:rPr>
      </w:pPr>
      <w:r>
        <w:rPr>
          <w:rFonts w:hint="eastAsia" w:ascii="ＭＳ 明朝" w:hAnsi="ＭＳ 明朝" w:eastAsia="ＭＳ 明朝"/>
          <w:sz w:val="21"/>
        </w:rPr>
        <w:t>表の情報収集項目は、災害廃棄物の収集運搬・処理対応において必要となることから、速やかに課内及び関係者に周知する。また、時間の経過に伴い、被災・被害状況が明らかになるとともに、問題や課題、必要となる支援も変化することから、定期的に新しい情報を収集する。</w:t>
      </w:r>
    </w:p>
    <w:p>
      <w:pPr>
        <w:pStyle w:val="0"/>
        <w:rPr>
          <w:rFonts w:hint="default"/>
        </w:rPr>
      </w:pPr>
    </w:p>
    <w:p>
      <w:pPr>
        <w:pStyle w:val="0"/>
        <w:jc w:val="center"/>
        <w:rPr>
          <w:rFonts w:hint="default"/>
          <w:sz w:val="21"/>
        </w:rPr>
      </w:pPr>
      <w:r>
        <w:rPr>
          <w:rFonts w:hint="eastAsia"/>
          <w:sz w:val="21"/>
        </w:rPr>
        <w:t>表７　災害対策本部から収集する情報の内容</w:t>
      </w:r>
    </w:p>
    <w:tbl>
      <w:tblPr>
        <w:tblStyle w:val="65"/>
        <w:tblW w:w="8730" w:type="dxa"/>
        <w:jc w:val="center"/>
        <w:tblInd w:w="0" w:type="dxa"/>
        <w:tblLayout w:type="fixed"/>
        <w:tblLook w:firstRow="1" w:lastRow="0" w:firstColumn="1" w:lastColumn="0" w:noHBand="0" w:noVBand="1" w:val="04A0"/>
      </w:tblPr>
      <w:tblGrid>
        <w:gridCol w:w="1465"/>
        <w:gridCol w:w="1372"/>
        <w:gridCol w:w="2967"/>
        <w:gridCol w:w="2926"/>
      </w:tblGrid>
      <w:tr>
        <w:trPr>
          <w:trHeight w:val="245" w:hRule="atLeast"/>
        </w:trPr>
        <w:tc>
          <w:tcPr>
            <w:tcW w:w="1465" w:type="dxa"/>
            <w:shd w:val="clear" w:color="auto" w:themeFill="background1" w:themeFillTint="FF" w:themeFillShade="D9"/>
            <w:vAlign w:val="top"/>
          </w:tcPr>
          <w:p>
            <w:pPr>
              <w:pStyle w:val="0"/>
              <w:adjustRightInd w:val="0"/>
              <w:jc w:val="center"/>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区　　　分</w:t>
            </w:r>
          </w:p>
        </w:tc>
        <w:tc>
          <w:tcPr>
            <w:tcW w:w="4339" w:type="dxa"/>
            <w:gridSpan w:val="2"/>
            <w:shd w:val="clear" w:color="auto" w:themeFill="background1" w:themeFillTint="FF" w:themeFillShade="D9"/>
            <w:vAlign w:val="top"/>
          </w:tcPr>
          <w:p>
            <w:pPr>
              <w:pStyle w:val="0"/>
              <w:adjustRightInd w:val="0"/>
              <w:jc w:val="center"/>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情　報　収　集　項　目</w:t>
            </w:r>
          </w:p>
        </w:tc>
        <w:tc>
          <w:tcPr>
            <w:tcW w:w="2926" w:type="dxa"/>
            <w:shd w:val="clear" w:color="auto" w:themeFill="background1" w:themeFillTint="FF" w:themeFillShade="D9"/>
            <w:vAlign w:val="top"/>
          </w:tcPr>
          <w:p>
            <w:pPr>
              <w:pStyle w:val="0"/>
              <w:adjustRightInd w:val="0"/>
              <w:jc w:val="center"/>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目　的</w:t>
            </w:r>
          </w:p>
        </w:tc>
      </w:tr>
      <w:tr>
        <w:trPr>
          <w:trHeight w:val="571" w:hRule="atLeast"/>
        </w:trPr>
        <w:tc>
          <w:tcPr>
            <w:tcW w:w="1465" w:type="dxa"/>
            <w:vAlign w:val="center"/>
          </w:tcPr>
          <w:p>
            <w:pPr>
              <w:pStyle w:val="0"/>
              <w:adjustRightInd w:val="0"/>
              <w:rPr>
                <w:rFonts w:hint="default" w:ascii="HGPｺﾞｼｯｸM" w:hAnsi="HGPｺﾞｼｯｸM" w:eastAsia="HGPｺﾞｼｯｸM"/>
                <w:sz w:val="21"/>
              </w:rPr>
            </w:pPr>
            <w:r>
              <w:rPr>
                <w:rFonts w:hint="eastAsia" w:ascii="HGPｺﾞｼｯｸM" w:hAnsi="HGPｺﾞｼｯｸM" w:eastAsia="HGPｺﾞｼｯｸM"/>
                <w:sz w:val="21"/>
              </w:rPr>
              <w:t>避難所と避難者数の把握</w:t>
            </w:r>
          </w:p>
        </w:tc>
        <w:tc>
          <w:tcPr>
            <w:tcW w:w="1372" w:type="dxa"/>
            <w:vMerge w:val="restart"/>
            <w:vAlign w:val="center"/>
          </w:tcPr>
          <w:p>
            <w:pPr>
              <w:pStyle w:val="0"/>
              <w:adjustRightInd w:val="0"/>
              <w:rPr>
                <w:rFonts w:hint="default" w:ascii="HGPｺﾞｼｯｸM" w:hAnsi="HGPｺﾞｼｯｸM" w:eastAsia="HGPｺﾞｼｯｸM"/>
                <w:sz w:val="21"/>
              </w:rPr>
            </w:pPr>
            <w:r>
              <w:rPr>
                <w:rFonts w:hint="eastAsia" w:ascii="HGPｺﾞｼｯｸM" w:hAnsi="HGPｺﾞｼｯｸM" w:eastAsia="HGPｺﾞｼｯｸM"/>
                <w:sz w:val="21"/>
              </w:rPr>
              <w:t>・地区名</w:t>
            </w:r>
          </w:p>
          <w:p>
            <w:pPr>
              <w:pStyle w:val="0"/>
              <w:adjustRightInd w:val="0"/>
              <w:rPr>
                <w:rFonts w:hint="default" w:ascii="HGPｺﾞｼｯｸM" w:hAnsi="HGPｺﾞｼｯｸM" w:eastAsia="HGPｺﾞｼｯｸM"/>
                <w:sz w:val="21"/>
              </w:rPr>
            </w:pPr>
            <w:r>
              <w:rPr>
                <w:rFonts w:hint="eastAsia" w:ascii="HGPｺﾞｼｯｸM" w:hAnsi="HGPｺﾞｼｯｸM" w:eastAsia="HGPｺﾞｼｯｸM"/>
                <w:sz w:val="21"/>
              </w:rPr>
              <w:t>・報告者名、</w:t>
            </w:r>
          </w:p>
          <w:p>
            <w:pPr>
              <w:pStyle w:val="0"/>
              <w:adjustRightInd w:val="0"/>
              <w:rPr>
                <w:rFonts w:hint="default" w:ascii="HGPｺﾞｼｯｸM" w:hAnsi="HGPｺﾞｼｯｸM" w:eastAsia="HGPｺﾞｼｯｸM"/>
                <w:sz w:val="21"/>
              </w:rPr>
            </w:pPr>
            <w:r>
              <w:rPr>
                <w:rFonts w:hint="eastAsia" w:ascii="HGPｺﾞｼｯｸM" w:hAnsi="HGPｺﾞｼｯｸM" w:eastAsia="HGPｺﾞｼｯｸM"/>
                <w:sz w:val="21"/>
              </w:rPr>
              <w:t>　担当部署</w:t>
            </w:r>
          </w:p>
          <w:p>
            <w:pPr>
              <w:pStyle w:val="0"/>
              <w:adjustRightInd w:val="0"/>
              <w:rPr>
                <w:rFonts w:hint="default" w:ascii="HGPｺﾞｼｯｸM" w:hAnsi="HGPｺﾞｼｯｸM" w:eastAsia="HGPｺﾞｼｯｸM"/>
                <w:sz w:val="21"/>
              </w:rPr>
            </w:pPr>
            <w:r>
              <w:rPr>
                <w:rFonts w:hint="eastAsia" w:ascii="HGPｺﾞｼｯｸM" w:hAnsi="HGPｺﾞｼｯｸM" w:eastAsia="HGPｺﾞｼｯｸM"/>
                <w:sz w:val="21"/>
              </w:rPr>
              <w:t>・報告年月日</w:t>
            </w:r>
          </w:p>
        </w:tc>
        <w:tc>
          <w:tcPr>
            <w:tcW w:w="2967" w:type="dxa"/>
            <w:vAlign w:val="center"/>
          </w:tcPr>
          <w:p>
            <w:pPr>
              <w:pStyle w:val="0"/>
              <w:adjustRightInd w:val="0"/>
              <w:rPr>
                <w:rFonts w:hint="default" w:ascii="HGPｺﾞｼｯｸM" w:hAnsi="HGPｺﾞｼｯｸM" w:eastAsia="HGPｺﾞｼｯｸM"/>
                <w:sz w:val="21"/>
              </w:rPr>
            </w:pPr>
            <w:r>
              <w:rPr>
                <w:rFonts w:hint="eastAsia" w:ascii="HGPｺﾞｼｯｸM" w:hAnsi="HGPｺﾞｼｯｸM" w:eastAsia="HGPｺﾞｼｯｸM"/>
                <w:sz w:val="21"/>
              </w:rPr>
              <w:t>・避難所名</w:t>
            </w:r>
          </w:p>
          <w:p>
            <w:pPr>
              <w:pStyle w:val="0"/>
              <w:adjustRightInd w:val="0"/>
              <w:rPr>
                <w:rFonts w:hint="default" w:ascii="HGPｺﾞｼｯｸM" w:hAnsi="HGPｺﾞｼｯｸM" w:eastAsia="HGPｺﾞｼｯｸM"/>
                <w:sz w:val="21"/>
              </w:rPr>
            </w:pPr>
            <w:r>
              <w:rPr>
                <w:rFonts w:hint="eastAsia" w:ascii="HGPｺﾞｼｯｸM" w:hAnsi="HGPｺﾞｼｯｸM" w:eastAsia="HGPｺﾞｼｯｸM"/>
                <w:sz w:val="21"/>
              </w:rPr>
              <w:t>・各避難所の避難者数</w:t>
            </w:r>
          </w:p>
          <w:p>
            <w:pPr>
              <w:pStyle w:val="0"/>
              <w:adjustRightInd w:val="0"/>
              <w:rPr>
                <w:rFonts w:hint="default" w:ascii="HGPｺﾞｼｯｸM" w:hAnsi="HGPｺﾞｼｯｸM" w:eastAsia="HGPｺﾞｼｯｸM"/>
                <w:sz w:val="21"/>
              </w:rPr>
            </w:pPr>
            <w:r>
              <w:rPr>
                <w:rFonts w:hint="eastAsia" w:ascii="HGPｺﾞｼｯｸM" w:hAnsi="HGPｺﾞｼｯｸM" w:eastAsia="HGPｺﾞｼｯｸM"/>
                <w:sz w:val="21"/>
              </w:rPr>
              <w:t>・各避難所の仮設トイレ数</w:t>
            </w:r>
          </w:p>
        </w:tc>
        <w:tc>
          <w:tcPr>
            <w:tcW w:w="2926" w:type="dxa"/>
            <w:vAlign w:val="center"/>
          </w:tcPr>
          <w:p>
            <w:pPr>
              <w:pStyle w:val="0"/>
              <w:widowControl w:val="1"/>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・トイレ不足数把握</w:t>
            </w:r>
          </w:p>
          <w:p>
            <w:pPr>
              <w:pStyle w:val="0"/>
              <w:adjustRightInd w:val="0"/>
              <w:ind w:left="210" w:hanging="210" w:hangingChars="100"/>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・生活ごみ、し尿の発生量把握</w:t>
            </w:r>
          </w:p>
        </w:tc>
      </w:tr>
      <w:tr>
        <w:trPr>
          <w:trHeight w:val="571" w:hRule="atLeast"/>
        </w:trPr>
        <w:tc>
          <w:tcPr>
            <w:tcW w:w="1465" w:type="dxa"/>
            <w:vAlign w:val="center"/>
          </w:tcPr>
          <w:p>
            <w:pPr>
              <w:pStyle w:val="0"/>
              <w:adjustRightInd w:val="0"/>
              <w:rPr>
                <w:rFonts w:hint="default" w:ascii="HGPｺﾞｼｯｸM" w:hAnsi="HGPｺﾞｼｯｸM" w:eastAsia="HGPｺﾞｼｯｸM"/>
                <w:sz w:val="21"/>
              </w:rPr>
            </w:pPr>
            <w:r>
              <w:rPr>
                <w:rFonts w:hint="eastAsia" w:ascii="HGPｺﾞｼｯｸM" w:hAnsi="HGPｺﾞｼｯｸM" w:eastAsia="HGPｺﾞｼｯｸM"/>
                <w:sz w:val="21"/>
              </w:rPr>
              <w:t>建物の被害状況の把握</w:t>
            </w:r>
          </w:p>
        </w:tc>
        <w:tc>
          <w:tcPr>
            <w:tcW w:w="1372" w:type="dxa"/>
            <w:vMerge w:val="continue"/>
            <w:vAlign w:val="center"/>
          </w:tcPr>
          <w:p>
            <w:pPr>
              <w:pStyle w:val="0"/>
              <w:rPr>
                <w:rFonts w:hint="eastAsia"/>
              </w:rPr>
            </w:pPr>
          </w:p>
        </w:tc>
        <w:tc>
          <w:tcPr>
            <w:tcW w:w="2967" w:type="dxa"/>
            <w:vAlign w:val="center"/>
          </w:tcPr>
          <w:p>
            <w:pPr>
              <w:pStyle w:val="0"/>
              <w:adjustRightInd w:val="0"/>
              <w:ind w:left="210" w:hanging="210" w:hangingChars="100"/>
              <w:rPr>
                <w:rFonts w:hint="default" w:ascii="HGPｺﾞｼｯｸM" w:hAnsi="HGPｺﾞｼｯｸM" w:eastAsia="HGPｺﾞｼｯｸM"/>
                <w:sz w:val="21"/>
              </w:rPr>
            </w:pPr>
            <w:r>
              <w:rPr>
                <w:rFonts w:hint="eastAsia" w:ascii="HGPｺﾞｼｯｸM" w:hAnsi="HGPｺﾞｼｯｸM" w:eastAsia="HGPｺﾞｼｯｸM"/>
                <w:sz w:val="21"/>
              </w:rPr>
              <w:t>・町内の建物の全壊及び</w:t>
            </w:r>
          </w:p>
          <w:p>
            <w:pPr>
              <w:pStyle w:val="0"/>
              <w:adjustRightInd w:val="0"/>
              <w:ind w:left="215" w:leftChars="50" w:hanging="105" w:hangingChars="50"/>
              <w:rPr>
                <w:rFonts w:hint="default" w:ascii="HGPｺﾞｼｯｸM" w:hAnsi="HGPｺﾞｼｯｸM" w:eastAsia="HGPｺﾞｼｯｸM"/>
                <w:sz w:val="21"/>
              </w:rPr>
            </w:pPr>
            <w:r>
              <w:rPr>
                <w:rFonts w:hint="eastAsia" w:ascii="HGPｺﾞｼｯｸM" w:hAnsi="HGPｺﾞｼｯｸM" w:eastAsia="HGPｺﾞｼｯｸM"/>
                <w:sz w:val="21"/>
              </w:rPr>
              <w:t>半壊棟数</w:t>
            </w:r>
          </w:p>
          <w:p>
            <w:pPr>
              <w:pStyle w:val="0"/>
              <w:adjustRightInd w:val="0"/>
              <w:ind w:left="210" w:hanging="210" w:hangingChars="100"/>
              <w:rPr>
                <w:rFonts w:hint="default" w:ascii="HGPｺﾞｼｯｸM" w:hAnsi="HGPｺﾞｼｯｸM" w:eastAsia="HGPｺﾞｼｯｸM"/>
                <w:sz w:val="21"/>
              </w:rPr>
            </w:pPr>
            <w:r>
              <w:rPr>
                <w:rFonts w:hint="eastAsia" w:ascii="HGPｺﾞｼｯｸM" w:hAnsi="HGPｺﾞｼｯｸM" w:eastAsia="HGPｺﾞｼｯｸM"/>
                <w:sz w:val="21"/>
              </w:rPr>
              <w:t>・町内の建物の焼失棟数</w:t>
            </w:r>
          </w:p>
        </w:tc>
        <w:tc>
          <w:tcPr>
            <w:tcW w:w="2926" w:type="dxa"/>
            <w:vAlign w:val="center"/>
          </w:tcPr>
          <w:p>
            <w:pPr>
              <w:pStyle w:val="0"/>
              <w:widowControl w:val="1"/>
              <w:ind w:left="210" w:hanging="210" w:hangingChars="100"/>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・要処理廃棄物量及び種類等</w:t>
            </w:r>
          </w:p>
          <w:p>
            <w:pPr>
              <w:pStyle w:val="0"/>
              <w:widowControl w:val="1"/>
              <w:ind w:left="215" w:leftChars="50" w:hanging="105" w:hangingChars="50"/>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の把握</w:t>
            </w:r>
          </w:p>
        </w:tc>
      </w:tr>
      <w:tr>
        <w:trPr>
          <w:trHeight w:val="1128" w:hRule="atLeast"/>
        </w:trPr>
        <w:tc>
          <w:tcPr>
            <w:tcW w:w="1465" w:type="dxa"/>
            <w:vAlign w:val="center"/>
          </w:tcPr>
          <w:p>
            <w:pPr>
              <w:pStyle w:val="0"/>
              <w:adjustRightInd w:val="0"/>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上下水道の被害及び復旧状況の把握</w:t>
            </w:r>
          </w:p>
        </w:tc>
        <w:tc>
          <w:tcPr>
            <w:tcW w:w="1372" w:type="dxa"/>
            <w:vMerge w:val="continue"/>
            <w:vAlign w:val="center"/>
          </w:tcPr>
          <w:p>
            <w:pPr>
              <w:pStyle w:val="0"/>
              <w:rPr>
                <w:rFonts w:hint="eastAsia"/>
              </w:rPr>
            </w:pPr>
          </w:p>
        </w:tc>
        <w:tc>
          <w:tcPr>
            <w:tcW w:w="2967" w:type="dxa"/>
            <w:vAlign w:val="center"/>
          </w:tcPr>
          <w:p>
            <w:pPr>
              <w:pStyle w:val="0"/>
              <w:adjustRightInd w:val="0"/>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・水道施設の被害状況</w:t>
            </w:r>
          </w:p>
          <w:p>
            <w:pPr>
              <w:pStyle w:val="0"/>
              <w:adjustRightInd w:val="0"/>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・断水（水道被害）の状況と復旧</w:t>
            </w:r>
          </w:p>
          <w:p>
            <w:pPr>
              <w:pStyle w:val="0"/>
              <w:adjustRightInd w:val="0"/>
              <w:ind w:firstLine="105" w:firstLineChars="50"/>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の見通し</w:t>
            </w:r>
          </w:p>
          <w:p>
            <w:pPr>
              <w:pStyle w:val="0"/>
              <w:adjustRightInd w:val="0"/>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・下水処理施設の被災状況</w:t>
            </w:r>
          </w:p>
        </w:tc>
        <w:tc>
          <w:tcPr>
            <w:tcW w:w="2926" w:type="dxa"/>
            <w:vAlign w:val="center"/>
          </w:tcPr>
          <w:p>
            <w:pPr>
              <w:pStyle w:val="0"/>
              <w:widowControl w:val="1"/>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・インフラの状況把握</w:t>
            </w:r>
          </w:p>
          <w:p>
            <w:pPr>
              <w:pStyle w:val="0"/>
              <w:widowControl w:val="1"/>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・し尿発生量や生活ごみの性状</w:t>
            </w:r>
          </w:p>
          <w:p>
            <w:pPr>
              <w:pStyle w:val="0"/>
              <w:widowControl w:val="1"/>
              <w:ind w:firstLine="105" w:firstLineChars="50"/>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変化を把握</w:t>
            </w:r>
          </w:p>
        </w:tc>
      </w:tr>
      <w:tr>
        <w:trPr>
          <w:trHeight w:val="1128" w:hRule="atLeast"/>
        </w:trPr>
        <w:tc>
          <w:tcPr>
            <w:tcW w:w="1465" w:type="dxa"/>
            <w:vAlign w:val="center"/>
          </w:tcPr>
          <w:p>
            <w:pPr>
              <w:pStyle w:val="0"/>
              <w:adjustRightInd w:val="0"/>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道路・橋梁・港湾の被害の把握</w:t>
            </w:r>
          </w:p>
        </w:tc>
        <w:tc>
          <w:tcPr>
            <w:tcW w:w="1372" w:type="dxa"/>
            <w:vMerge w:val="continue"/>
            <w:vAlign w:val="center"/>
          </w:tcPr>
          <w:p>
            <w:pPr>
              <w:pStyle w:val="0"/>
              <w:rPr>
                <w:rFonts w:hint="eastAsia"/>
              </w:rPr>
            </w:pPr>
          </w:p>
        </w:tc>
        <w:tc>
          <w:tcPr>
            <w:tcW w:w="2967" w:type="dxa"/>
            <w:vAlign w:val="center"/>
          </w:tcPr>
          <w:p>
            <w:pPr>
              <w:pStyle w:val="0"/>
              <w:adjustRightInd w:val="0"/>
              <w:jc w:val="both"/>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・被害状況と開通、復旧見通し</w:t>
            </w:r>
          </w:p>
        </w:tc>
        <w:tc>
          <w:tcPr>
            <w:tcW w:w="2926" w:type="dxa"/>
            <w:vAlign w:val="center"/>
          </w:tcPr>
          <w:p>
            <w:pPr>
              <w:pStyle w:val="0"/>
              <w:widowControl w:val="1"/>
              <w:ind w:left="210" w:hanging="210" w:hangingChars="100"/>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・廃棄物の収集運搬体制への</w:t>
            </w:r>
          </w:p>
          <w:p>
            <w:pPr>
              <w:pStyle w:val="0"/>
              <w:widowControl w:val="1"/>
              <w:ind w:left="215" w:leftChars="50" w:hanging="105" w:hangingChars="50"/>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影響把握</w:t>
            </w:r>
          </w:p>
          <w:p>
            <w:pPr>
              <w:pStyle w:val="0"/>
              <w:widowControl w:val="1"/>
              <w:ind w:left="210" w:hanging="210" w:hangingChars="100"/>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・仮置場、運搬ルートの把握</w:t>
            </w:r>
          </w:p>
        </w:tc>
      </w:tr>
    </w:tbl>
    <w:p>
      <w:pPr>
        <w:pStyle w:val="0"/>
        <w:jc w:val="center"/>
        <w:rPr>
          <w:rFonts w:hint="default" w:asciiTheme="majorHAnsi" w:hAnsiTheme="majorHAnsi" w:eastAsiaTheme="majorEastAsia"/>
        </w:rPr>
      </w:pPr>
    </w:p>
    <w:p>
      <w:pPr>
        <w:pStyle w:val="0"/>
        <w:jc w:val="center"/>
        <w:rPr>
          <w:rFonts w:hint="default" w:asciiTheme="majorHAnsi" w:hAnsiTheme="majorHAnsi" w:eastAsiaTheme="majorEastAsia"/>
        </w:rPr>
      </w:pPr>
    </w:p>
    <w:p>
      <w:pPr>
        <w:pStyle w:val="3"/>
        <w:ind w:left="0" w:leftChars="0"/>
        <w:rPr>
          <w:rFonts w:hint="default" w:ascii="ＭＳ ゴシック" w:hAnsi="ＭＳ ゴシック" w:eastAsia="ＭＳ ゴシック"/>
        </w:rPr>
      </w:pPr>
      <w:bookmarkStart w:id="20" w:name="_Toc60838749"/>
    </w:p>
    <w:p>
      <w:pPr>
        <w:pStyle w:val="3"/>
        <w:ind w:left="0" w:leftChars="0"/>
        <w:rPr>
          <w:rFonts w:hint="default" w:ascii="ＭＳ ゴシック" w:hAnsi="ＭＳ ゴシック" w:eastAsia="ＭＳ ゴシック"/>
        </w:rPr>
      </w:pPr>
    </w:p>
    <w:p>
      <w:pPr>
        <w:pStyle w:val="3"/>
        <w:ind w:left="0" w:leftChars="0"/>
        <w:rPr>
          <w:rFonts w:hint="default" w:ascii="ＭＳ ゴシック" w:hAnsi="ＭＳ ゴシック" w:eastAsia="ＭＳ ゴシック"/>
        </w:rPr>
      </w:pPr>
    </w:p>
    <w:p>
      <w:pPr>
        <w:pStyle w:val="3"/>
        <w:ind w:left="0" w:leftChars="0"/>
        <w:rPr>
          <w:rFonts w:hint="default" w:ascii="ＭＳ ゴシック" w:hAnsi="ＭＳ ゴシック" w:eastAsia="ＭＳ ゴシック"/>
        </w:rPr>
      </w:pPr>
    </w:p>
    <w:p>
      <w:pPr>
        <w:pStyle w:val="3"/>
        <w:ind w:left="0" w:leftChars="0"/>
        <w:rPr>
          <w:rFonts w:hint="default" w:ascii="ＭＳ ゴシック" w:hAnsi="ＭＳ ゴシック" w:eastAsia="ＭＳ ゴシック"/>
        </w:rPr>
      </w:pPr>
    </w:p>
    <w:p>
      <w:pPr>
        <w:pStyle w:val="3"/>
        <w:ind w:left="0" w:leftChars="0"/>
        <w:rPr>
          <w:rFonts w:hint="default" w:ascii="ＭＳ ゴシック" w:hAnsi="ＭＳ ゴシック" w:eastAsia="ＭＳ ゴシック"/>
        </w:rPr>
      </w:pPr>
    </w:p>
    <w:p>
      <w:pPr>
        <w:pStyle w:val="3"/>
        <w:ind w:left="0" w:leftChars="0"/>
        <w:rPr>
          <w:rFonts w:hint="default" w:ascii="ＭＳ ゴシック" w:hAnsi="ＭＳ ゴシック" w:eastAsia="ＭＳ ゴシック"/>
        </w:rPr>
      </w:pPr>
    </w:p>
    <w:p>
      <w:pPr>
        <w:pStyle w:val="3"/>
        <w:ind w:left="0" w:leftChars="0"/>
        <w:rPr>
          <w:rFonts w:hint="default" w:ascii="ＭＳ ゴシック" w:hAnsi="ＭＳ ゴシック" w:eastAsia="ＭＳ ゴシック"/>
        </w:rPr>
      </w:pPr>
    </w:p>
    <w:p>
      <w:pPr>
        <w:pStyle w:val="3"/>
        <w:ind w:left="0" w:leftChars="0"/>
        <w:rPr>
          <w:rFonts w:hint="default" w:ascii="ＭＳ ゴシック" w:hAnsi="ＭＳ ゴシック" w:eastAsia="ＭＳ ゴシック"/>
        </w:rPr>
      </w:pPr>
    </w:p>
    <w:p>
      <w:pPr>
        <w:pStyle w:val="3"/>
        <w:ind w:left="0" w:leftChars="0"/>
        <w:rPr>
          <w:rFonts w:hint="default" w:ascii="ＭＳ ゴシック" w:hAnsi="ＭＳ ゴシック" w:eastAsia="ＭＳ ゴシック"/>
        </w:rPr>
      </w:pPr>
    </w:p>
    <w:p>
      <w:pPr>
        <w:pStyle w:val="3"/>
        <w:ind w:left="0" w:leftChars="0"/>
        <w:rPr>
          <w:rFonts w:hint="default" w:ascii="ＭＳ ゴシック" w:hAnsi="ＭＳ ゴシック" w:eastAsia="ＭＳ ゴシック"/>
        </w:rPr>
      </w:pPr>
    </w:p>
    <w:p>
      <w:pPr>
        <w:pStyle w:val="3"/>
        <w:ind w:left="0" w:leftChars="0"/>
        <w:rPr>
          <w:rFonts w:hint="default" w:ascii="ＭＳ ゴシック" w:hAnsi="ＭＳ ゴシック" w:eastAsia="ＭＳ ゴシック"/>
        </w:rPr>
      </w:pPr>
    </w:p>
    <w:p>
      <w:pPr>
        <w:pStyle w:val="3"/>
        <w:ind w:left="0" w:leftChars="0"/>
        <w:rPr>
          <w:rFonts w:hint="default" w:ascii="ＭＳ ゴシック" w:hAnsi="ＭＳ ゴシック" w:eastAsia="ＭＳ ゴシック"/>
        </w:rPr>
      </w:pPr>
    </w:p>
    <w:p>
      <w:pPr>
        <w:pStyle w:val="3"/>
        <w:ind w:left="0" w:leftChars="0"/>
        <w:rPr>
          <w:rFonts w:hint="default" w:ascii="ＭＳ ゴシック" w:hAnsi="ＭＳ ゴシック" w:eastAsia="ＭＳ ゴシック"/>
        </w:rPr>
      </w:pPr>
    </w:p>
    <w:p>
      <w:pPr>
        <w:pStyle w:val="3"/>
        <w:ind w:left="0" w:leftChars="0"/>
        <w:rPr>
          <w:rFonts w:hint="default" w:ascii="ＭＳ ゴシック" w:hAnsi="ＭＳ ゴシック" w:eastAsia="ＭＳ ゴシック"/>
        </w:rPr>
      </w:pPr>
    </w:p>
    <w:p>
      <w:pPr>
        <w:pStyle w:val="3"/>
        <w:ind w:left="0" w:leftChars="0"/>
        <w:rPr>
          <w:rFonts w:hint="default" w:ascii="ＭＳ ゴシック" w:hAnsi="ＭＳ ゴシック" w:eastAsia="ＭＳ ゴシック"/>
        </w:rPr>
      </w:pPr>
    </w:p>
    <w:p>
      <w:pPr>
        <w:pStyle w:val="0"/>
        <w:ind w:left="0" w:leftChars="0"/>
        <w:rPr>
          <w:rFonts w:hint="default" w:ascii="ＭＳ ゴシック" w:hAnsi="ＭＳ ゴシック" w:eastAsia="ＭＳ ゴシック"/>
        </w:rPr>
      </w:pPr>
    </w:p>
    <w:p>
      <w:pPr>
        <w:pStyle w:val="0"/>
        <w:ind w:left="0" w:leftChars="0"/>
        <w:rPr>
          <w:rFonts w:hint="default" w:ascii="ＭＳ ゴシック" w:hAnsi="ＭＳ ゴシック" w:eastAsia="ＭＳ ゴシック"/>
        </w:rPr>
      </w:pPr>
    </w:p>
    <w:p>
      <w:pPr>
        <w:pStyle w:val="0"/>
        <w:ind w:left="0" w:leftChars="0"/>
        <w:rPr>
          <w:rFonts w:hint="default" w:ascii="ＭＳ ゴシック" w:hAnsi="ＭＳ ゴシック" w:eastAsia="ＭＳ ゴシック"/>
        </w:rPr>
      </w:pPr>
    </w:p>
    <w:p>
      <w:pPr>
        <w:pStyle w:val="0"/>
        <w:ind w:left="0" w:leftChars="0"/>
        <w:rPr>
          <w:rFonts w:hint="default" w:ascii="ＭＳ ゴシック" w:hAnsi="ＭＳ ゴシック" w:eastAsia="ＭＳ ゴシック"/>
        </w:rPr>
      </w:pPr>
    </w:p>
    <w:p>
      <w:pPr>
        <w:pStyle w:val="3"/>
        <w:ind w:left="0" w:leftChars="0"/>
        <w:rPr>
          <w:rFonts w:hint="default" w:ascii="ＭＳ ゴシック" w:hAnsi="ＭＳ ゴシック" w:eastAsia="ＭＳ ゴシック"/>
        </w:rPr>
      </w:pPr>
      <w:r>
        <w:rPr>
          <w:rFonts w:hint="eastAsia" w:ascii="ＭＳ ゴシック" w:hAnsi="ＭＳ ゴシック" w:eastAsia="ＭＳ ゴシック"/>
        </w:rPr>
        <w:t>（２）県との連絡及び報告する情報</w:t>
      </w:r>
      <w:bookmarkEnd w:id="20"/>
    </w:p>
    <w:p>
      <w:pPr>
        <w:pStyle w:val="0"/>
        <w:spacing w:before="46" w:beforeLines="0" w:beforeAutospacing="0"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災害廃棄物処理に関して、県へ報告する情報を表８に示す。</w:t>
      </w:r>
    </w:p>
    <w:p>
      <w:pPr>
        <w:pStyle w:val="0"/>
        <w:spacing w:before="46" w:beforeLines="0" w:beforeAutospacing="0" w:line="276" w:lineRule="auto"/>
        <w:ind w:firstLine="210" w:firstLineChars="100"/>
        <w:rPr>
          <w:rFonts w:hint="default" w:ascii="ＭＳ 明朝" w:hAnsi="ＭＳ 明朝" w:eastAsia="ＭＳ 明朝"/>
          <w:sz w:val="21"/>
          <w:u w:val="single" w:color="auto"/>
        </w:rPr>
      </w:pPr>
      <w:r>
        <w:rPr>
          <w:rFonts w:hint="eastAsia" w:ascii="ＭＳ 明朝" w:hAnsi="ＭＳ 明朝" w:eastAsia="ＭＳ 明朝"/>
          <w:sz w:val="21"/>
        </w:rPr>
        <w:t>町は、発災後迅速に災害廃棄物処理体制を構築し処理を進めるため、速やかに町内等の災害廃棄物の発生量や廃棄物処理施設の被害状況等について、情報収集を行う。特に、優先的な処理が求められる腐敗性あるいは有害廃棄物等の情報を早期に把握することで、周辺環境の悪化を防ぎ、以後の廃棄物処理を円滑に進めることが可能となる。</w:t>
      </w:r>
    </w:p>
    <w:p>
      <w:pPr>
        <w:pStyle w:val="0"/>
        <w:spacing w:before="46" w:beforeLines="0" w:beforeAutospacing="0"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正確な情報が得難い場合は、県への職員の派遣要請や、民間事業者団体のネットワークの活用等、積極的な情報収集を行う。</w:t>
      </w:r>
    </w:p>
    <w:p>
      <w:pPr>
        <w:pStyle w:val="0"/>
        <w:spacing w:before="46" w:beforeLines="0" w:beforeAutospacing="0"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なお、県との連絡窓口を明確にしておき、発災直後だけでなく、定期的に情報収集を行う。</w:t>
      </w:r>
    </w:p>
    <w:p>
      <w:pPr>
        <w:pStyle w:val="0"/>
        <w:rPr>
          <w:rFonts w:hint="default"/>
        </w:rPr>
      </w:pPr>
    </w:p>
    <w:p>
      <w:pPr>
        <w:pStyle w:val="0"/>
        <w:jc w:val="center"/>
        <w:rPr>
          <w:rFonts w:hint="default"/>
          <w:sz w:val="21"/>
        </w:rPr>
      </w:pPr>
      <w:r>
        <w:rPr>
          <w:rFonts w:hint="eastAsia"/>
          <w:sz w:val="21"/>
        </w:rPr>
        <w:t>表８　被災市町村から報告する情報の内容</w:t>
      </w:r>
    </w:p>
    <w:tbl>
      <w:tblPr>
        <w:tblStyle w:val="55"/>
        <w:tblW w:w="8506" w:type="dxa"/>
        <w:jc w:val="center"/>
        <w:tblInd w:w="0" w:type="dxa"/>
        <w:tblLayout w:type="fixed"/>
        <w:tblLook w:firstRow="1" w:lastRow="0" w:firstColumn="1" w:lastColumn="0" w:noHBand="0" w:noVBand="1" w:val="04A0"/>
      </w:tblPr>
      <w:tblGrid>
        <w:gridCol w:w="2417"/>
        <w:gridCol w:w="4104"/>
        <w:gridCol w:w="1985"/>
      </w:tblGrid>
      <w:tr>
        <w:trPr/>
        <w:tc>
          <w:tcPr>
            <w:tcW w:w="2417" w:type="dxa"/>
            <w:shd w:val="clear" w:color="auto" w:themeFill="background1" w:themeFillTint="FF" w:themeFillShade="D9"/>
            <w:vAlign w:val="top"/>
          </w:tcPr>
          <w:p>
            <w:pPr>
              <w:pStyle w:val="0"/>
              <w:adjustRightInd w:val="0"/>
              <w:jc w:val="center"/>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区　　　分</w:t>
            </w:r>
          </w:p>
        </w:tc>
        <w:tc>
          <w:tcPr>
            <w:tcW w:w="4104" w:type="dxa"/>
            <w:shd w:val="clear" w:color="auto" w:themeFill="background1" w:themeFillTint="FF" w:themeFillShade="D9"/>
            <w:vAlign w:val="top"/>
          </w:tcPr>
          <w:p>
            <w:pPr>
              <w:pStyle w:val="0"/>
              <w:adjustRightInd w:val="0"/>
              <w:jc w:val="center"/>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情　報　収　集　項　目</w:t>
            </w:r>
          </w:p>
        </w:tc>
        <w:tc>
          <w:tcPr>
            <w:tcW w:w="1985" w:type="dxa"/>
            <w:shd w:val="clear" w:color="auto" w:themeFill="background1" w:themeFillTint="FF" w:themeFillShade="D9"/>
            <w:vAlign w:val="top"/>
          </w:tcPr>
          <w:p>
            <w:pPr>
              <w:pStyle w:val="0"/>
              <w:adjustRightInd w:val="0"/>
              <w:jc w:val="center"/>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目　的</w:t>
            </w:r>
          </w:p>
        </w:tc>
      </w:tr>
      <w:tr>
        <w:trPr>
          <w:trHeight w:val="1134" w:hRule="atLeast"/>
        </w:trPr>
        <w:tc>
          <w:tcPr>
            <w:tcW w:w="2417" w:type="dxa"/>
            <w:vAlign w:val="center"/>
          </w:tcPr>
          <w:p>
            <w:pPr>
              <w:pStyle w:val="0"/>
              <w:adjustRightInd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災害廃棄物の発生状況</w:t>
            </w:r>
          </w:p>
        </w:tc>
        <w:tc>
          <w:tcPr>
            <w:tcW w:w="4104" w:type="dxa"/>
            <w:vAlign w:val="center"/>
          </w:tcPr>
          <w:p>
            <w:pPr>
              <w:pStyle w:val="0"/>
              <w:adjustRightInd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・災害廃棄物の種類と量</w:t>
            </w:r>
          </w:p>
          <w:p>
            <w:pPr>
              <w:pStyle w:val="0"/>
              <w:adjustRightInd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・必要な支援</w:t>
            </w:r>
          </w:p>
        </w:tc>
        <w:tc>
          <w:tcPr>
            <w:tcW w:w="1985" w:type="dxa"/>
            <w:vMerge w:val="restart"/>
            <w:vAlign w:val="center"/>
          </w:tcPr>
          <w:p>
            <w:pPr>
              <w:pStyle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迅速な処理体制の構築支援</w:t>
            </w:r>
          </w:p>
        </w:tc>
      </w:tr>
      <w:tr>
        <w:trPr>
          <w:trHeight w:val="1134" w:hRule="atLeast"/>
        </w:trPr>
        <w:tc>
          <w:tcPr>
            <w:tcW w:w="2417" w:type="dxa"/>
            <w:vAlign w:val="center"/>
          </w:tcPr>
          <w:p>
            <w:pPr>
              <w:pStyle w:val="0"/>
              <w:adjustRightInd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廃棄物処理施設の</w:t>
            </w:r>
          </w:p>
          <w:p>
            <w:pPr>
              <w:pStyle w:val="0"/>
              <w:adjustRightInd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被災状況</w:t>
            </w:r>
          </w:p>
        </w:tc>
        <w:tc>
          <w:tcPr>
            <w:tcW w:w="4104" w:type="dxa"/>
            <w:vAlign w:val="center"/>
          </w:tcPr>
          <w:p>
            <w:pPr>
              <w:pStyle w:val="0"/>
              <w:adjustRightInd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・被災状況</w:t>
            </w:r>
          </w:p>
          <w:p>
            <w:pPr>
              <w:pStyle w:val="0"/>
              <w:adjustRightInd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・復旧見通し</w:t>
            </w:r>
          </w:p>
          <w:p>
            <w:pPr>
              <w:pStyle w:val="0"/>
              <w:adjustRightInd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・必要な支援</w:t>
            </w:r>
          </w:p>
        </w:tc>
        <w:tc>
          <w:tcPr>
            <w:tcW w:w="1985" w:type="dxa"/>
            <w:vMerge w:val="continue"/>
            <w:vAlign w:val="center"/>
          </w:tcPr>
          <w:p>
            <w:pPr>
              <w:pStyle w:val="0"/>
              <w:rPr>
                <w:rFonts w:hint="eastAsia"/>
              </w:rPr>
            </w:pPr>
          </w:p>
        </w:tc>
      </w:tr>
      <w:tr>
        <w:trPr>
          <w:trHeight w:val="1134" w:hRule="atLeast"/>
        </w:trPr>
        <w:tc>
          <w:tcPr>
            <w:tcW w:w="2417" w:type="dxa"/>
            <w:vAlign w:val="center"/>
          </w:tcPr>
          <w:p>
            <w:pPr>
              <w:pStyle w:val="0"/>
              <w:adjustRightInd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仮置場整備状況</w:t>
            </w:r>
          </w:p>
        </w:tc>
        <w:tc>
          <w:tcPr>
            <w:tcW w:w="4104" w:type="dxa"/>
            <w:vAlign w:val="center"/>
          </w:tcPr>
          <w:p>
            <w:pPr>
              <w:pStyle w:val="0"/>
              <w:adjustRightInd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・仮置場の位置と規模</w:t>
            </w:r>
          </w:p>
          <w:p>
            <w:pPr>
              <w:pStyle w:val="0"/>
              <w:adjustRightInd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・必要資材の調達状況</w:t>
            </w:r>
          </w:p>
          <w:p>
            <w:pPr>
              <w:pStyle w:val="0"/>
              <w:adjustRightInd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・運営体制の確保に必要な支援</w:t>
            </w:r>
          </w:p>
        </w:tc>
        <w:tc>
          <w:tcPr>
            <w:tcW w:w="1985" w:type="dxa"/>
            <w:vMerge w:val="continue"/>
            <w:vAlign w:val="center"/>
          </w:tcPr>
          <w:p>
            <w:pPr>
              <w:pStyle w:val="0"/>
              <w:rPr>
                <w:rFonts w:hint="eastAsia"/>
              </w:rPr>
            </w:pPr>
          </w:p>
        </w:tc>
      </w:tr>
      <w:tr>
        <w:trPr>
          <w:trHeight w:val="1134" w:hRule="atLeast"/>
        </w:trPr>
        <w:tc>
          <w:tcPr>
            <w:tcW w:w="2417" w:type="dxa"/>
            <w:vAlign w:val="center"/>
          </w:tcPr>
          <w:p>
            <w:pPr>
              <w:pStyle w:val="0"/>
              <w:adjustRightInd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腐敗性廃棄物・有害廃棄物の発生状況</w:t>
            </w:r>
          </w:p>
        </w:tc>
        <w:tc>
          <w:tcPr>
            <w:tcW w:w="4104" w:type="dxa"/>
            <w:vAlign w:val="center"/>
          </w:tcPr>
          <w:p>
            <w:pPr>
              <w:pStyle w:val="0"/>
              <w:adjustRightInd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・腐敗性廃棄物の種類と量及び処理状況</w:t>
            </w:r>
          </w:p>
          <w:p>
            <w:pPr>
              <w:pStyle w:val="0"/>
              <w:adjustRightInd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・有害廃棄物の種類と量及び拡散状況</w:t>
            </w:r>
          </w:p>
        </w:tc>
        <w:tc>
          <w:tcPr>
            <w:tcW w:w="1985" w:type="dxa"/>
            <w:vAlign w:val="center"/>
          </w:tcPr>
          <w:p>
            <w:pPr>
              <w:pStyle w:val="0"/>
              <w:spacing w:line="276" w:lineRule="auto"/>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生活環境の迅速な保全に向けた支援</w:t>
            </w:r>
          </w:p>
        </w:tc>
      </w:tr>
    </w:tbl>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3"/>
        <w:ind w:left="0" w:leftChars="0"/>
        <w:rPr>
          <w:rFonts w:hint="default" w:ascii="ＭＳ ゴシック" w:hAnsi="ＭＳ ゴシック" w:eastAsia="ＭＳ ゴシック"/>
        </w:rPr>
      </w:pPr>
      <w:bookmarkStart w:id="21" w:name="_Toc60838750"/>
      <w:r>
        <w:rPr>
          <w:rFonts w:hint="eastAsia" w:ascii="ＭＳ ゴシック" w:hAnsi="ＭＳ ゴシック" w:eastAsia="ＭＳ ゴシック"/>
        </w:rPr>
        <w:t>（３）国、近隣他都道府県等との連絡</w:t>
      </w:r>
      <w:bookmarkEnd w:id="21"/>
    </w:p>
    <w:p>
      <w:pPr>
        <w:pStyle w:val="0"/>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災害廃棄物処理に係る広域的な相互協力体制（例）を図５に示す。</w:t>
      </w:r>
    </w:p>
    <w:p>
      <w:pPr>
        <w:pStyle w:val="0"/>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広域的な相互協力体制を確立するために、県を通して国（環境省、九州地方環境事務所）や支援都道府県の担当課との連絡体制を整備し、被災状況に応じた支援を要請できるよう、定期的に連絡調整や報告を行う。</w:t>
      </w:r>
    </w:p>
    <w:p>
      <w:pPr>
        <w:pStyle w:val="0"/>
        <w:spacing w:line="276" w:lineRule="auto"/>
        <w:ind w:leftChars="0" w:firstLine="0" w:firstLineChars="0"/>
        <w:rPr>
          <w:rFonts w:hint="default" w:ascii="ＭＳ 明朝" w:hAnsi="ＭＳ 明朝" w:eastAsia="ＭＳ 明朝"/>
          <w:sz w:val="21"/>
        </w:rPr>
      </w:pPr>
    </w:p>
    <w:p>
      <w:pPr>
        <w:pStyle w:val="0"/>
        <w:rPr>
          <w:rFonts w:hint="default"/>
        </w:rPr>
      </w:pPr>
      <w:bookmarkStart w:id="22" w:name="_Hlk19113054"/>
      <w:r>
        <w:rPr>
          <w:rFonts w:hint="default"/>
        </w:rPr>
        <mc:AlternateContent>
          <mc:Choice Requires="wpg">
            <w:drawing>
              <wp:anchor distT="0" distB="0" distL="114300" distR="114300" simplePos="0" relativeHeight="4" behindDoc="0" locked="0" layoutInCell="1" hidden="0" allowOverlap="1">
                <wp:simplePos x="0" y="0"/>
                <wp:positionH relativeFrom="column">
                  <wp:posOffset>18415</wp:posOffset>
                </wp:positionH>
                <wp:positionV relativeFrom="paragraph">
                  <wp:posOffset>16510</wp:posOffset>
                </wp:positionV>
                <wp:extent cx="5374640" cy="3682365"/>
                <wp:effectExtent l="635" t="635" r="28575" b="635"/>
                <wp:wrapNone/>
                <wp:docPr id="1050" name="グループ化 3034"/>
                <a:graphic xmlns:a="http://schemas.openxmlformats.org/drawingml/2006/main">
                  <a:graphicData uri="http://schemas.microsoft.com/office/word/2010/wordprocessingGroup">
                    <wpg:wgp>
                      <wpg:cNvGrpSpPr/>
                      <wpg:grpSpPr>
                        <a:xfrm>
                          <a:off x="0" y="0"/>
                          <a:ext cx="5374640" cy="3682365"/>
                          <a:chOff x="0" y="0"/>
                          <a:chExt cx="5374772" cy="3682844"/>
                        </a:xfrm>
                      </wpg:grpSpPr>
                      <wps:wsp>
                        <wps:cNvPr id="1051" name="AutoShape 18"/>
                        <wps:cNvSpPr>
                          <a:spLocks noChangeArrowheads="1"/>
                        </wps:cNvSpPr>
                        <wps:spPr>
                          <a:xfrm>
                            <a:off x="2967487" y="966158"/>
                            <a:ext cx="2407285" cy="2701290"/>
                          </a:xfrm>
                          <a:prstGeom prst="roundRect">
                            <a:avLst>
                              <a:gd name="adj" fmla="val 4074"/>
                            </a:avLst>
                          </a:prstGeom>
                          <a:solidFill>
                            <a:schemeClr val="bg1">
                              <a:lumMod val="85000"/>
                            </a:schemeClr>
                          </a:solidFill>
                          <a:ln>
                            <a:noFill/>
                          </a:ln>
                        </wps:spPr>
                        <wps:bodyPr/>
                      </wps:wsp>
                      <wps:wsp>
                        <wps:cNvPr id="1052" name="AutoShape 18"/>
                        <wps:cNvSpPr>
                          <a:spLocks noChangeArrowheads="1"/>
                        </wps:cNvSpPr>
                        <wps:spPr>
                          <a:xfrm>
                            <a:off x="43132" y="966158"/>
                            <a:ext cx="2742565" cy="2701290"/>
                          </a:xfrm>
                          <a:prstGeom prst="roundRect">
                            <a:avLst>
                              <a:gd name="adj" fmla="val 4074"/>
                            </a:avLst>
                          </a:prstGeom>
                          <a:noFill/>
                          <a:ln w="9525">
                            <a:solidFill>
                              <a:srgbClr val="000000"/>
                            </a:solidFill>
                            <a:round/>
                            <a:headEnd/>
                            <a:tailEnd/>
                          </a:ln>
                        </wps:spPr>
                        <wps:bodyPr/>
                      </wps:wsp>
                      <wps:wsp>
                        <wps:cNvPr id="1053" name="Text Box 11"/>
                        <wps:cNvSpPr txBox="1">
                          <a:spLocks noChangeArrowheads="1"/>
                        </wps:cNvSpPr>
                        <wps:spPr>
                          <a:xfrm>
                            <a:off x="0" y="0"/>
                            <a:ext cx="5373502" cy="228630"/>
                          </a:xfrm>
                          <a:prstGeom prst="rect">
                            <a:avLst/>
                          </a:prstGeom>
                          <a:noFill/>
                          <a:ln w="9525">
                            <a:solidFill>
                              <a:srgbClr val="000000"/>
                            </a:solidFill>
                            <a:miter lim="800000"/>
                            <a:headEnd/>
                            <a:tailEnd/>
                          </a:ln>
                        </wps:spPr>
                        <wps:txbx>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国（環境省）</w:t>
                              </w:r>
                            </w:p>
                          </w:txbxContent>
                        </wps:txbx>
                        <wps:bodyPr rot="0" vertOverflow="overflow" horzOverflow="overflow" wrap="square" lIns="74295" tIns="8890" rIns="74295" bIns="8890" anchor="ctr" anchorCtr="0" upright="1"/>
                      </wps:wsp>
                      <wps:wsp>
                        <wps:cNvPr id="1054" name="Text Box 11"/>
                        <wps:cNvSpPr txBox="1">
                          <a:spLocks noChangeArrowheads="1"/>
                        </wps:cNvSpPr>
                        <wps:spPr>
                          <a:xfrm>
                            <a:off x="232913" y="1035169"/>
                            <a:ext cx="2388294" cy="228630"/>
                          </a:xfrm>
                          <a:prstGeom prst="rect">
                            <a:avLst/>
                          </a:prstGeom>
                          <a:noFill/>
                          <a:ln w="9525">
                            <a:solidFill>
                              <a:srgbClr val="000000"/>
                            </a:solidFill>
                            <a:miter lim="800000"/>
                            <a:headEnd/>
                            <a:tailEnd/>
                          </a:ln>
                        </wps:spPr>
                        <wps:txbx>
                          <w:txbxContent>
                            <w:p>
                              <w:pPr>
                                <w:pStyle w:val="0"/>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沖縄県</w:t>
                              </w:r>
                            </w:p>
                          </w:txbxContent>
                        </wps:txbx>
                        <wps:bodyPr rot="0" vertOverflow="overflow" horzOverflow="overflow" wrap="square" lIns="74295" tIns="8890" rIns="74295" bIns="8890" anchor="ctr" anchorCtr="0" upright="1"/>
                      </wps:wsp>
                      <wps:wsp>
                        <wps:cNvPr id="1055" name="Text Box 11"/>
                        <wps:cNvSpPr txBox="1">
                          <a:spLocks noChangeArrowheads="1"/>
                        </wps:cNvSpPr>
                        <wps:spPr>
                          <a:xfrm>
                            <a:off x="3088256" y="1043796"/>
                            <a:ext cx="2131747" cy="228630"/>
                          </a:xfrm>
                          <a:prstGeom prst="rect">
                            <a:avLst/>
                          </a:prstGeom>
                          <a:noFill/>
                          <a:ln w="9525">
                            <a:solidFill>
                              <a:srgbClr val="000000"/>
                            </a:solidFill>
                            <a:miter lim="800000"/>
                            <a:headEnd/>
                            <a:tailEnd/>
                          </a:ln>
                        </wps:spPr>
                        <wps:txbx>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支援都道府県</w:t>
                              </w:r>
                            </w:p>
                          </w:txbxContent>
                        </wps:txbx>
                        <wps:bodyPr rot="0" vertOverflow="overflow" horzOverflow="overflow" wrap="square" lIns="74295" tIns="8890" rIns="74295" bIns="8890" anchor="ctr" anchorCtr="0" upright="1"/>
                      </wps:wsp>
                      <wps:wsp>
                        <wps:cNvPr id="1056" name="Text Box 11"/>
                        <wps:cNvSpPr txBox="1">
                          <a:spLocks noChangeArrowheads="1"/>
                        </wps:cNvSpPr>
                        <wps:spPr>
                          <a:xfrm>
                            <a:off x="86230" y="1828166"/>
                            <a:ext cx="1094767" cy="454084"/>
                          </a:xfrm>
                          <a:prstGeom prst="rect">
                            <a:avLst/>
                          </a:prstGeom>
                          <a:noFill/>
                          <a:ln w="9525">
                            <a:solidFill>
                              <a:srgbClr val="000000"/>
                            </a:solidFill>
                            <a:miter lim="800000"/>
                            <a:headEnd/>
                            <a:tailEnd/>
                          </a:ln>
                        </wps:spPr>
                        <wps:txbx>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廃棄物事業者団体</w:t>
                              </w:r>
                            </w:p>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建設事業者団体等</w:t>
                              </w:r>
                            </w:p>
                          </w:txbxContent>
                        </wps:txbx>
                        <wps:bodyPr rot="0" vertOverflow="overflow" horzOverflow="overflow" wrap="square" lIns="74295" tIns="8890" rIns="74295" bIns="8890" anchor="ctr" anchorCtr="0" upright="1"/>
                      </wps:wsp>
                      <wps:wsp>
                        <wps:cNvPr id="1057" name="Text Box 11"/>
                        <wps:cNvSpPr txBox="1">
                          <a:spLocks noChangeArrowheads="1"/>
                        </wps:cNvSpPr>
                        <wps:spPr>
                          <a:xfrm>
                            <a:off x="4080294" y="1837426"/>
                            <a:ext cx="1137313" cy="454084"/>
                          </a:xfrm>
                          <a:prstGeom prst="rect">
                            <a:avLst/>
                          </a:prstGeom>
                          <a:noFill/>
                          <a:ln w="9525">
                            <a:solidFill>
                              <a:srgbClr val="000000"/>
                            </a:solidFill>
                            <a:miter lim="800000"/>
                            <a:headEnd/>
                            <a:tailEnd/>
                          </a:ln>
                        </wps:spPr>
                        <wps:txbx>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廃棄物事業者団体</w:t>
                              </w:r>
                            </w:p>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建設事業者団体</w:t>
                              </w:r>
                              <w:r>
                                <w:rPr>
                                  <w:rFonts w:hint="eastAsia" w:ascii="HG丸ｺﾞｼｯｸM-PRO" w:hAnsi="HG丸ｺﾞｼｯｸM-PRO" w:eastAsia="HG丸ｺﾞｼｯｸM-PRO"/>
                                  <w:sz w:val="18"/>
                                </w:rPr>
                                <w:t xml:space="preserve"> </w:t>
                              </w:r>
                              <w:r>
                                <w:rPr>
                                  <w:rFonts w:hint="eastAsia" w:ascii="HG丸ｺﾞｼｯｸM-PRO" w:hAnsi="HG丸ｺﾞｼｯｸM-PRO" w:eastAsia="HG丸ｺﾞｼｯｸM-PRO"/>
                                  <w:sz w:val="18"/>
                                </w:rPr>
                                <w:t>等</w:t>
                              </w:r>
                            </w:p>
                          </w:txbxContent>
                        </wps:txbx>
                        <wps:bodyPr rot="0" vertOverflow="overflow" horzOverflow="overflow" wrap="square" lIns="74295" tIns="8890" rIns="74295" bIns="8890" anchor="ctr" anchorCtr="0" upright="1"/>
                      </wps:wsp>
                      <wps:wsp>
                        <wps:cNvPr id="1058" name="Text Box 11"/>
                        <wps:cNvSpPr txBox="1">
                          <a:spLocks noChangeArrowheads="1"/>
                        </wps:cNvSpPr>
                        <wps:spPr>
                          <a:xfrm>
                            <a:off x="3156028" y="1949569"/>
                            <a:ext cx="857271" cy="260384"/>
                          </a:xfrm>
                          <a:prstGeom prst="rect">
                            <a:avLst/>
                          </a:prstGeom>
                          <a:noFill/>
                          <a:ln w="9525">
                            <a:solidFill>
                              <a:srgbClr val="000000"/>
                            </a:solidFill>
                            <a:miter lim="800000"/>
                            <a:headEnd/>
                            <a:tailEnd/>
                          </a:ln>
                        </wps:spPr>
                        <wps:txbx>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支援市町村</w:t>
                              </w:r>
                            </w:p>
                          </w:txbxContent>
                        </wps:txbx>
                        <wps:bodyPr rot="0" vertOverflow="overflow" horzOverflow="overflow" wrap="square" lIns="74295" tIns="8890" rIns="74295" bIns="8890" anchor="ctr" anchorCtr="0" upright="1"/>
                      </wps:wsp>
                      <wps:wsp>
                        <wps:cNvPr id="1059" name="AutoShape 18"/>
                        <wps:cNvSpPr>
                          <a:spLocks noChangeArrowheads="1"/>
                        </wps:cNvSpPr>
                        <wps:spPr>
                          <a:xfrm>
                            <a:off x="146649" y="327803"/>
                            <a:ext cx="5144770" cy="1049655"/>
                          </a:xfrm>
                          <a:prstGeom prst="roundRect">
                            <a:avLst>
                              <a:gd name="adj" fmla="val 4074"/>
                            </a:avLst>
                          </a:prstGeom>
                          <a:noFill/>
                          <a:ln w="9525">
                            <a:solidFill>
                              <a:srgbClr val="000000"/>
                            </a:solidFill>
                            <a:round/>
                            <a:headEnd/>
                            <a:tailEnd/>
                          </a:ln>
                        </wps:spPr>
                        <wps:bodyPr/>
                      </wps:wsp>
                      <wps:wsp>
                        <wps:cNvPr id="1060" name="Text Box 11"/>
                        <wps:cNvSpPr txBox="1">
                          <a:spLocks noChangeArrowheads="1"/>
                        </wps:cNvSpPr>
                        <wps:spPr>
                          <a:xfrm>
                            <a:off x="1390684" y="1940943"/>
                            <a:ext cx="1041426" cy="199416"/>
                          </a:xfrm>
                          <a:prstGeom prst="rect">
                            <a:avLst/>
                          </a:prstGeom>
                          <a:noFill/>
                          <a:ln w="19050">
                            <a:solidFill>
                              <a:schemeClr val="tx1"/>
                            </a:solidFill>
                            <a:miter lim="800000"/>
                            <a:headEnd/>
                            <a:tailEnd/>
                          </a:ln>
                        </wps:spPr>
                        <wps:txbx>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南風原町</w:t>
                              </w:r>
                            </w:p>
                          </w:txbxContent>
                        </wps:txbx>
                        <wps:bodyPr rot="0" vertOverflow="overflow" horzOverflow="overflow" wrap="square" lIns="74295" tIns="8890" rIns="74295" bIns="8890" anchor="t" anchorCtr="0" upright="1"/>
                      </wps:wsp>
                      <wps:wsp>
                        <wps:cNvPr id="1061" name="Text Box 11"/>
                        <wps:cNvSpPr txBox="1">
                          <a:spLocks noChangeArrowheads="1"/>
                        </wps:cNvSpPr>
                        <wps:spPr>
                          <a:xfrm>
                            <a:off x="232913" y="2743200"/>
                            <a:ext cx="1137313" cy="454084"/>
                          </a:xfrm>
                          <a:prstGeom prst="rect">
                            <a:avLst/>
                          </a:prstGeom>
                          <a:noFill/>
                          <a:ln w="9525">
                            <a:solidFill>
                              <a:srgbClr val="000000"/>
                            </a:solidFill>
                            <a:miter lim="800000"/>
                            <a:headEnd/>
                            <a:tailEnd/>
                          </a:ln>
                        </wps:spPr>
                        <wps:txbx>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廃棄物事業者</w:t>
                              </w:r>
                            </w:p>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建設事業者</w:t>
                              </w:r>
                              <w:r>
                                <w:rPr>
                                  <w:rFonts w:hint="eastAsia" w:ascii="HG丸ｺﾞｼｯｸM-PRO" w:hAnsi="HG丸ｺﾞｼｯｸM-PRO" w:eastAsia="HG丸ｺﾞｼｯｸM-PRO"/>
                                  <w:sz w:val="18"/>
                                </w:rPr>
                                <w:t xml:space="preserve"> </w:t>
                              </w:r>
                              <w:r>
                                <w:rPr>
                                  <w:rFonts w:hint="eastAsia" w:ascii="HG丸ｺﾞｼｯｸM-PRO" w:hAnsi="HG丸ｺﾞｼｯｸM-PRO" w:eastAsia="HG丸ｺﾞｼｯｸM-PRO"/>
                                  <w:sz w:val="18"/>
                                </w:rPr>
                                <w:t>等</w:t>
                              </w:r>
                            </w:p>
                          </w:txbxContent>
                        </wps:txbx>
                        <wps:bodyPr rot="0" vertOverflow="overflow" horzOverflow="overflow" wrap="square" lIns="74295" tIns="8890" rIns="74295" bIns="8890" anchor="ctr" anchorCtr="0" upright="1"/>
                      </wps:wsp>
                      <wps:wsp>
                        <wps:cNvPr id="1062" name="Text Box 11"/>
                        <wps:cNvSpPr txBox="1">
                          <a:spLocks noChangeArrowheads="1"/>
                        </wps:cNvSpPr>
                        <wps:spPr>
                          <a:xfrm>
                            <a:off x="1483743" y="2751826"/>
                            <a:ext cx="1138583" cy="452179"/>
                          </a:xfrm>
                          <a:prstGeom prst="rect">
                            <a:avLst/>
                          </a:prstGeom>
                          <a:noFill/>
                          <a:ln w="9525">
                            <a:solidFill>
                              <a:srgbClr val="000000"/>
                            </a:solidFill>
                            <a:miter lim="800000"/>
                            <a:headEnd/>
                            <a:tailEnd/>
                          </a:ln>
                        </wps:spPr>
                        <wps:txbx>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被災していない</w:t>
                              </w:r>
                            </w:p>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沖縄県内の市町村</w:t>
                              </w:r>
                            </w:p>
                          </w:txbxContent>
                        </wps:txbx>
                        <wps:bodyPr rot="0" vertOverflow="overflow" horzOverflow="overflow" wrap="square" lIns="36000" tIns="8890" rIns="36000" bIns="8890" anchor="ctr" anchorCtr="0" upright="1"/>
                      </wps:wsp>
                      <wps:wsp>
                        <wps:cNvPr id="1063" name="Text Box 11"/>
                        <wps:cNvSpPr txBox="1">
                          <a:spLocks noChangeArrowheads="1"/>
                        </wps:cNvSpPr>
                        <wps:spPr>
                          <a:xfrm>
                            <a:off x="4080294" y="2743200"/>
                            <a:ext cx="1137313" cy="454084"/>
                          </a:xfrm>
                          <a:prstGeom prst="rect">
                            <a:avLst/>
                          </a:prstGeom>
                          <a:noFill/>
                          <a:ln w="9525">
                            <a:solidFill>
                              <a:srgbClr val="000000"/>
                            </a:solidFill>
                            <a:miter lim="800000"/>
                            <a:headEnd/>
                            <a:tailEnd/>
                          </a:ln>
                        </wps:spPr>
                        <wps:txbx>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廃棄物事業者</w:t>
                              </w:r>
                            </w:p>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建設事業者</w:t>
                              </w:r>
                              <w:r>
                                <w:rPr>
                                  <w:rFonts w:hint="eastAsia" w:ascii="HG丸ｺﾞｼｯｸM-PRO" w:hAnsi="HG丸ｺﾞｼｯｸM-PRO" w:eastAsia="HG丸ｺﾞｼｯｸM-PRO"/>
                                  <w:sz w:val="18"/>
                                </w:rPr>
                                <w:t xml:space="preserve"> </w:t>
                              </w:r>
                              <w:r>
                                <w:rPr>
                                  <w:rFonts w:hint="eastAsia" w:ascii="HG丸ｺﾞｼｯｸM-PRO" w:hAnsi="HG丸ｺﾞｼｯｸM-PRO" w:eastAsia="HG丸ｺﾞｼｯｸM-PRO"/>
                                  <w:sz w:val="18"/>
                                </w:rPr>
                                <w:t>等</w:t>
                              </w:r>
                            </w:p>
                          </w:txbxContent>
                        </wps:txbx>
                        <wps:bodyPr rot="0" vertOverflow="overflow" horzOverflow="overflow" wrap="square" lIns="74295" tIns="8890" rIns="74295" bIns="8890" anchor="ctr" anchorCtr="0" upright="1"/>
                      </wps:wsp>
                      <wps:wsp>
                        <wps:cNvPr id="1064" name="Text Box 11"/>
                        <wps:cNvSpPr txBox="1">
                          <a:spLocks noChangeArrowheads="1"/>
                        </wps:cNvSpPr>
                        <wps:spPr>
                          <a:xfrm>
                            <a:off x="112143" y="405441"/>
                            <a:ext cx="1248441" cy="570939"/>
                          </a:xfrm>
                          <a:prstGeom prst="rect">
                            <a:avLst/>
                          </a:prstGeom>
                          <a:noFill/>
                          <a:ln>
                            <a:noFill/>
                          </a:ln>
                        </wps:spPr>
                        <wps:txbx>
                          <w:txbxContent>
                            <w:p>
                              <w:pPr>
                                <w:pStyle w:val="0"/>
                                <w:spacing w:line="1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①都道府県間の</w:t>
                              </w:r>
                            </w:p>
                            <w:p>
                              <w:pPr>
                                <w:pStyle w:val="0"/>
                                <w:spacing w:line="1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相互協力体制</w:t>
                              </w:r>
                            </w:p>
                            <w:p>
                              <w:pPr>
                                <w:pStyle w:val="0"/>
                                <w:spacing w:line="1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（都道府県・市町村間による相互協力体制）</w:t>
                              </w:r>
                            </w:p>
                          </w:txbxContent>
                        </wps:txbx>
                        <wps:bodyPr rot="0" vertOverflow="overflow" horzOverflow="overflow" wrap="square" lIns="36000" tIns="8890" rIns="36000" bIns="8890" anchor="ctr" anchorCtr="0" upright="1"/>
                      </wps:wsp>
                      <wps:wsp>
                        <wps:cNvPr id="1065" name="Text Box 11"/>
                        <wps:cNvSpPr txBox="1">
                          <a:spLocks noChangeArrowheads="1"/>
                        </wps:cNvSpPr>
                        <wps:spPr>
                          <a:xfrm>
                            <a:off x="1224951" y="422694"/>
                            <a:ext cx="946173" cy="456624"/>
                          </a:xfrm>
                          <a:prstGeom prst="rect">
                            <a:avLst/>
                          </a:prstGeom>
                          <a:noFill/>
                          <a:ln>
                            <a:noFill/>
                          </a:ln>
                        </wps:spPr>
                        <wps:txbx>
                          <w:txbxContent>
                            <w:p>
                              <w:pPr>
                                <w:pStyle w:val="0"/>
                                <w:spacing w:line="22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情報収集</w:t>
                              </w:r>
                            </w:p>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指導・助言</w:t>
                              </w:r>
                            </w:p>
                          </w:txbxContent>
                        </wps:txbx>
                        <wps:bodyPr rot="0" vertOverflow="overflow" horzOverflow="overflow" wrap="square" lIns="74295" tIns="8890" rIns="74295" bIns="8890" anchor="ctr" anchorCtr="0" upright="1"/>
                      </wps:wsp>
                      <wps:wsp>
                        <wps:cNvPr id="1066" name="Text Box 11"/>
                        <wps:cNvSpPr txBox="1">
                          <a:spLocks noChangeArrowheads="1"/>
                        </wps:cNvSpPr>
                        <wps:spPr>
                          <a:xfrm>
                            <a:off x="3916392" y="483079"/>
                            <a:ext cx="800755" cy="456624"/>
                          </a:xfrm>
                          <a:prstGeom prst="rect">
                            <a:avLst/>
                          </a:prstGeom>
                          <a:noFill/>
                          <a:ln>
                            <a:noFill/>
                          </a:ln>
                        </wps:spPr>
                        <wps:txbx>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連絡調整</w:t>
                              </w:r>
                            </w:p>
                          </w:txbxContent>
                        </wps:txbx>
                        <wps:bodyPr rot="0" vertOverflow="overflow" horzOverflow="overflow" wrap="square" lIns="74295" tIns="8890" rIns="74295" bIns="8890" anchor="ctr" anchorCtr="0" upright="1"/>
                      </wps:wsp>
                      <wps:wsp>
                        <wps:cNvPr id="1067" name="Text Box 11"/>
                        <wps:cNvSpPr txBox="1">
                          <a:spLocks noChangeArrowheads="1"/>
                        </wps:cNvSpPr>
                        <wps:spPr>
                          <a:xfrm>
                            <a:off x="2208362" y="483079"/>
                            <a:ext cx="463561" cy="229265"/>
                          </a:xfrm>
                          <a:prstGeom prst="rect">
                            <a:avLst/>
                          </a:prstGeom>
                          <a:noFill/>
                          <a:ln>
                            <a:noFill/>
                          </a:ln>
                        </wps:spPr>
                        <wps:txbx>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報告</w:t>
                              </w:r>
                            </w:p>
                          </w:txbxContent>
                        </wps:txbx>
                        <wps:bodyPr rot="0" vertOverflow="overflow" horzOverflow="overflow" wrap="square" lIns="74295" tIns="8890" rIns="74295" bIns="8890" anchor="ctr" anchorCtr="0" upright="1"/>
                      </wps:wsp>
                      <wps:wsp>
                        <wps:cNvPr id="1068" name="Text Box 11"/>
                        <wps:cNvSpPr txBox="1">
                          <a:spLocks noChangeArrowheads="1"/>
                        </wps:cNvSpPr>
                        <wps:spPr>
                          <a:xfrm>
                            <a:off x="1026543" y="1371600"/>
                            <a:ext cx="946173" cy="456624"/>
                          </a:xfrm>
                          <a:prstGeom prst="rect">
                            <a:avLst/>
                          </a:prstGeom>
                          <a:noFill/>
                          <a:ln>
                            <a:noFill/>
                          </a:ln>
                        </wps:spPr>
                        <wps:txbx>
                          <w:txbxContent>
                            <w:p>
                              <w:pPr>
                                <w:pStyle w:val="0"/>
                                <w:spacing w:line="22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情報収集</w:t>
                              </w:r>
                            </w:p>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指導・助言</w:t>
                              </w:r>
                            </w:p>
                          </w:txbxContent>
                        </wps:txbx>
                        <wps:bodyPr rot="0" vertOverflow="overflow" horzOverflow="overflow" wrap="square" lIns="74295" tIns="8890" rIns="74295" bIns="8890" anchor="ctr" anchorCtr="0" upright="1"/>
                      </wps:wsp>
                      <wps:wsp>
                        <wps:cNvPr id="1069" name="Text Box 11"/>
                        <wps:cNvSpPr txBox="1">
                          <a:spLocks noChangeArrowheads="1"/>
                        </wps:cNvSpPr>
                        <wps:spPr>
                          <a:xfrm>
                            <a:off x="138022" y="1449237"/>
                            <a:ext cx="683277" cy="299759"/>
                          </a:xfrm>
                          <a:prstGeom prst="rect">
                            <a:avLst/>
                          </a:prstGeom>
                          <a:noFill/>
                          <a:ln>
                            <a:noFill/>
                          </a:ln>
                        </wps:spPr>
                        <wps:txbx>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連絡調整</w:t>
                              </w:r>
                            </w:p>
                          </w:txbxContent>
                        </wps:txbx>
                        <wps:bodyPr rot="0" vertOverflow="overflow" horzOverflow="overflow" wrap="square" lIns="74295" tIns="8890" rIns="74295" bIns="8890" anchor="ctr" anchorCtr="0" upright="1"/>
                      </wps:wsp>
                      <wps:wsp>
                        <wps:cNvPr id="1070" name="Text Box 11"/>
                        <wps:cNvSpPr txBox="1">
                          <a:spLocks noChangeArrowheads="1"/>
                        </wps:cNvSpPr>
                        <wps:spPr>
                          <a:xfrm>
                            <a:off x="1992702" y="1509622"/>
                            <a:ext cx="463561" cy="229265"/>
                          </a:xfrm>
                          <a:prstGeom prst="rect">
                            <a:avLst/>
                          </a:prstGeom>
                          <a:noFill/>
                          <a:ln>
                            <a:noFill/>
                          </a:ln>
                        </wps:spPr>
                        <wps:txbx>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報告</w:t>
                              </w:r>
                            </w:p>
                          </w:txbxContent>
                        </wps:txbx>
                        <wps:bodyPr rot="0" vertOverflow="overflow" horzOverflow="overflow" wrap="square" lIns="74295" tIns="8890" rIns="74295" bIns="8890" anchor="ctr" anchorCtr="0" upright="1"/>
                      </wps:wsp>
                      <wps:wsp>
                        <wps:cNvPr id="1071" name="Text Box 11"/>
                        <wps:cNvSpPr txBox="1">
                          <a:spLocks noChangeArrowheads="1"/>
                        </wps:cNvSpPr>
                        <wps:spPr>
                          <a:xfrm>
                            <a:off x="1043796" y="2294626"/>
                            <a:ext cx="1098577" cy="456624"/>
                          </a:xfrm>
                          <a:prstGeom prst="rect">
                            <a:avLst/>
                          </a:prstGeom>
                          <a:noFill/>
                          <a:ln>
                            <a:noFill/>
                          </a:ln>
                        </wps:spPr>
                        <wps:txbx>
                          <w:txbxContent>
                            <w:p>
                              <w:pPr>
                                <w:pStyle w:val="0"/>
                                <w:spacing w:line="22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要請／支援</w:t>
                              </w:r>
                            </w:p>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（協定等による）</w:t>
                              </w:r>
                            </w:p>
                          </w:txbxContent>
                        </wps:txbx>
                        <wps:bodyPr rot="0" vertOverflow="overflow" horzOverflow="overflow" wrap="square" lIns="74295" tIns="8890" rIns="74295" bIns="8890" anchor="ctr" anchorCtr="0" upright="1"/>
                      </wps:wsp>
                      <wps:wsp>
                        <wps:cNvPr id="1072" name="Text Box 11"/>
                        <wps:cNvSpPr txBox="1">
                          <a:spLocks noChangeArrowheads="1"/>
                        </wps:cNvSpPr>
                        <wps:spPr>
                          <a:xfrm>
                            <a:off x="138022" y="2441275"/>
                            <a:ext cx="683277" cy="299759"/>
                          </a:xfrm>
                          <a:prstGeom prst="rect">
                            <a:avLst/>
                          </a:prstGeom>
                          <a:noFill/>
                          <a:ln>
                            <a:noFill/>
                          </a:ln>
                        </wps:spPr>
                        <wps:txbx>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連絡調整</w:t>
                              </w:r>
                            </w:p>
                          </w:txbxContent>
                        </wps:txbx>
                        <wps:bodyPr rot="0" vertOverflow="overflow" horzOverflow="overflow" wrap="square" lIns="74295" tIns="8890" rIns="74295" bIns="8890" anchor="ctr" anchorCtr="0" upright="1"/>
                      </wps:wsp>
                      <wps:wsp>
                        <wps:cNvPr id="1073" name="Text Box 11"/>
                        <wps:cNvSpPr txBox="1">
                          <a:spLocks noChangeArrowheads="1"/>
                        </wps:cNvSpPr>
                        <wps:spPr>
                          <a:xfrm>
                            <a:off x="2311879" y="681486"/>
                            <a:ext cx="1141123" cy="344850"/>
                          </a:xfrm>
                          <a:prstGeom prst="rect">
                            <a:avLst/>
                          </a:prstGeom>
                          <a:noFill/>
                          <a:ln>
                            <a:noFill/>
                          </a:ln>
                        </wps:spPr>
                        <wps:txbx>
                          <w:txbxContent>
                            <w:p>
                              <w:pPr>
                                <w:pStyle w:val="0"/>
                                <w:spacing w:line="1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連絡調整</w:t>
                              </w:r>
                            </w:p>
                            <w:p>
                              <w:pPr>
                                <w:pStyle w:val="0"/>
                                <w:spacing w:line="1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（協定等による）</w:t>
                              </w:r>
                            </w:p>
                          </w:txbxContent>
                        </wps:txbx>
                        <wps:bodyPr rot="0" vertOverflow="overflow" horzOverflow="overflow" wrap="square" lIns="74295" tIns="8890" rIns="74295" bIns="8890" anchor="ctr" anchorCtr="0" upright="1"/>
                      </wps:wsp>
                      <wps:wsp>
                        <wps:cNvPr id="1074" name="Text Box 11"/>
                        <wps:cNvSpPr txBox="1">
                          <a:spLocks noChangeArrowheads="1"/>
                        </wps:cNvSpPr>
                        <wps:spPr>
                          <a:xfrm>
                            <a:off x="258792" y="3226279"/>
                            <a:ext cx="1098577" cy="456624"/>
                          </a:xfrm>
                          <a:prstGeom prst="rect">
                            <a:avLst/>
                          </a:prstGeom>
                          <a:noFill/>
                          <a:ln>
                            <a:noFill/>
                          </a:ln>
                        </wps:spPr>
                        <wps:txbx>
                          <w:txbxContent>
                            <w:p>
                              <w:pPr>
                                <w:pStyle w:val="0"/>
                                <w:spacing w:line="240" w:lineRule="exact"/>
                                <w:ind w:left="180" w:hanging="180" w:hanging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③廃棄物関係団体との協力体制</w:t>
                              </w:r>
                            </w:p>
                          </w:txbxContent>
                        </wps:txbx>
                        <wps:bodyPr rot="0" vertOverflow="overflow" horzOverflow="overflow" wrap="square" lIns="74295" tIns="8890" rIns="74295" bIns="8890" anchor="ctr" anchorCtr="0" upright="1"/>
                      </wps:wsp>
                      <wps:wsp>
                        <wps:cNvPr id="1075" name="Text Box 11"/>
                        <wps:cNvSpPr txBox="1">
                          <a:spLocks noChangeArrowheads="1"/>
                        </wps:cNvSpPr>
                        <wps:spPr>
                          <a:xfrm>
                            <a:off x="1319841" y="3226279"/>
                            <a:ext cx="1453551" cy="456624"/>
                          </a:xfrm>
                          <a:prstGeom prst="rect">
                            <a:avLst/>
                          </a:prstGeom>
                          <a:noFill/>
                          <a:ln>
                            <a:noFill/>
                          </a:ln>
                        </wps:spPr>
                        <wps:txbx>
                          <w:txbxContent>
                            <w:p>
                              <w:pPr>
                                <w:pStyle w:val="0"/>
                                <w:spacing w:line="240" w:lineRule="exact"/>
                                <w:ind w:left="180" w:hanging="180" w:hanging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②沖縄県内の市町村における相互協力体制</w:t>
                              </w:r>
                            </w:p>
                          </w:txbxContent>
                        </wps:txbx>
                        <wps:bodyPr rot="0" vertOverflow="overflow" horzOverflow="overflow" wrap="square" lIns="74295" tIns="8890" rIns="74295" bIns="8890" anchor="ctr" anchorCtr="0" upright="1"/>
                      </wps:wsp>
                    </wpg:wgp>
                  </a:graphicData>
                </a:graphic>
              </wp:anchor>
            </w:drawing>
          </mc:Choice>
          <mc:Fallback>
            <w:pict>
              <v:group id="グループ化 3034" style="mso-wrap-distance-right:9pt;mso-wrap-distance-bottom:0pt;margin-top:1.3pt;mso-position-vertical-relative:text;mso-position-horizontal-relative:text;position:absolute;height:289.95pt;mso-wrap-distance-top:0pt;width:423.2pt;mso-wrap-distance-left:9pt;margin-left:1.45pt;z-index:4;" coordsize="5374772,3682844" coordorigin="0,0" o:spid="_x0000_s1050" o:allowincell="t" o:allowoverlap="t">
                <v:roundrect id="AutoShape 18" style="height:2701290;width:2407285;top:966158;left:2967487;position:absolute;" o:spid="_x0000_s1051" filled="t" fillcolor="#d9d9d9 [2732]" stroked="f" o:spt="2" arcsize="2670f">
                  <v:fill/>
                  <v:textbox style="layout-flow:horizontal;"/>
                  <v:imagedata o:title=""/>
                  <w10:wrap type="none" anchorx="text" anchory="text"/>
                </v:roundrect>
                <v:roundrect id="AutoShape 18" style="height:2701290;width:2742565;top:966158;left:43132;position:absolute;" o:spid="_x0000_s1052" filled="f" stroked="t" strokecolor="#000000" strokeweight="0.75pt" o:spt="2" arcsize="2670f">
                  <v:fill/>
                  <v:stroke filltype="solid"/>
                  <v:textbox style="layout-flow:horizontal;"/>
                  <v:imagedata o:title=""/>
                  <w10:wrap type="none" anchorx="text" anchory="text"/>
                </v:roundrect>
                <v:shapetype id="_x0000_t202" coordsize="21600,21600" o:spt="202" path="m,l,21600r21600,l21600,xe">
                  <v:stroke joinstyle="miter"/>
                  <v:path gradientshapeok="t" o:connecttype="rect"/>
                </v:shapetype>
                <v:shape id="Text Box 11" style="height:228630;width:5373502;top:0;left:0;v-text-anchor:middle;position:absolute;" o:spid="_x0000_s1053" filled="f" stroked="t" strokecolor="#000000" strokeweight="0.75pt" o:spt="202" type="#_x0000_t202">
                  <v:fill/>
                  <v:stroke miterlimit="8" filltype="solid"/>
                  <v:textbox style="layout-flow:horizontal;" inset="2.0637499999999998mm,0.24694444444444438mm,2.0637499999999998mm,0.24694444444444438mm">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国（環境省）</w:t>
                        </w:r>
                      </w:p>
                    </w:txbxContent>
                  </v:textbox>
                  <v:imagedata o:title=""/>
                  <w10:wrap type="none" anchorx="text" anchory="text"/>
                </v:shape>
                <v:shape id="Text Box 11" style="height:228630;width:2388294;top:1035169;left:232913;v-text-anchor:middle;position:absolute;" o:spid="_x0000_s1054" filled="f" stroked="t" strokecolor="#000000" strokeweight="0.75pt" o:spt="202" type="#_x0000_t202">
                  <v:fill/>
                  <v:stroke miterlimit="8" filltype="solid"/>
                  <v:textbox style="layout-flow:horizontal;" inset="2.0637499999999998mm,0.24694444444444438mm,2.0637499999999998mm,0.24694444444444438mm">
                    <w:txbxContent>
                      <w:p>
                        <w:pPr>
                          <w:pStyle w:val="0"/>
                          <w:jc w:val="center"/>
                          <w:rPr>
                            <w:rFonts w:hint="default" w:ascii="HG丸ｺﾞｼｯｸM-PRO" w:hAnsi="HG丸ｺﾞｼｯｸM-PRO" w:eastAsia="HG丸ｺﾞｼｯｸM-PRO"/>
                            <w:b w:val="1"/>
                            <w:sz w:val="18"/>
                          </w:rPr>
                        </w:pPr>
                        <w:r>
                          <w:rPr>
                            <w:rFonts w:hint="eastAsia" w:ascii="HG丸ｺﾞｼｯｸM-PRO" w:hAnsi="HG丸ｺﾞｼｯｸM-PRO" w:eastAsia="HG丸ｺﾞｼｯｸM-PRO"/>
                            <w:b w:val="1"/>
                            <w:sz w:val="18"/>
                          </w:rPr>
                          <w:t>沖縄県</w:t>
                        </w:r>
                      </w:p>
                    </w:txbxContent>
                  </v:textbox>
                  <v:imagedata o:title=""/>
                  <w10:wrap type="none" anchorx="text" anchory="text"/>
                </v:shape>
                <v:shape id="Text Box 11" style="height:228630;width:2131747;top:1043796;left:3088256;v-text-anchor:middle;position:absolute;" o:spid="_x0000_s1055" filled="f" stroked="t" strokecolor="#000000" strokeweight="0.75pt" o:spt="202" type="#_x0000_t202">
                  <v:fill/>
                  <v:stroke miterlimit="8" filltype="solid"/>
                  <v:textbox style="layout-flow:horizontal;" inset="2.0637499999999998mm,0.24694444444444438mm,2.0637499999999998mm,0.24694444444444438mm">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支援都道府県</w:t>
                        </w:r>
                      </w:p>
                    </w:txbxContent>
                  </v:textbox>
                  <v:imagedata o:title=""/>
                  <w10:wrap type="none" anchorx="text" anchory="text"/>
                </v:shape>
                <v:shape id="Text Box 11" style="height:454084;width:1094767;top:1828166;left:86230;v-text-anchor:middle;position:absolute;" o:spid="_x0000_s1056" filled="f" stroked="t" strokecolor="#000000" strokeweight="0.75pt" o:spt="202" type="#_x0000_t202">
                  <v:fill/>
                  <v:stroke miterlimit="8" filltype="solid"/>
                  <v:textbox style="layout-flow:horizontal;" inset="2.0637499999999998mm,0.24694444444444438mm,2.0637499999999998mm,0.24694444444444438mm">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廃棄物事業者団体</w:t>
                        </w:r>
                      </w:p>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建設事業者団体等</w:t>
                        </w:r>
                      </w:p>
                    </w:txbxContent>
                  </v:textbox>
                  <v:imagedata o:title=""/>
                  <w10:wrap type="none" anchorx="text" anchory="text"/>
                </v:shape>
                <v:shape id="Text Box 11" style="height:454084;width:1137313;top:1837426;left:4080294;v-text-anchor:middle;position:absolute;" o:spid="_x0000_s1057" filled="f" stroked="t" strokecolor="#000000" strokeweight="0.75pt" o:spt="202" type="#_x0000_t202">
                  <v:fill/>
                  <v:stroke miterlimit="8" filltype="solid"/>
                  <v:textbox style="layout-flow:horizontal;" inset="2.0637499999999998mm,0.24694444444444438mm,2.0637499999999998mm,0.24694444444444438mm">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廃棄物事業者団体</w:t>
                        </w:r>
                      </w:p>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建設事業者団体</w:t>
                        </w:r>
                        <w:r>
                          <w:rPr>
                            <w:rFonts w:hint="eastAsia" w:ascii="HG丸ｺﾞｼｯｸM-PRO" w:hAnsi="HG丸ｺﾞｼｯｸM-PRO" w:eastAsia="HG丸ｺﾞｼｯｸM-PRO"/>
                            <w:sz w:val="18"/>
                          </w:rPr>
                          <w:t xml:space="preserve"> </w:t>
                        </w:r>
                        <w:r>
                          <w:rPr>
                            <w:rFonts w:hint="eastAsia" w:ascii="HG丸ｺﾞｼｯｸM-PRO" w:hAnsi="HG丸ｺﾞｼｯｸM-PRO" w:eastAsia="HG丸ｺﾞｼｯｸM-PRO"/>
                            <w:sz w:val="18"/>
                          </w:rPr>
                          <w:t>等</w:t>
                        </w:r>
                      </w:p>
                    </w:txbxContent>
                  </v:textbox>
                  <v:imagedata o:title=""/>
                  <w10:wrap type="none" anchorx="text" anchory="text"/>
                </v:shape>
                <v:shape id="Text Box 11" style="height:260384;width:857271;top:1949569;left:3156028;v-text-anchor:middle;position:absolute;" o:spid="_x0000_s1058" filled="f" stroked="t" strokecolor="#000000" strokeweight="0.75pt" o:spt="202" type="#_x0000_t202">
                  <v:fill/>
                  <v:stroke miterlimit="8" filltype="solid"/>
                  <v:textbox style="layout-flow:horizontal;" inset="2.0637499999999998mm,0.24694444444444438mm,2.0637499999999998mm,0.24694444444444438mm">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支援市町村</w:t>
                        </w:r>
                      </w:p>
                    </w:txbxContent>
                  </v:textbox>
                  <v:imagedata o:title=""/>
                  <w10:wrap type="none" anchorx="text" anchory="text"/>
                </v:shape>
                <v:roundrect id="AutoShape 18" style="height:1049655;width:5144770;top:327803;left:146649;position:absolute;" o:spid="_x0000_s1059" filled="f" stroked="t" strokecolor="#000000" strokeweight="0.75pt" o:spt="2" arcsize="2670f">
                  <v:fill/>
                  <v:stroke filltype="solid"/>
                  <v:textbox style="layout-flow:horizontal;"/>
                  <v:imagedata o:title=""/>
                  <w10:wrap type="none" anchorx="text" anchory="text"/>
                </v:roundrect>
                <v:shape id="Text Box 11" style="height:199416;width:1041426;top:1940943;left:1390684;position:absolute;" o:spid="_x0000_s1060" filled="f" stroked="t" strokecolor="#000000 [3213]" strokeweight="1.5pt" o:spt="202" type="#_x0000_t202">
                  <v:fill/>
                  <v:stroke miterlimit="8" filltype="solid"/>
                  <v:textbox style="layout-flow:horizontal;" inset="2.0637499999999998mm,0.24694444444444438mm,2.0637499999999998mm,0.24694444444444438mm">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南風原町</w:t>
                        </w:r>
                      </w:p>
                    </w:txbxContent>
                  </v:textbox>
                  <v:imagedata o:title=""/>
                  <w10:wrap type="none" anchorx="text" anchory="text"/>
                </v:shape>
                <v:shape id="Text Box 11" style="height:454084;width:1137313;top:2743200;left:232913;v-text-anchor:middle;position:absolute;" o:spid="_x0000_s1061" filled="f" stroked="t" strokecolor="#000000" strokeweight="0.75pt" o:spt="202" type="#_x0000_t202">
                  <v:fill/>
                  <v:stroke miterlimit="8" filltype="solid"/>
                  <v:textbox style="layout-flow:horizontal;" inset="2.0637499999999998mm,0.24694444444444438mm,2.0637499999999998mm,0.24694444444444438mm">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廃棄物事業者</w:t>
                        </w:r>
                      </w:p>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建設事業者</w:t>
                        </w:r>
                        <w:r>
                          <w:rPr>
                            <w:rFonts w:hint="eastAsia" w:ascii="HG丸ｺﾞｼｯｸM-PRO" w:hAnsi="HG丸ｺﾞｼｯｸM-PRO" w:eastAsia="HG丸ｺﾞｼｯｸM-PRO"/>
                            <w:sz w:val="18"/>
                          </w:rPr>
                          <w:t xml:space="preserve"> </w:t>
                        </w:r>
                        <w:r>
                          <w:rPr>
                            <w:rFonts w:hint="eastAsia" w:ascii="HG丸ｺﾞｼｯｸM-PRO" w:hAnsi="HG丸ｺﾞｼｯｸM-PRO" w:eastAsia="HG丸ｺﾞｼｯｸM-PRO"/>
                            <w:sz w:val="18"/>
                          </w:rPr>
                          <w:t>等</w:t>
                        </w:r>
                      </w:p>
                    </w:txbxContent>
                  </v:textbox>
                  <v:imagedata o:title=""/>
                  <w10:wrap type="none" anchorx="text" anchory="text"/>
                </v:shape>
                <v:shape id="Text Box 11" style="height:452179;width:1138583;top:2751826;left:1483743;v-text-anchor:middle;position:absolute;" o:spid="_x0000_s1062" filled="f" stroked="t" strokecolor="#000000" strokeweight="0.75pt" o:spt="202" type="#_x0000_t202">
                  <v:fill/>
                  <v:stroke miterlimit="8" filltype="solid"/>
                  <v:textbox style="layout-flow:horizontal;" inset="0.99999999999999978mm,0.24694444444444438mm,0.99999999999999978mm,0.24694444444444438mm">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被災していない</w:t>
                        </w:r>
                      </w:p>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沖縄県内の市町村</w:t>
                        </w:r>
                      </w:p>
                    </w:txbxContent>
                  </v:textbox>
                  <v:imagedata o:title=""/>
                  <w10:wrap type="none" anchorx="text" anchory="text"/>
                </v:shape>
                <v:shape id="Text Box 11" style="height:454084;width:1137313;top:2743200;left:4080294;v-text-anchor:middle;position:absolute;" o:spid="_x0000_s1063" filled="f" stroked="t" strokecolor="#000000" strokeweight="0.75pt" o:spt="202" type="#_x0000_t202">
                  <v:fill/>
                  <v:stroke miterlimit="8" filltype="solid"/>
                  <v:textbox style="layout-flow:horizontal;" inset="2.0637499999999998mm,0.24694444444444438mm,2.0637499999999998mm,0.24694444444444438mm">
                    <w:txbxContent>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廃棄物事業者</w:t>
                        </w:r>
                      </w:p>
                      <w:p>
                        <w:pPr>
                          <w:pStyle w:val="0"/>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建設事業者</w:t>
                        </w:r>
                        <w:r>
                          <w:rPr>
                            <w:rFonts w:hint="eastAsia" w:ascii="HG丸ｺﾞｼｯｸM-PRO" w:hAnsi="HG丸ｺﾞｼｯｸM-PRO" w:eastAsia="HG丸ｺﾞｼｯｸM-PRO"/>
                            <w:sz w:val="18"/>
                          </w:rPr>
                          <w:t xml:space="preserve"> </w:t>
                        </w:r>
                        <w:r>
                          <w:rPr>
                            <w:rFonts w:hint="eastAsia" w:ascii="HG丸ｺﾞｼｯｸM-PRO" w:hAnsi="HG丸ｺﾞｼｯｸM-PRO" w:eastAsia="HG丸ｺﾞｼｯｸM-PRO"/>
                            <w:sz w:val="18"/>
                          </w:rPr>
                          <w:t>等</w:t>
                        </w:r>
                      </w:p>
                    </w:txbxContent>
                  </v:textbox>
                  <v:imagedata o:title=""/>
                  <w10:wrap type="none" anchorx="text" anchory="text"/>
                </v:shape>
                <v:shape id="Text Box 11" style="height:570939;width:1248441;top:405441;left:112143;v-text-anchor:middle;position:absolute;" o:spid="_x0000_s1064" filled="f" stroked="f" o:spt="202" type="#_x0000_t202">
                  <v:fill/>
                  <v:textbox style="layout-flow:horizontal;" inset="0.99999999999999978mm,0.24694444444444438mm,0.99999999999999978mm,0.24694444444444438mm">
                    <w:txbxContent>
                      <w:p>
                        <w:pPr>
                          <w:pStyle w:val="0"/>
                          <w:spacing w:line="1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①都道府県間の</w:t>
                        </w:r>
                      </w:p>
                      <w:p>
                        <w:pPr>
                          <w:pStyle w:val="0"/>
                          <w:spacing w:line="1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　相互協力体制</w:t>
                        </w:r>
                      </w:p>
                      <w:p>
                        <w:pPr>
                          <w:pStyle w:val="0"/>
                          <w:spacing w:line="1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（都道府県・市町村間による相互協力体制）</w:t>
                        </w:r>
                      </w:p>
                    </w:txbxContent>
                  </v:textbox>
                  <v:imagedata o:title=""/>
                  <w10:wrap type="none" anchorx="text" anchory="text"/>
                </v:shape>
                <v:shape id="Text Box 11" style="height:456624;width:946173;top:422694;left:1224951;v-text-anchor:middle;position:absolute;" o:spid="_x0000_s1065" filled="f" stroked="f" o:spt="202" type="#_x0000_t202">
                  <v:fill/>
                  <v:textbox style="layout-flow:horizontal;" inset="2.0637499999999998mm,0.24694444444444438mm,2.0637499999999998mm,0.24694444444444438mm">
                    <w:txbxContent>
                      <w:p>
                        <w:pPr>
                          <w:pStyle w:val="0"/>
                          <w:spacing w:line="22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情報収集</w:t>
                        </w:r>
                      </w:p>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指導・助言</w:t>
                        </w:r>
                      </w:p>
                    </w:txbxContent>
                  </v:textbox>
                  <v:imagedata o:title=""/>
                  <w10:wrap type="none" anchorx="text" anchory="text"/>
                </v:shape>
                <v:shape id="Text Box 11" style="height:456624;width:800755;top:483079;left:3916392;v-text-anchor:middle;position:absolute;" o:spid="_x0000_s1066" filled="f" stroked="f" o:spt="202" type="#_x0000_t202">
                  <v:fill/>
                  <v:textbox style="layout-flow:horizontal;" inset="2.0637499999999998mm,0.24694444444444438mm,2.0637499999999998mm,0.24694444444444438mm">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連絡調整</w:t>
                        </w:r>
                      </w:p>
                    </w:txbxContent>
                  </v:textbox>
                  <v:imagedata o:title=""/>
                  <w10:wrap type="none" anchorx="text" anchory="text"/>
                </v:shape>
                <v:shape id="Text Box 11" style="height:229265;width:463561;top:483079;left:2208362;v-text-anchor:middle;position:absolute;" o:spid="_x0000_s1067" filled="f" stroked="f" o:spt="202" type="#_x0000_t202">
                  <v:fill/>
                  <v:textbox style="layout-flow:horizontal;" inset="2.0637499999999998mm,0.24694444444444438mm,2.0637499999999998mm,0.24694444444444438mm">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報告</w:t>
                        </w:r>
                      </w:p>
                    </w:txbxContent>
                  </v:textbox>
                  <v:imagedata o:title=""/>
                  <w10:wrap type="none" anchorx="text" anchory="text"/>
                </v:shape>
                <v:shape id="Text Box 11" style="height:456624;width:946173;top:1371600;left:1026543;v-text-anchor:middle;position:absolute;" o:spid="_x0000_s1068" filled="f" stroked="f" o:spt="202" type="#_x0000_t202">
                  <v:fill/>
                  <v:textbox style="layout-flow:horizontal;" inset="2.0637499999999998mm,0.24694444444444438mm,2.0637499999999998mm,0.24694444444444438mm">
                    <w:txbxContent>
                      <w:p>
                        <w:pPr>
                          <w:pStyle w:val="0"/>
                          <w:spacing w:line="22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情報収集</w:t>
                        </w:r>
                      </w:p>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指導・助言</w:t>
                        </w:r>
                      </w:p>
                    </w:txbxContent>
                  </v:textbox>
                  <v:imagedata o:title=""/>
                  <w10:wrap type="none" anchorx="text" anchory="text"/>
                </v:shape>
                <v:shape id="Text Box 11" style="height:299759;width:683277;top:1449237;left:138022;v-text-anchor:middle;position:absolute;" o:spid="_x0000_s1069" filled="f" stroked="f" o:spt="202" type="#_x0000_t202">
                  <v:fill/>
                  <v:textbox style="layout-flow:horizontal;" inset="2.0637499999999998mm,0.24694444444444438mm,2.0637499999999998mm,0.24694444444444438mm">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連絡調整</w:t>
                        </w:r>
                      </w:p>
                    </w:txbxContent>
                  </v:textbox>
                  <v:imagedata o:title=""/>
                  <w10:wrap type="none" anchorx="text" anchory="text"/>
                </v:shape>
                <v:shape id="Text Box 11" style="height:229265;width:463561;top:1509622;left:1992702;v-text-anchor:middle;position:absolute;" o:spid="_x0000_s1070" filled="f" stroked="f" o:spt="202" type="#_x0000_t202">
                  <v:fill/>
                  <v:textbox style="layout-flow:horizontal;" inset="2.0637499999999998mm,0.24694444444444438mm,2.0637499999999998mm,0.24694444444444438mm">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報告</w:t>
                        </w:r>
                      </w:p>
                    </w:txbxContent>
                  </v:textbox>
                  <v:imagedata o:title=""/>
                  <w10:wrap type="none" anchorx="text" anchory="text"/>
                </v:shape>
                <v:shape id="Text Box 11" style="height:456624;width:1098577;top:2294626;left:1043796;v-text-anchor:middle;position:absolute;" o:spid="_x0000_s1071" filled="f" stroked="f" o:spt="202" type="#_x0000_t202">
                  <v:fill/>
                  <v:textbox style="layout-flow:horizontal;" inset="2.0637499999999998mm,0.24694444444444438mm,2.0637499999999998mm,0.24694444444444438mm">
                    <w:txbxContent>
                      <w:p>
                        <w:pPr>
                          <w:pStyle w:val="0"/>
                          <w:spacing w:line="22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要請／支援</w:t>
                        </w:r>
                      </w:p>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（協定等による）</w:t>
                        </w:r>
                      </w:p>
                    </w:txbxContent>
                  </v:textbox>
                  <v:imagedata o:title=""/>
                  <w10:wrap type="none" anchorx="text" anchory="text"/>
                </v:shape>
                <v:shape id="Text Box 11" style="height:299759;width:683277;top:2441275;left:138022;v-text-anchor:middle;position:absolute;" o:spid="_x0000_s1072" filled="f" stroked="f" o:spt="202" type="#_x0000_t202">
                  <v:fill/>
                  <v:textbox style="layout-flow:horizontal;" inset="2.0637499999999998mm,0.24694444444444438mm,2.0637499999999998mm,0.24694444444444438mm">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連絡調整</w:t>
                        </w:r>
                      </w:p>
                    </w:txbxContent>
                  </v:textbox>
                  <v:imagedata o:title=""/>
                  <w10:wrap type="none" anchorx="text" anchory="text"/>
                </v:shape>
                <v:shape id="Text Box 11" style="height:344850;width:1141123;top:681486;left:2311879;v-text-anchor:middle;position:absolute;" o:spid="_x0000_s1073" filled="f" stroked="f" o:spt="202" type="#_x0000_t202">
                  <v:fill/>
                  <v:textbox style="layout-flow:horizontal;" inset="2.0637499999999998mm,0.24694444444444438mm,2.0637499999999998mm,0.24694444444444438mm">
                    <w:txbxContent>
                      <w:p>
                        <w:pPr>
                          <w:pStyle w:val="0"/>
                          <w:spacing w:line="1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連絡調整</w:t>
                        </w:r>
                      </w:p>
                      <w:p>
                        <w:pPr>
                          <w:pStyle w:val="0"/>
                          <w:spacing w:line="18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（協定等による）</w:t>
                        </w:r>
                      </w:p>
                    </w:txbxContent>
                  </v:textbox>
                  <v:imagedata o:title=""/>
                  <w10:wrap type="none" anchorx="text" anchory="text"/>
                </v:shape>
                <v:shape id="Text Box 11" style="height:456624;width:1098577;top:3226279;left:258792;v-text-anchor:middle;position:absolute;" o:spid="_x0000_s1074" filled="f" stroked="f" o:spt="202" type="#_x0000_t202">
                  <v:fill/>
                  <v:textbox style="layout-flow:horizontal;" inset="2.0637499999999998mm,0.24694444444444438mm,2.0637499999999998mm,0.24694444444444438mm">
                    <w:txbxContent>
                      <w:p>
                        <w:pPr>
                          <w:pStyle w:val="0"/>
                          <w:spacing w:line="240" w:lineRule="exact"/>
                          <w:ind w:left="180" w:hanging="180" w:hanging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③廃棄物関係団体との協力体制</w:t>
                        </w:r>
                      </w:p>
                    </w:txbxContent>
                  </v:textbox>
                  <v:imagedata o:title=""/>
                  <w10:wrap type="none" anchorx="text" anchory="text"/>
                </v:shape>
                <v:shape id="Text Box 11" style="height:456624;width:1453551;top:3226279;left:1319841;v-text-anchor:middle;position:absolute;" o:spid="_x0000_s1075" filled="f" stroked="f" o:spt="202" type="#_x0000_t202">
                  <v:fill/>
                  <v:textbox style="layout-flow:horizontal;" inset="2.0637499999999998mm,0.24694444444444438mm,2.0637499999999998mm,0.24694444444444438mm">
                    <w:txbxContent>
                      <w:p>
                        <w:pPr>
                          <w:pStyle w:val="0"/>
                          <w:spacing w:line="240" w:lineRule="exact"/>
                          <w:ind w:left="180" w:hanging="180" w:hangingChars="10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②沖縄県内の市町村における相互協力体制</w:t>
                        </w:r>
                      </w:p>
                    </w:txbxContent>
                  </v:textbox>
                  <v:imagedata o:title=""/>
                  <w10:wrap type="none" anchorx="text" anchory="text"/>
                </v:shape>
                <w10:wrap type="none" anchorx="text" anchory="text"/>
              </v:group>
            </w:pict>
          </mc:Fallback>
        </mc:AlternateContent>
      </w:r>
    </w:p>
    <w:p>
      <w:pPr>
        <w:pStyle w:val="0"/>
        <w:rPr>
          <w:rFonts w:hint="default"/>
        </w:rPr>
      </w:pPr>
      <w:r>
        <w:rPr>
          <w:rFonts w:hint="default"/>
        </w:rPr>
        <mc:AlternateContent>
          <mc:Choice Requires="wps">
            <w:drawing>
              <wp:anchor distT="0" distB="0" distL="114300" distR="114300" simplePos="0" relativeHeight="32" behindDoc="0" locked="0" layoutInCell="1" hidden="0" allowOverlap="1">
                <wp:simplePos x="0" y="0"/>
                <wp:positionH relativeFrom="column">
                  <wp:posOffset>2089150</wp:posOffset>
                </wp:positionH>
                <wp:positionV relativeFrom="paragraph">
                  <wp:posOffset>50165</wp:posOffset>
                </wp:positionV>
                <wp:extent cx="0" cy="808355"/>
                <wp:effectExtent l="36195" t="0" r="65405" b="10160"/>
                <wp:wrapNone/>
                <wp:docPr id="1076" name="直線矢印コネクタ 1359"/>
                <a:graphic xmlns:a="http://schemas.openxmlformats.org/drawingml/2006/main">
                  <a:graphicData uri="http://schemas.microsoft.com/office/word/2010/wordprocessingShape">
                    <wps:wsp>
                      <wps:cNvPr id="1076" name="直線矢印コネクタ 1359"/>
                      <wps:cNvCnPr/>
                      <wps:spPr>
                        <a:xfrm>
                          <a:off x="0" y="0"/>
                          <a:ext cx="0" cy="808355"/>
                        </a:xfrm>
                        <a:prstGeom prst="straightConnector1">
                          <a:avLst/>
                        </a:prstGeom>
                        <a:noFill/>
                        <a:ln w="25400" algn="ctr">
                          <a:solidFill>
                            <a:srgbClr val="000000"/>
                          </a:solidFill>
                          <a:round/>
                          <a:headEn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59" style="mso-wrap-distance-right:9pt;mso-wrap-distance-bottom:0pt;margin-top:3.95pt;mso-position-vertical-relative:text;mso-position-horizontal-relative:text;position:absolute;height:63.65pt;mso-wrap-distance-top:0pt;width:0pt;mso-wrap-distance-left:9pt;margin-left:164.5pt;z-index:32;" o:spid="_x0000_s1076" o:allowincell="t" o:allowoverlap="t" filled="f" stroked="t" strokecolor="#000000" strokeweight="2pt" o:spt="32" type="#_x0000_t32">
                <v:fill/>
                <v:stroke filltype="solid" endarrow="block" endarrowwidth="medium" endarrowlength="medium"/>
                <v:imagedata o:title=""/>
                <w10:wrap type="none" anchorx="text" anchory="text"/>
              </v:shape>
            </w:pict>
          </mc:Fallback>
        </mc:AlternateContent>
      </w:r>
      <w:r>
        <w:rPr>
          <w:rFonts w:hint="default"/>
        </w:rPr>
        <mc:AlternateContent>
          <mc:Choice Requires="wps">
            <w:drawing>
              <wp:anchor distT="0" distB="0" distL="114300" distR="114300" simplePos="0" relativeHeight="33" behindDoc="0" locked="0" layoutInCell="1" hidden="0" allowOverlap="1">
                <wp:simplePos x="0" y="0"/>
                <wp:positionH relativeFrom="column">
                  <wp:posOffset>2247900</wp:posOffset>
                </wp:positionH>
                <wp:positionV relativeFrom="paragraph">
                  <wp:posOffset>56515</wp:posOffset>
                </wp:positionV>
                <wp:extent cx="0" cy="803275"/>
                <wp:effectExtent l="36195" t="635" r="65405" b="10160"/>
                <wp:wrapNone/>
                <wp:docPr id="1077" name="直線矢印コネクタ 1358"/>
                <a:graphic xmlns:a="http://schemas.openxmlformats.org/drawingml/2006/main">
                  <a:graphicData uri="http://schemas.microsoft.com/office/word/2010/wordprocessingShape">
                    <wps:wsp>
                      <wps:cNvPr id="1077" name="直線矢印コネクタ 1358"/>
                      <wps:cNvCnPr/>
                      <wps:spPr>
                        <a:xfrm>
                          <a:off x="0" y="0"/>
                          <a:ext cx="0" cy="803275"/>
                        </a:xfrm>
                        <a:prstGeom prst="straightConnector1">
                          <a:avLst/>
                        </a:prstGeom>
                        <a:noFill/>
                        <a:ln w="25400" algn="ctr">
                          <a:solidFill>
                            <a:srgbClr val="000000"/>
                          </a:solidFill>
                          <a:round/>
                          <a:headEnd type="triangle" w="med" len="med"/>
                          <a:tailEn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58" style="mso-wrap-distance-right:9pt;mso-wrap-distance-bottom:0pt;margin-top:4.45pt;mso-position-vertical-relative:text;mso-position-horizontal-relative:text;position:absolute;height:63.25pt;mso-wrap-distance-top:0pt;width:0pt;mso-wrap-distance-left:9pt;margin-left:177pt;z-index:33;" o:spid="_x0000_s1077" o:allowincell="t" o:allowoverlap="t" filled="f" stroked="t" strokecolor="#000000" strokeweight="2pt" o:spt="32" type="#_x0000_t32">
                <v:fill/>
                <v:stroke filltype="solid" startarrow="block" startarrowwidth="medium" startarrowlength="medium"/>
                <v:imagedata o:title=""/>
                <w10:wrap type="none" anchorx="text" anchory="text"/>
              </v:shape>
            </w:pict>
          </mc:Fallback>
        </mc:AlternateContent>
      </w:r>
      <w:r>
        <w:rPr>
          <w:rFonts w:hint="default"/>
        </w:rPr>
        <mc:AlternateContent>
          <mc:Choice Requires="wps">
            <w:drawing>
              <wp:anchor distT="0" distB="0" distL="114300" distR="114300" simplePos="0" relativeHeight="34" behindDoc="0" locked="0" layoutInCell="1" hidden="0" allowOverlap="1">
                <wp:simplePos x="0" y="0"/>
                <wp:positionH relativeFrom="column">
                  <wp:posOffset>4013200</wp:posOffset>
                </wp:positionH>
                <wp:positionV relativeFrom="paragraph">
                  <wp:posOffset>56515</wp:posOffset>
                </wp:positionV>
                <wp:extent cx="0" cy="802640"/>
                <wp:effectExtent l="36195" t="635" r="65405" b="10160"/>
                <wp:wrapNone/>
                <wp:docPr id="1078" name="直線矢印コネクタ 1357"/>
                <a:graphic xmlns:a="http://schemas.openxmlformats.org/drawingml/2006/main">
                  <a:graphicData uri="http://schemas.microsoft.com/office/word/2010/wordprocessingShape">
                    <wps:wsp>
                      <wps:cNvPr id="1078" name="直線矢印コネクタ 1357"/>
                      <wps:cNvCnPr/>
                      <wps:spPr>
                        <a:xfrm flipV="1">
                          <a:off x="0" y="0"/>
                          <a:ext cx="0" cy="802640"/>
                        </a:xfrm>
                        <a:prstGeom prst="straightConnector1">
                          <a:avLst/>
                        </a:prstGeom>
                        <a:noFill/>
                        <a:ln w="25400" algn="ctr">
                          <a:solidFill>
                            <a:srgbClr val="000000"/>
                          </a:solidFill>
                          <a:round/>
                          <a:headEnd type="triangle" w="med" len="me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57" style="flip:y;mso-wrap-distance-right:9pt;mso-wrap-distance-bottom:0pt;margin-top:4.45pt;mso-position-vertical-relative:text;mso-position-horizontal-relative:text;position:absolute;height:63.2pt;mso-wrap-distance-top:0pt;width:0pt;mso-wrap-distance-left:9pt;margin-left:316pt;z-index:34;" o:spid="_x0000_s1078" o:allowincell="t" o:allowoverlap="t" filled="f" stroked="t" strokecolor="#000000" strokeweight="2pt" o:spt="32" type="#_x0000_t32">
                <v:fill/>
                <v:stroke filltype="solid" startarrow="block" startarrowwidth="medium" startarrowlength="medium" endarrow="block" endarrowwidth="medium" endarrowlength="medium"/>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default"/>
        </w:rPr>
        <mc:AlternateContent>
          <mc:Choice Requires="wps">
            <w:drawing>
              <wp:anchor distT="0" distB="0" distL="114300" distR="114300" simplePos="0" relativeHeight="30" behindDoc="0" locked="0" layoutInCell="1" hidden="0" allowOverlap="1">
                <wp:simplePos x="0" y="0"/>
                <wp:positionH relativeFrom="column">
                  <wp:posOffset>2635250</wp:posOffset>
                </wp:positionH>
                <wp:positionV relativeFrom="paragraph">
                  <wp:posOffset>71120</wp:posOffset>
                </wp:positionV>
                <wp:extent cx="458470" cy="0"/>
                <wp:effectExtent l="635" t="36195" r="29210" b="46355"/>
                <wp:wrapNone/>
                <wp:docPr id="1079" name="直線矢印コネクタ 1349"/>
                <a:graphic xmlns:a="http://schemas.openxmlformats.org/drawingml/2006/main">
                  <a:graphicData uri="http://schemas.microsoft.com/office/word/2010/wordprocessingShape">
                    <wps:wsp>
                      <wps:cNvPr id="1079" name="直線矢印コネクタ 1349"/>
                      <wps:cNvCnPr/>
                      <wps:spPr>
                        <a:xfrm>
                          <a:off x="0" y="0"/>
                          <a:ext cx="458470" cy="0"/>
                        </a:xfrm>
                        <a:prstGeom prst="straightConnector1">
                          <a:avLst/>
                        </a:prstGeom>
                        <a:noFill/>
                        <a:ln w="25400" algn="ctr">
                          <a:solidFill>
                            <a:srgbClr val="000000"/>
                          </a:solidFill>
                          <a:round/>
                          <a:headEnd type="triangle" w="med" len="me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49" style="mso-wrap-distance-right:9pt;mso-wrap-distance-bottom:0pt;margin-top:5.6pt;mso-position-vertical-relative:text;mso-position-horizontal-relative:text;position:absolute;height:0pt;mso-wrap-distance-top:0pt;width:36.1pt;mso-wrap-distance-left:9pt;margin-left:207.5pt;z-index:30;" o:spid="_x0000_s1079" o:allowincell="t" o:allowoverlap="t" filled="f" stroked="t" strokecolor="#000000" strokeweight="2pt" o:spt="32" type="#_x0000_t32">
                <v:fill/>
                <v:stroke filltype="solid" startarrow="block" startarrowwidth="medium" startarrowlength="medium" endarrow="block" endarrowwidth="medium" endarrowlength="medium"/>
                <v:imagedata o:title=""/>
                <w10:wrap type="none" anchorx="text" anchory="text"/>
              </v:shape>
            </w:pict>
          </mc:Fallback>
        </mc:AlternateContent>
      </w:r>
      <w:r>
        <w:rPr>
          <w:rFonts w:hint="default"/>
        </w:rPr>
        <mc:AlternateContent>
          <mc:Choice Requires="wps">
            <w:drawing>
              <wp:anchor distT="0" distB="0" distL="114300" distR="114300" simplePos="0" relativeHeight="35" behindDoc="0" locked="0" layoutInCell="1" hidden="0" allowOverlap="1">
                <wp:simplePos x="0" y="0"/>
                <wp:positionH relativeFrom="column">
                  <wp:posOffset>2070100</wp:posOffset>
                </wp:positionH>
                <wp:positionV relativeFrom="paragraph">
                  <wp:posOffset>179070</wp:posOffset>
                </wp:positionV>
                <wp:extent cx="0" cy="673100"/>
                <wp:effectExtent l="36195" t="635" r="65405" b="10160"/>
                <wp:wrapNone/>
                <wp:docPr id="1080" name="直線矢印コネクタ 1331"/>
                <a:graphic xmlns:a="http://schemas.openxmlformats.org/drawingml/2006/main">
                  <a:graphicData uri="http://schemas.microsoft.com/office/word/2010/wordprocessingShape">
                    <wps:wsp>
                      <wps:cNvPr id="1080" name="直線矢印コネクタ 1331"/>
                      <wps:cNvCnPr/>
                      <wps:spPr>
                        <a:xfrm>
                          <a:off x="0" y="0"/>
                          <a:ext cx="0" cy="673100"/>
                        </a:xfrm>
                        <a:prstGeom prst="straightConnector1">
                          <a:avLst/>
                        </a:prstGeom>
                        <a:noFill/>
                        <a:ln w="25400" algn="ctr">
                          <a:solidFill>
                            <a:srgbClr val="000000"/>
                          </a:solidFill>
                          <a:round/>
                          <a:headEnd type="triangle" w="med" len="med"/>
                          <a:tailEn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31" style="mso-wrap-distance-right:9pt;mso-wrap-distance-bottom:0pt;margin-top:14.1pt;mso-position-vertical-relative:text;mso-position-horizontal-relative:text;position:absolute;height:53pt;mso-wrap-distance-top:0pt;width:0pt;mso-wrap-distance-left:9pt;margin-left:163pt;z-index:35;" o:spid="_x0000_s1080" o:allowincell="t" o:allowoverlap="t" filled="f" stroked="t" strokecolor="#000000" strokeweight="2pt" o:spt="32" type="#_x0000_t32">
                <v:fill/>
                <v:stroke filltype="solid" startarrow="block" startarrowwidth="medium" startarrowlength="medium"/>
                <v:imagedata o:title=""/>
                <w10:wrap type="none" anchorx="text" anchory="text"/>
              </v:shape>
            </w:pict>
          </mc:Fallback>
        </mc:AlternateContent>
      </w:r>
      <w:r>
        <w:rPr>
          <w:rFonts w:hint="default"/>
        </w:rPr>
        <mc:AlternateContent>
          <mc:Choice Requires="wps">
            <w:drawing>
              <wp:anchor distT="0" distB="0" distL="114300" distR="114300" simplePos="0" relativeHeight="36" behindDoc="0" locked="0" layoutInCell="1" hidden="0" allowOverlap="1">
                <wp:simplePos x="0" y="0"/>
                <wp:positionH relativeFrom="column">
                  <wp:posOffset>819150</wp:posOffset>
                </wp:positionH>
                <wp:positionV relativeFrom="paragraph">
                  <wp:posOffset>179070</wp:posOffset>
                </wp:positionV>
                <wp:extent cx="0" cy="575310"/>
                <wp:effectExtent l="36195" t="635" r="65405" b="10160"/>
                <wp:wrapNone/>
                <wp:docPr id="1081" name="直線矢印コネクタ 1346"/>
                <a:graphic xmlns:a="http://schemas.openxmlformats.org/drawingml/2006/main">
                  <a:graphicData uri="http://schemas.microsoft.com/office/word/2010/wordprocessingShape">
                    <wps:wsp>
                      <wps:cNvPr id="1081" name="直線矢印コネクタ 1346"/>
                      <wps:cNvCnPr/>
                      <wps:spPr>
                        <a:xfrm flipV="1">
                          <a:off x="0" y="0"/>
                          <a:ext cx="0" cy="575310"/>
                        </a:xfrm>
                        <a:prstGeom prst="straightConnector1">
                          <a:avLst/>
                        </a:prstGeom>
                        <a:noFill/>
                        <a:ln w="25400" algn="ctr">
                          <a:solidFill>
                            <a:srgbClr val="000000"/>
                          </a:solidFill>
                          <a:round/>
                          <a:headEnd type="triangle" w="med" len="me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46" style="flip:y;mso-wrap-distance-right:9pt;mso-wrap-distance-bottom:0pt;margin-top:14.1pt;mso-position-vertical-relative:text;mso-position-horizontal-relative:text;position:absolute;height:45.3pt;mso-wrap-distance-top:0pt;width:0pt;mso-wrap-distance-left:9pt;margin-left:64.5pt;z-index:36;" o:spid="_x0000_s1081" o:allowincell="t" o:allowoverlap="t" filled="f" stroked="t" strokecolor="#000000" strokeweight="2pt" o:spt="32" type="#_x0000_t32">
                <v:fill/>
                <v:stroke filltype="solid" startarrow="block" startarrowwidth="medium" startarrowlength="medium" endarrow="block" endarrowwidth="medium" endarrowlength="medium"/>
                <v:imagedata o:title=""/>
                <w10:wrap type="none" anchorx="text" anchory="text"/>
              </v:shape>
            </w:pict>
          </mc:Fallback>
        </mc:AlternateContent>
      </w:r>
      <w:r>
        <w:rPr>
          <w:rFonts w:hint="default"/>
        </w:rPr>
        <mc:AlternateContent>
          <mc:Choice Requires="wps">
            <w:drawing>
              <wp:anchor distT="0" distB="0" distL="114300" distR="114300" simplePos="0" relativeHeight="37" behindDoc="0" locked="0" layoutInCell="1" hidden="0" allowOverlap="1">
                <wp:simplePos x="0" y="0"/>
                <wp:positionH relativeFrom="column">
                  <wp:posOffset>3511550</wp:posOffset>
                </wp:positionH>
                <wp:positionV relativeFrom="paragraph">
                  <wp:posOffset>179070</wp:posOffset>
                </wp:positionV>
                <wp:extent cx="0" cy="688975"/>
                <wp:effectExtent l="36195" t="635" r="65405" b="10160"/>
                <wp:wrapNone/>
                <wp:docPr id="1082" name="直線矢印コネクタ 1345"/>
                <a:graphic xmlns:a="http://schemas.openxmlformats.org/drawingml/2006/main">
                  <a:graphicData uri="http://schemas.microsoft.com/office/word/2010/wordprocessingShape">
                    <wps:wsp>
                      <wps:cNvPr id="1082" name="直線矢印コネクタ 1345"/>
                      <wps:cNvCnPr/>
                      <wps:spPr>
                        <a:xfrm flipV="1">
                          <a:off x="0" y="0"/>
                          <a:ext cx="0" cy="688975"/>
                        </a:xfrm>
                        <a:prstGeom prst="straightConnector1">
                          <a:avLst/>
                        </a:prstGeom>
                        <a:noFill/>
                        <a:ln w="25400" algn="ctr">
                          <a:solidFill>
                            <a:srgbClr val="000000"/>
                          </a:solidFill>
                          <a:round/>
                          <a:headEnd type="triangle" w="med" len="me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45" style="flip:y;mso-wrap-distance-right:9pt;mso-wrap-distance-bottom:0pt;margin-top:14.1pt;mso-position-vertical-relative:text;mso-position-horizontal-relative:text;position:absolute;height:54.25pt;mso-wrap-distance-top:0pt;width:0pt;mso-wrap-distance-left:9pt;margin-left:276.5pt;z-index:37;" o:spid="_x0000_s1082" o:allowincell="t" o:allowoverlap="t" filled="f" stroked="t" strokecolor="#000000" strokeweight="2pt" o:spt="32" type="#_x0000_t32">
                <v:fill/>
                <v:stroke filltype="solid" startarrow="block" startarrowwidth="medium" startarrowlength="medium" endarrow="block" endarrowwidth="medium" endarrowlength="medium"/>
                <v:imagedata o:title=""/>
                <w10:wrap type="none" anchorx="text" anchory="text"/>
              </v:shape>
            </w:pict>
          </mc:Fallback>
        </mc:AlternateContent>
      </w:r>
      <w:r>
        <w:rPr>
          <w:rFonts w:hint="default"/>
        </w:rPr>
        <mc:AlternateContent>
          <mc:Choice Requires="wps">
            <w:drawing>
              <wp:anchor distT="0" distB="0" distL="114300" distR="114300" simplePos="0" relativeHeight="38" behindDoc="0" locked="0" layoutInCell="1" hidden="0" allowOverlap="1">
                <wp:simplePos x="0" y="0"/>
                <wp:positionH relativeFrom="column">
                  <wp:posOffset>4667250</wp:posOffset>
                </wp:positionH>
                <wp:positionV relativeFrom="paragraph">
                  <wp:posOffset>179070</wp:posOffset>
                </wp:positionV>
                <wp:extent cx="0" cy="575310"/>
                <wp:effectExtent l="36195" t="635" r="65405" b="10160"/>
                <wp:wrapNone/>
                <wp:docPr id="1083" name="直線矢印コネクタ 1344"/>
                <a:graphic xmlns:a="http://schemas.openxmlformats.org/drawingml/2006/main">
                  <a:graphicData uri="http://schemas.microsoft.com/office/word/2010/wordprocessingShape">
                    <wps:wsp>
                      <wps:cNvPr id="1083" name="直線矢印コネクタ 1344"/>
                      <wps:cNvCnPr/>
                      <wps:spPr>
                        <a:xfrm flipV="1">
                          <a:off x="0" y="0"/>
                          <a:ext cx="0" cy="575310"/>
                        </a:xfrm>
                        <a:prstGeom prst="straightConnector1">
                          <a:avLst/>
                        </a:prstGeom>
                        <a:noFill/>
                        <a:ln w="25400" algn="ctr">
                          <a:solidFill>
                            <a:srgbClr val="000000"/>
                          </a:solidFill>
                          <a:round/>
                          <a:headEnd type="triangle" w="med" len="me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44" style="flip:y;mso-wrap-distance-right:9pt;mso-wrap-distance-bottom:0pt;margin-top:14.1pt;mso-position-vertical-relative:text;mso-position-horizontal-relative:text;position:absolute;height:45.3pt;mso-wrap-distance-top:0pt;width:0pt;mso-wrap-distance-left:9pt;margin-left:367.5pt;z-index:38;" o:spid="_x0000_s1083" o:allowincell="t" o:allowoverlap="t" filled="f" stroked="t" strokecolor="#000000" strokeweight="2pt" o:spt="32" type="#_x0000_t32">
                <v:fill/>
                <v:stroke filltype="solid" startarrow="block" startarrowwidth="medium" startarrowlength="medium" endarrow="block" endarrowwidth="medium" endarrowlength="medium"/>
                <v:imagedata o:title=""/>
                <w10:wrap type="none" anchorx="text" anchory="text"/>
              </v:shape>
            </w:pict>
          </mc:Fallback>
        </mc:AlternateContent>
      </w:r>
    </w:p>
    <w:p>
      <w:pPr>
        <w:pStyle w:val="0"/>
        <w:rPr>
          <w:rFonts w:hint="default"/>
        </w:rPr>
      </w:pPr>
      <w:r>
        <w:rPr>
          <w:rFonts w:hint="default"/>
        </w:rPr>
        <mc:AlternateContent>
          <mc:Choice Requires="wps">
            <w:drawing>
              <wp:anchor distT="0" distB="0" distL="114300" distR="114300" simplePos="0" relativeHeight="31" behindDoc="0" locked="0" layoutInCell="1" hidden="0" allowOverlap="1">
                <wp:simplePos x="0" y="0"/>
                <wp:positionH relativeFrom="column">
                  <wp:posOffset>2578100</wp:posOffset>
                </wp:positionH>
                <wp:positionV relativeFrom="paragraph">
                  <wp:posOffset>4445</wp:posOffset>
                </wp:positionV>
                <wp:extent cx="0" cy="1487805"/>
                <wp:effectExtent l="36195" t="635" r="65405" b="10160"/>
                <wp:wrapNone/>
                <wp:docPr id="1084" name="直線矢印コネクタ 1334"/>
                <a:graphic xmlns:a="http://schemas.openxmlformats.org/drawingml/2006/main">
                  <a:graphicData uri="http://schemas.microsoft.com/office/word/2010/wordprocessingShape">
                    <wps:wsp>
                      <wps:cNvPr id="1084" name="直線矢印コネクタ 1334"/>
                      <wps:cNvCnPr/>
                      <wps:spPr>
                        <a:xfrm>
                          <a:off x="0" y="0"/>
                          <a:ext cx="0" cy="1487805"/>
                        </a:xfrm>
                        <a:prstGeom prst="straightConnector1">
                          <a:avLst/>
                        </a:prstGeom>
                        <a:noFill/>
                        <a:ln w="25400" algn="ctr">
                          <a:solidFill>
                            <a:srgbClr val="000000"/>
                          </a:solidFill>
                          <a:round/>
                          <a:headEnd type="triangle" w="med" len="med"/>
                          <a:tailEn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34" style="mso-wrap-distance-right:9pt;mso-wrap-distance-bottom:0pt;margin-top:0.35pt;mso-position-vertical-relative:text;mso-position-horizontal-relative:text;position:absolute;height:117.15pt;mso-wrap-distance-top:0pt;width:0pt;mso-wrap-distance-left:9pt;margin-left:203pt;z-index:31;" o:spid="_x0000_s1084" o:allowincell="t" o:allowoverlap="t" filled="f" stroked="t" strokecolor="#000000" strokeweight="2pt" o:spt="32" type="#_x0000_t32">
                <v:fill/>
                <v:stroke filltype="solid" startarrow="block" startarrowwidth="medium" startarrowlength="medium"/>
                <v:imagedata o:title=""/>
                <w10:wrap type="none" anchorx="text" anchory="text"/>
              </v:shape>
            </w:pict>
          </mc:Fallback>
        </mc:AlternateContent>
      </w:r>
      <w:r>
        <w:rPr>
          <w:rFonts w:hint="default"/>
        </w:rPr>
        <mc:AlternateContent>
          <mc:Choice Requires="wps">
            <w:drawing>
              <wp:anchor distT="0" distB="0" distL="114300" distR="114300" simplePos="0" relativeHeight="39" behindDoc="0" locked="0" layoutInCell="1" hidden="0" allowOverlap="1">
                <wp:simplePos x="0" y="0"/>
                <wp:positionH relativeFrom="column">
                  <wp:posOffset>1911350</wp:posOffset>
                </wp:positionH>
                <wp:positionV relativeFrom="paragraph">
                  <wp:posOffset>4445</wp:posOffset>
                </wp:positionV>
                <wp:extent cx="0" cy="671830"/>
                <wp:effectExtent l="36195" t="0" r="65405" b="10160"/>
                <wp:wrapNone/>
                <wp:docPr id="1085" name="直線矢印コネクタ 1332"/>
                <a:graphic xmlns:a="http://schemas.openxmlformats.org/drawingml/2006/main">
                  <a:graphicData uri="http://schemas.microsoft.com/office/word/2010/wordprocessingShape">
                    <wps:wsp>
                      <wps:cNvPr id="1085" name="直線矢印コネクタ 1332"/>
                      <wps:cNvCnPr/>
                      <wps:spPr>
                        <a:xfrm>
                          <a:off x="0" y="0"/>
                          <a:ext cx="0" cy="671830"/>
                        </a:xfrm>
                        <a:prstGeom prst="straightConnector1">
                          <a:avLst/>
                        </a:prstGeom>
                        <a:noFill/>
                        <a:ln w="25400" algn="ctr">
                          <a:solidFill>
                            <a:srgbClr val="000000"/>
                          </a:solidFill>
                          <a:round/>
                          <a:headEn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32" style="mso-wrap-distance-right:9pt;mso-wrap-distance-bottom:0pt;margin-top:0.35pt;mso-position-vertical-relative:text;mso-position-horizontal-relative:text;position:absolute;height:52.9pt;mso-wrap-distance-top:0pt;width:0pt;mso-wrap-distance-left:9pt;margin-left:150.5pt;z-index:39;" o:spid="_x0000_s1085" o:allowincell="t" o:allowoverlap="t" filled="f" stroked="t" strokecolor="#000000" strokeweight="2pt" o:spt="32" type="#_x0000_t32">
                <v:fill/>
                <v:stroke filltype="solid" endarrow="block" endarrowwidth="medium" endarrowlength="medium"/>
                <v:imagedata o:title=""/>
                <w10:wrap type="none" anchorx="text" anchory="text"/>
              </v:shape>
            </w:pict>
          </mc:Fallback>
        </mc:AlternateContent>
      </w:r>
    </w:p>
    <w:p>
      <w:pPr>
        <w:pStyle w:val="0"/>
        <w:rPr>
          <w:rFonts w:hint="default"/>
        </w:rPr>
      </w:pPr>
      <w:r>
        <w:rPr>
          <w:rFonts w:hint="default"/>
        </w:rPr>
        <mc:AlternateContent>
          <mc:Choice Requires="wps">
            <w:drawing>
              <wp:anchor distT="0" distB="0" distL="114300" distR="114300" simplePos="0" relativeHeight="52" behindDoc="0" locked="0" layoutInCell="1" hidden="0" allowOverlap="1">
                <wp:simplePos x="0" y="0"/>
                <wp:positionH relativeFrom="column">
                  <wp:posOffset>2573020</wp:posOffset>
                </wp:positionH>
                <wp:positionV relativeFrom="paragraph">
                  <wp:posOffset>67945</wp:posOffset>
                </wp:positionV>
                <wp:extent cx="518160" cy="204470"/>
                <wp:effectExtent l="0" t="0" r="635" b="635"/>
                <wp:wrapNone/>
                <wp:docPr id="1086" name="テキスト ボックス 47"/>
                <a:graphic xmlns:a="http://schemas.openxmlformats.org/drawingml/2006/main">
                  <a:graphicData uri="http://schemas.microsoft.com/office/word/2010/wordprocessingShape">
                    <wps:wsp>
                      <wps:cNvPr id="1086" name="テキスト ボックス 47"/>
                      <wps:cNvSpPr txBox="1"/>
                      <wps:spPr>
                        <a:xfrm>
                          <a:off x="0" y="0"/>
                          <a:ext cx="518160" cy="204470"/>
                        </a:xfrm>
                        <a:prstGeom prst="rect">
                          <a:avLst/>
                        </a:prstGeom>
                        <a:noFill/>
                        <a:ln w="6350">
                          <a:noFill/>
                        </a:ln>
                      </wps:spPr>
                      <wps:txbx>
                        <w:txbxContent>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連絡調整</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7" style="mso-wrap-distance-right:9pt;mso-wrap-distance-bottom:0pt;margin-top:5.35pt;mso-position-vertical-relative:text;mso-position-horizontal-relative:text;v-text-anchor:middle;position:absolute;height:16.100000000000001pt;mso-wrap-distance-top:0pt;width:40.79pt;mso-wrap-distance-left:9pt;margin-left:202.6pt;z-index:52;" o:spid="_x0000_s1086" o:allowincell="t" o:allowoverlap="t" filled="f" stroked="f" strokeweight="0.5pt" o:spt="202" type="#_x0000_t202">
                <v:fill/>
                <v:textbox style="layout-flow:horizontal;" inset="0mm,0mm,0mm,0mm">
                  <w:txbxContent>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連絡調整</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1" behindDoc="0" locked="0" layoutInCell="1" hidden="0" allowOverlap="1">
                <wp:simplePos x="0" y="0"/>
                <wp:positionH relativeFrom="column">
                  <wp:posOffset>4145280</wp:posOffset>
                </wp:positionH>
                <wp:positionV relativeFrom="paragraph">
                  <wp:posOffset>70485</wp:posOffset>
                </wp:positionV>
                <wp:extent cx="518160" cy="204470"/>
                <wp:effectExtent l="0" t="0" r="635" b="635"/>
                <wp:wrapNone/>
                <wp:docPr id="1087" name="テキスト ボックス 40"/>
                <a:graphic xmlns:a="http://schemas.openxmlformats.org/drawingml/2006/main">
                  <a:graphicData uri="http://schemas.microsoft.com/office/word/2010/wordprocessingShape">
                    <wps:wsp>
                      <wps:cNvPr id="1087" name="テキスト ボックス 40"/>
                      <wps:cNvSpPr txBox="1"/>
                      <wps:spPr>
                        <a:xfrm>
                          <a:off x="0" y="0"/>
                          <a:ext cx="518160" cy="204470"/>
                        </a:xfrm>
                        <a:prstGeom prst="rect">
                          <a:avLst/>
                        </a:prstGeom>
                        <a:noFill/>
                        <a:ln w="6350">
                          <a:noFill/>
                        </a:ln>
                      </wps:spPr>
                      <wps:txbx>
                        <w:txbxContent>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連絡調整</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0" style="mso-wrap-distance-right:9pt;mso-wrap-distance-bottom:0pt;margin-top:5.55pt;mso-position-vertical-relative:text;mso-position-horizontal-relative:text;v-text-anchor:middle;position:absolute;height:16.100000000000001pt;mso-wrap-distance-top:0pt;width:40.79pt;mso-wrap-distance-left:9pt;margin-left:326.39pt;z-index:51;" o:spid="_x0000_s1087" o:allowincell="t" o:allowoverlap="t" filled="f" stroked="f" strokeweight="0.5pt" o:spt="202" type="#_x0000_t202">
                <v:fill/>
                <v:textbox style="layout-flow:horizontal;" inset="0mm,0mm,0mm,0mm">
                  <w:txbxContent>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連絡調整</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50" behindDoc="0" locked="0" layoutInCell="1" hidden="0" allowOverlap="1">
                <wp:simplePos x="0" y="0"/>
                <wp:positionH relativeFrom="column">
                  <wp:posOffset>3535045</wp:posOffset>
                </wp:positionH>
                <wp:positionV relativeFrom="paragraph">
                  <wp:posOffset>78105</wp:posOffset>
                </wp:positionV>
                <wp:extent cx="518160" cy="204470"/>
                <wp:effectExtent l="0" t="0" r="635" b="635"/>
                <wp:wrapNone/>
                <wp:docPr id="1088" name="テキスト ボックス 39"/>
                <a:graphic xmlns:a="http://schemas.openxmlformats.org/drawingml/2006/main">
                  <a:graphicData uri="http://schemas.microsoft.com/office/word/2010/wordprocessingShape">
                    <wps:wsp>
                      <wps:cNvPr id="1088" name="テキスト ボックス 39"/>
                      <wps:cNvSpPr txBox="1"/>
                      <wps:spPr>
                        <a:xfrm>
                          <a:off x="0" y="0"/>
                          <a:ext cx="518160" cy="204470"/>
                        </a:xfrm>
                        <a:prstGeom prst="rect">
                          <a:avLst/>
                        </a:prstGeom>
                        <a:noFill/>
                        <a:ln w="6350">
                          <a:noFill/>
                        </a:ln>
                      </wps:spPr>
                      <wps:txbx>
                        <w:txbxContent>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連絡調整</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9" style="mso-wrap-distance-right:9pt;mso-wrap-distance-bottom:0pt;margin-top:6.15pt;mso-position-vertical-relative:text;mso-position-horizontal-relative:text;v-text-anchor:middle;position:absolute;height:16.100000000000001pt;mso-wrap-distance-top:0pt;width:40.79pt;mso-wrap-distance-left:9pt;margin-left:278.35000000000002pt;z-index:50;" o:spid="_x0000_s1088" o:allowincell="t" o:allowoverlap="t" filled="f" stroked="f" strokeweight="0.5pt" o:spt="202" type="#_x0000_t202">
                <v:fill/>
                <v:textbox style="layout-flow:horizontal;" inset="0mm,0mm,0mm,0mm">
                  <w:txbxContent>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連絡調整</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r>
        <w:rPr>
          <w:rFonts w:hint="default"/>
        </w:rPr>
        <mc:AlternateContent>
          <mc:Choice Requires="wps">
            <w:drawing>
              <wp:anchor distT="0" distB="0" distL="114300" distR="114300" simplePos="0" relativeHeight="43" behindDoc="0" locked="0" layoutInCell="1" hidden="0" allowOverlap="1">
                <wp:simplePos x="0" y="0"/>
                <wp:positionH relativeFrom="column">
                  <wp:posOffset>2463800</wp:posOffset>
                </wp:positionH>
                <wp:positionV relativeFrom="paragraph">
                  <wp:posOffset>80010</wp:posOffset>
                </wp:positionV>
                <wp:extent cx="720090" cy="0"/>
                <wp:effectExtent l="635" t="36195" r="29210" b="46355"/>
                <wp:wrapNone/>
                <wp:docPr id="1089" name="直線矢印コネクタ 1322"/>
                <a:graphic xmlns:a="http://schemas.openxmlformats.org/drawingml/2006/main">
                  <a:graphicData uri="http://schemas.microsoft.com/office/word/2010/wordprocessingShape">
                    <wps:wsp>
                      <wps:cNvPr id="1089" name="直線矢印コネクタ 1322"/>
                      <wps:cNvCnPr/>
                      <wps:spPr>
                        <a:xfrm flipH="1">
                          <a:off x="0" y="0"/>
                          <a:ext cx="720090" cy="0"/>
                        </a:xfrm>
                        <a:prstGeom prst="straightConnector1">
                          <a:avLst/>
                        </a:prstGeom>
                        <a:noFill/>
                        <a:ln w="25400" algn="ctr">
                          <a:solidFill>
                            <a:srgbClr val="000000"/>
                          </a:solidFill>
                          <a:prstDash val="sysDot"/>
                          <a:round/>
                          <a:headEn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22" style="flip:x;mso-wrap-distance-right:9pt;mso-wrap-distance-bottom:0pt;margin-top:6.3pt;mso-position-vertical-relative:text;mso-position-horizontal-relative:text;position:absolute;height:0pt;mso-wrap-distance-top:0pt;width:56.7pt;mso-wrap-distance-left:9pt;margin-left:194pt;z-index:43;" o:spid="_x0000_s1089" o:allowincell="t" o:allowoverlap="t" filled="f" stroked="t" strokecolor="#000000" strokeweight="2pt" o:spt="32" type="#_x0000_t32">
                <v:fill/>
                <v:stroke dashstyle="shortdot" filltype="solid" endarrow="block" endarrowwidth="medium" endarrowlength="medium"/>
                <v:imagedata o:title=""/>
                <w10:wrap type="none" anchorx="text" anchory="text"/>
              </v:shape>
            </w:pict>
          </mc:Fallback>
        </mc:AlternateContent>
      </w:r>
      <w:r>
        <w:rPr>
          <w:rFonts w:hint="default"/>
        </w:rPr>
        <mc:AlternateContent>
          <mc:Choice Requires="wps">
            <w:drawing>
              <wp:anchor distT="0" distB="0" distL="114300" distR="114300" simplePos="0" relativeHeight="40" behindDoc="0" locked="0" layoutInCell="1" hidden="0" allowOverlap="1">
                <wp:simplePos x="0" y="0"/>
                <wp:positionH relativeFrom="column">
                  <wp:posOffset>1196340</wp:posOffset>
                </wp:positionH>
                <wp:positionV relativeFrom="paragraph">
                  <wp:posOffset>67310</wp:posOffset>
                </wp:positionV>
                <wp:extent cx="215900" cy="0"/>
                <wp:effectExtent l="635" t="36195" r="29210" b="46355"/>
                <wp:wrapNone/>
                <wp:docPr id="1090" name="直線矢印コネクタ 1321"/>
                <a:graphic xmlns:a="http://schemas.openxmlformats.org/drawingml/2006/main">
                  <a:graphicData uri="http://schemas.microsoft.com/office/word/2010/wordprocessingShape">
                    <wps:wsp>
                      <wps:cNvPr id="1090" name="直線矢印コネクタ 1321"/>
                      <wps:cNvCnPr/>
                      <wps:spPr>
                        <a:xfrm>
                          <a:off x="0" y="0"/>
                          <a:ext cx="215900" cy="0"/>
                        </a:xfrm>
                        <a:prstGeom prst="straightConnector1">
                          <a:avLst/>
                        </a:prstGeom>
                        <a:noFill/>
                        <a:ln w="25400" algn="ctr">
                          <a:solidFill>
                            <a:srgbClr val="000000"/>
                          </a:solidFill>
                          <a:round/>
                          <a:headEnd type="triangle" w="med" len="me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21" style="mso-wrap-distance-right:9pt;mso-wrap-distance-bottom:0pt;margin-top:5.3pt;mso-position-vertical-relative:text;mso-position-horizontal-relative:text;position:absolute;height:0pt;mso-wrap-distance-top:0pt;width:17pt;mso-wrap-distance-left:9pt;margin-left:94.2pt;z-index:40;" o:spid="_x0000_s1090" o:allowincell="t" o:allowoverlap="t" filled="f" stroked="t" strokecolor="#000000" strokeweight="2pt" o:spt="32" type="#_x0000_t32">
                <v:fill/>
                <v:stroke filltype="solid" startarrow="block" startarrowwidth="medium" startarrowlength="medium" endarrow="block" endarrowwidth="medium" endarrowlength="medium"/>
                <v:imagedata o:title=""/>
                <w10:wrap type="none" anchorx="text" anchory="text"/>
              </v:shape>
            </w:pict>
          </mc:Fallback>
        </mc:AlternateContent>
      </w:r>
      <w:r>
        <w:rPr>
          <w:rFonts w:hint="default"/>
        </w:rPr>
        <mc:AlternateContent>
          <mc:Choice Requires="wps">
            <w:drawing>
              <wp:anchor distT="0" distB="0" distL="114300" distR="114300" simplePos="0" relativeHeight="53" behindDoc="0" locked="0" layoutInCell="1" hidden="0" allowOverlap="1">
                <wp:simplePos x="0" y="0"/>
                <wp:positionH relativeFrom="column">
                  <wp:posOffset>2244725</wp:posOffset>
                </wp:positionH>
                <wp:positionV relativeFrom="paragraph">
                  <wp:posOffset>180340</wp:posOffset>
                </wp:positionV>
                <wp:extent cx="1153160" cy="455930"/>
                <wp:effectExtent l="0" t="0" r="635" b="635"/>
                <wp:wrapNone/>
                <wp:docPr id="1091" name="Text Box 11"/>
                <a:graphic xmlns:a="http://schemas.openxmlformats.org/drawingml/2006/main">
                  <a:graphicData uri="http://schemas.microsoft.com/office/word/2010/wordprocessingShape">
                    <wps:wsp>
                      <wps:cNvPr id="1091" name="Text Box 11"/>
                      <wps:cNvSpPr txBox="1">
                        <a:spLocks noChangeArrowheads="1"/>
                      </wps:cNvSpPr>
                      <wps:spPr>
                        <a:xfrm>
                          <a:off x="0" y="0"/>
                          <a:ext cx="1153160" cy="455930"/>
                        </a:xfrm>
                        <a:prstGeom prst="rect">
                          <a:avLst/>
                        </a:prstGeom>
                        <a:noFill/>
                        <a:ln>
                          <a:noFill/>
                        </a:ln>
                      </wps:spPr>
                      <wps:txbx>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災害支援協定を</w:t>
                            </w:r>
                          </w:p>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締結している場合</w:t>
                            </w:r>
                            <w:r>
                              <w:rPr>
                                <w:rFonts w:hint="eastAsia" w:ascii="HG丸ｺﾞｼｯｸM-PRO" w:hAnsi="HG丸ｺﾞｼｯｸM-PRO" w:eastAsia="HG丸ｺﾞｼｯｸM-PRO"/>
                                <w:sz w:val="18"/>
                                <w:vertAlign w:val="superscript"/>
                              </w:rPr>
                              <w:t>※</w:t>
                            </w:r>
                          </w:p>
                        </w:txbxContent>
                      </wps:txbx>
                      <wps:bodyPr rot="0" vertOverflow="overflow" horzOverflow="overflow" wrap="square" lIns="74295" tIns="8890" rIns="74295" bIns="8890" anchor="ctr" anchorCtr="0" upright="1"/>
                    </wps:wsp>
                  </a:graphicData>
                </a:graphic>
              </wp:anchor>
            </w:drawing>
          </mc:Choice>
          <mc:Fallback>
            <w:pict>
              <v:shapetype id="_x0000_t202" coordsize="21600,21600" o:spt="202" path="m,l,21600r21600,l21600,xe">
                <v:stroke joinstyle="miter"/>
                <v:path gradientshapeok="t" o:connecttype="rect"/>
              </v:shapetype>
              <v:shape id="Text Box 11" style="mso-wrap-distance-right:9pt;mso-wrap-distance-bottom:0pt;margin-top:14.2pt;mso-position-vertical-relative:text;mso-position-horizontal-relative:text;v-text-anchor:middle;position:absolute;height:35.9pt;mso-wrap-distance-top:0pt;width:90.8pt;mso-wrap-distance-left:9pt;margin-left:176.75pt;z-index:53;" o:spid="_x0000_s1091" o:allowincell="t" o:allowoverlap="t" filled="f" stroked="f" o:spt="202" type="#_x0000_t202">
                <v:fill/>
                <v:textbox style="layout-flow:horizontal;" inset="2.0637499999999998mm,0.24694444444444438mm,2.0637499999999998mm,0.24694444444444438mm">
                  <w:txbxContent>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災害支援協定を</w:t>
                      </w:r>
                    </w:p>
                    <w:p>
                      <w:pPr>
                        <w:pStyle w:val="0"/>
                        <w:spacing w:line="240" w:lineRule="exact"/>
                        <w:jc w:val="center"/>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締結している場合</w:t>
                      </w:r>
                      <w:r>
                        <w:rPr>
                          <w:rFonts w:hint="eastAsia" w:ascii="HG丸ｺﾞｼｯｸM-PRO" w:hAnsi="HG丸ｺﾞｼｯｸM-PRO" w:eastAsia="HG丸ｺﾞｼｯｸM-PRO"/>
                          <w:sz w:val="18"/>
                          <w:vertAlign w:val="superscript"/>
                        </w:rPr>
                        <w:t>※</w:t>
                      </w:r>
                    </w:p>
                  </w:txbxContent>
                </v:textbox>
                <v:imagedata o:title=""/>
                <w10:wrap type="none" anchorx="text" anchory="text"/>
              </v:shape>
            </w:pict>
          </mc:Fallback>
        </mc:AlternateContent>
      </w:r>
      <w:r>
        <w:rPr>
          <w:rFonts w:hint="default"/>
        </w:rPr>
        <mc:AlternateContent>
          <mc:Choice Requires="wps">
            <w:drawing>
              <wp:anchor distT="0" distB="0" distL="114300" distR="114300" simplePos="0" relativeHeight="41" behindDoc="0" locked="0" layoutInCell="1" hidden="0" allowOverlap="1">
                <wp:simplePos x="0" y="0"/>
                <wp:positionH relativeFrom="column">
                  <wp:posOffset>2057400</wp:posOffset>
                </wp:positionH>
                <wp:positionV relativeFrom="paragraph">
                  <wp:posOffset>177165</wp:posOffset>
                </wp:positionV>
                <wp:extent cx="0" cy="587375"/>
                <wp:effectExtent l="36195" t="635" r="65405" b="10160"/>
                <wp:wrapNone/>
                <wp:docPr id="1092" name="直線矢印コネクタ 1337"/>
                <a:graphic xmlns:a="http://schemas.openxmlformats.org/drawingml/2006/main">
                  <a:graphicData uri="http://schemas.microsoft.com/office/word/2010/wordprocessingShape">
                    <wps:wsp>
                      <wps:cNvPr id="1092" name="直線矢印コネクタ 1337"/>
                      <wps:cNvCnPr/>
                      <wps:spPr>
                        <a:xfrm flipV="1">
                          <a:off x="0" y="0"/>
                          <a:ext cx="0" cy="587375"/>
                        </a:xfrm>
                        <a:prstGeom prst="straightConnector1">
                          <a:avLst/>
                        </a:prstGeom>
                        <a:noFill/>
                        <a:ln w="25400" algn="ctr">
                          <a:solidFill>
                            <a:srgbClr val="000000"/>
                          </a:solidFill>
                          <a:round/>
                          <a:headEnd type="triangle" w="med" len="me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37" style="flip:y;mso-wrap-distance-right:9pt;mso-wrap-distance-bottom:0pt;margin-top:13.95pt;mso-position-vertical-relative:text;mso-position-horizontal-relative:text;position:absolute;height:46.25pt;mso-wrap-distance-top:0pt;width:0pt;mso-wrap-distance-left:9pt;margin-left:162pt;z-index:41;" o:spid="_x0000_s1092" o:allowincell="t" o:allowoverlap="t" filled="f" stroked="t" strokecolor="#000000" strokeweight="2pt" o:spt="32" type="#_x0000_t32">
                <v:fill/>
                <v:stroke filltype="solid" startarrow="block" startarrowwidth="medium" startarrowlength="medium" endarrow="block" endarrowwidth="medium" endarrowlength="medium"/>
                <v:imagedata o:title=""/>
                <w10:wrap type="none" anchorx="text" anchory="text"/>
              </v:shape>
            </w:pict>
          </mc:Fallback>
        </mc:AlternateContent>
      </w:r>
    </w:p>
    <w:p>
      <w:pPr>
        <w:pStyle w:val="0"/>
        <w:rPr>
          <w:rFonts w:hint="default"/>
        </w:rPr>
      </w:pPr>
      <w:r>
        <w:rPr>
          <w:rFonts w:hint="default"/>
        </w:rPr>
        <mc:AlternateContent>
          <mc:Choice Requires="wps">
            <w:drawing>
              <wp:anchor distT="0" distB="0" distL="114300" distR="114300" simplePos="0" relativeHeight="42" behindDoc="0" locked="0" layoutInCell="1" hidden="0" allowOverlap="1">
                <wp:simplePos x="0" y="0"/>
                <wp:positionH relativeFrom="column">
                  <wp:posOffset>812800</wp:posOffset>
                </wp:positionH>
                <wp:positionV relativeFrom="paragraph">
                  <wp:posOffset>127000</wp:posOffset>
                </wp:positionV>
                <wp:extent cx="0" cy="455930"/>
                <wp:effectExtent l="36195" t="635" r="65405" b="10160"/>
                <wp:wrapNone/>
                <wp:docPr id="1093" name="直線矢印コネクタ 1340"/>
                <a:graphic xmlns:a="http://schemas.openxmlformats.org/drawingml/2006/main">
                  <a:graphicData uri="http://schemas.microsoft.com/office/word/2010/wordprocessingShape">
                    <wps:wsp>
                      <wps:cNvPr id="1093" name="直線矢印コネクタ 1340"/>
                      <wps:cNvCnPr/>
                      <wps:spPr>
                        <a:xfrm flipV="1">
                          <a:off x="0" y="0"/>
                          <a:ext cx="0" cy="455930"/>
                        </a:xfrm>
                        <a:prstGeom prst="straightConnector1">
                          <a:avLst/>
                        </a:prstGeom>
                        <a:noFill/>
                        <a:ln w="25400" algn="ctr">
                          <a:solidFill>
                            <a:srgbClr val="000000"/>
                          </a:solidFill>
                          <a:round/>
                          <a:headEnd type="triangle" w="med" len="me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40" style="flip:y;mso-wrap-distance-right:9pt;mso-wrap-distance-bottom:0pt;margin-top:10pt;mso-position-vertical-relative:text;mso-position-horizontal-relative:text;position:absolute;height:35.9pt;mso-wrap-distance-top:0pt;width:0pt;mso-wrap-distance-left:9pt;margin-left:64pt;z-index:42;" o:spid="_x0000_s1093" o:allowincell="t" o:allowoverlap="t" filled="f" stroked="t" strokecolor="#000000" strokeweight="2pt" o:spt="32" type="#_x0000_t32">
                <v:fill/>
                <v:stroke filltype="solid" startarrow="block" startarrowwidth="medium" startarrowlength="medium" endarrow="block" endarrowwidth="medium" endarrowlength="medium"/>
                <v:imagedata o:title=""/>
                <w10:wrap type="none" anchorx="text" anchory="text"/>
              </v:shape>
            </w:pict>
          </mc:Fallback>
        </mc:AlternateContent>
      </w:r>
      <w:r>
        <w:rPr>
          <w:rFonts w:hint="default"/>
        </w:rPr>
        <mc:AlternateContent>
          <mc:Choice Requires="wps">
            <w:drawing>
              <wp:anchor distT="0" distB="0" distL="114300" distR="114300" simplePos="0" relativeHeight="44" behindDoc="0" locked="0" layoutInCell="1" hidden="0" allowOverlap="1">
                <wp:simplePos x="0" y="0"/>
                <wp:positionH relativeFrom="column">
                  <wp:posOffset>4667250</wp:posOffset>
                </wp:positionH>
                <wp:positionV relativeFrom="paragraph">
                  <wp:posOffset>127000</wp:posOffset>
                </wp:positionV>
                <wp:extent cx="0" cy="455930"/>
                <wp:effectExtent l="36195" t="635" r="65405" b="10160"/>
                <wp:wrapNone/>
                <wp:docPr id="1094" name="直線矢印コネクタ 1327"/>
                <a:graphic xmlns:a="http://schemas.openxmlformats.org/drawingml/2006/main">
                  <a:graphicData uri="http://schemas.microsoft.com/office/word/2010/wordprocessingShape">
                    <wps:wsp>
                      <wps:cNvPr id="1094" name="直線矢印コネクタ 1327"/>
                      <wps:cNvCnPr/>
                      <wps:spPr>
                        <a:xfrm flipV="1">
                          <a:off x="0" y="0"/>
                          <a:ext cx="0" cy="455930"/>
                        </a:xfrm>
                        <a:prstGeom prst="straightConnector1">
                          <a:avLst/>
                        </a:prstGeom>
                        <a:noFill/>
                        <a:ln w="25400" algn="ctr">
                          <a:solidFill>
                            <a:srgbClr val="000000"/>
                          </a:solidFill>
                          <a:round/>
                          <a:headEnd type="triangle" w="med" len="med"/>
                          <a:tailEnd type="triangle" w="med" len="med"/>
                        </a:ln>
                      </wps:spPr>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27" style="flip:y;mso-wrap-distance-right:9pt;mso-wrap-distance-bottom:0pt;margin-top:10pt;mso-position-vertical-relative:text;mso-position-horizontal-relative:text;position:absolute;height:35.9pt;mso-wrap-distance-top:0pt;width:0pt;mso-wrap-distance-left:9pt;margin-left:367.5pt;z-index:44;" o:spid="_x0000_s1094" o:allowincell="t" o:allowoverlap="t" filled="f" stroked="t" strokecolor="#000000" strokeweight="2pt" o:spt="32" type="#_x0000_t32">
                <v:fill/>
                <v:stroke filltype="solid" startarrow="block" startarrowwidth="medium" startarrowlength="medium" endarrow="block" endarrowwidth="medium" endarrowlength="medium"/>
                <v:imagedata o:title=""/>
                <w10:wrap type="none" anchorx="text" anchory="text"/>
              </v:shape>
            </w:pict>
          </mc:Fallback>
        </mc:AlternateContent>
      </w:r>
    </w:p>
    <w:p>
      <w:pPr>
        <w:pStyle w:val="0"/>
        <w:rPr>
          <w:rFonts w:hint="default"/>
        </w:rPr>
      </w:pPr>
      <w:r>
        <w:rPr>
          <w:rFonts w:hint="default"/>
        </w:rPr>
        <mc:AlternateContent>
          <mc:Choice Requires="wps">
            <w:drawing>
              <wp:anchor distT="0" distB="0" distL="114300" distR="114300" simplePos="0" relativeHeight="49" behindDoc="0" locked="0" layoutInCell="1" hidden="0" allowOverlap="1">
                <wp:simplePos x="0" y="0"/>
                <wp:positionH relativeFrom="column">
                  <wp:posOffset>4148455</wp:posOffset>
                </wp:positionH>
                <wp:positionV relativeFrom="paragraph">
                  <wp:posOffset>104775</wp:posOffset>
                </wp:positionV>
                <wp:extent cx="518160" cy="204470"/>
                <wp:effectExtent l="0" t="0" r="635" b="635"/>
                <wp:wrapNone/>
                <wp:docPr id="1095" name="テキスト ボックス 38"/>
                <a:graphic xmlns:a="http://schemas.openxmlformats.org/drawingml/2006/main">
                  <a:graphicData uri="http://schemas.microsoft.com/office/word/2010/wordprocessingShape">
                    <wps:wsp>
                      <wps:cNvPr id="1095" name="テキスト ボックス 38"/>
                      <wps:cNvSpPr txBox="1"/>
                      <wps:spPr>
                        <a:xfrm>
                          <a:off x="0" y="0"/>
                          <a:ext cx="518160" cy="204470"/>
                        </a:xfrm>
                        <a:prstGeom prst="rect">
                          <a:avLst/>
                        </a:prstGeom>
                        <a:noFill/>
                        <a:ln w="6350">
                          <a:noFill/>
                        </a:ln>
                      </wps:spPr>
                      <wps:txbx>
                        <w:txbxContent>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連絡調整</w:t>
                            </w:r>
                          </w:p>
                        </w:txbxContent>
                      </wps:txbx>
                      <wps:bodyPr rot="0" vertOverflow="overflow" horzOverflow="overflow" wrap="square" lIns="0" tIns="0" rIns="0" bIns="0" numCol="1" spcCol="0" rtlCol="0" fromWordArt="0" anchor="ctr"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38" style="mso-wrap-distance-right:9pt;mso-wrap-distance-bottom:0pt;margin-top:8.25pt;mso-position-vertical-relative:text;mso-position-horizontal-relative:text;v-text-anchor:middle;position:absolute;height:16.100000000000001pt;mso-wrap-distance-top:0pt;width:40.79pt;mso-wrap-distance-left:9pt;margin-left:326.64pt;z-index:49;" o:spid="_x0000_s1095" o:allowincell="t" o:allowoverlap="t" filled="f" stroked="f" strokeweight="0.5pt" o:spt="202" type="#_x0000_t202">
                <v:fill/>
                <v:textbox style="layout-flow:horizontal;" inset="0mm,0mm,0mm,0mm">
                  <w:txbxContent>
                    <w:p>
                      <w:pPr>
                        <w:pStyle w:val="0"/>
                        <w:rPr>
                          <w:rFonts w:hint="default" w:ascii="HG丸ｺﾞｼｯｸM-PRO" w:hAnsi="HG丸ｺﾞｼｯｸM-PRO" w:eastAsia="HG丸ｺﾞｼｯｸM-PRO"/>
                          <w:sz w:val="18"/>
                        </w:rPr>
                      </w:pPr>
                      <w:r>
                        <w:rPr>
                          <w:rFonts w:hint="eastAsia" w:ascii="HG丸ｺﾞｼｯｸM-PRO" w:hAnsi="HG丸ｺﾞｼｯｸM-PRO" w:eastAsia="HG丸ｺﾞｼｯｸM-PRO"/>
                          <w:sz w:val="18"/>
                        </w:rPr>
                        <w:t>連絡調整</w:t>
                      </w:r>
                    </w:p>
                  </w:txbxContent>
                </v:textbox>
                <v:imagedata o:title=""/>
                <w10:wrap type="none" anchorx="text" anchory="text"/>
              </v:shape>
            </w:pict>
          </mc:Fallback>
        </mc:AlternateConten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ind w:right="270"/>
        <w:rPr>
          <w:rFonts w:hint="default"/>
          <w:sz w:val="18"/>
        </w:rPr>
      </w:pPr>
      <w:bookmarkEnd w:id="22"/>
    </w:p>
    <w:p>
      <w:pPr>
        <w:pStyle w:val="0"/>
        <w:ind w:right="270"/>
        <w:rPr>
          <w:rFonts w:hint="default"/>
          <w:sz w:val="18"/>
        </w:rPr>
      </w:pPr>
      <w:r>
        <w:rPr>
          <w:rFonts w:hint="eastAsia"/>
          <w:sz w:val="18"/>
        </w:rPr>
        <w:t>※政令指定都市間や、姉妹都市関係にある市町村間では直接協力・支援が行われる場合がある。</w:t>
      </w:r>
    </w:p>
    <w:p>
      <w:pPr>
        <w:pStyle w:val="0"/>
        <w:ind w:right="270"/>
        <w:rPr>
          <w:rFonts w:hint="default"/>
          <w:sz w:val="18"/>
        </w:rPr>
      </w:pPr>
    </w:p>
    <w:p>
      <w:pPr>
        <w:pStyle w:val="0"/>
        <w:jc w:val="center"/>
        <w:rPr>
          <w:rFonts w:hint="default"/>
          <w:sz w:val="21"/>
        </w:rPr>
      </w:pPr>
      <w:r>
        <w:rPr>
          <w:rFonts w:hint="eastAsia"/>
          <w:sz w:val="21"/>
        </w:rPr>
        <w:t>図５　災害廃棄物処理に係る広域的な相互協力体制（例）</w:t>
      </w:r>
    </w:p>
    <w:p>
      <w:pPr>
        <w:pStyle w:val="0"/>
        <w:ind w:right="360"/>
        <w:rPr>
          <w:rFonts w:hint="default" w:ascii="ＭＳ 明朝" w:hAnsi="ＭＳ 明朝" w:eastAsia="ＭＳ 明朝"/>
          <w:sz w:val="18"/>
        </w:rPr>
      </w:pPr>
      <w:r>
        <w:rPr>
          <w:rFonts w:hint="eastAsia" w:ascii="ＭＳ 明朝" w:hAnsi="ＭＳ 明朝" w:eastAsia="ＭＳ 明朝"/>
          <w:sz w:val="18"/>
        </w:rPr>
        <w:t>出典：環境省災害廃棄物対策指針（平成</w:t>
      </w:r>
      <w:r>
        <w:rPr>
          <w:rFonts w:hint="eastAsia" w:ascii="ＭＳ 明朝" w:hAnsi="ＭＳ 明朝" w:eastAsia="ＭＳ 明朝"/>
          <w:sz w:val="18"/>
        </w:rPr>
        <w:t>26</w:t>
      </w:r>
      <w:r>
        <w:rPr>
          <w:rFonts w:hint="eastAsia" w:ascii="ＭＳ 明朝" w:hAnsi="ＭＳ 明朝" w:eastAsia="ＭＳ 明朝"/>
          <w:sz w:val="18"/>
        </w:rPr>
        <w:t>年</w:t>
      </w:r>
      <w:r>
        <w:rPr>
          <w:rFonts w:hint="eastAsia" w:ascii="ＭＳ 明朝" w:hAnsi="ＭＳ 明朝" w:eastAsia="ＭＳ 明朝"/>
          <w:sz w:val="18"/>
        </w:rPr>
        <w:t>3</w:t>
      </w:r>
      <w:r>
        <w:rPr>
          <w:rFonts w:hint="eastAsia" w:ascii="ＭＳ 明朝" w:hAnsi="ＭＳ 明朝" w:eastAsia="ＭＳ 明朝"/>
          <w:sz w:val="18"/>
        </w:rPr>
        <w:t>月）</w:t>
      </w:r>
      <w:r>
        <w:rPr>
          <w:rFonts w:hint="eastAsia" w:ascii="ＭＳ 明朝" w:hAnsi="ＭＳ 明朝" w:eastAsia="ＭＳ 明朝"/>
          <w:sz w:val="18"/>
        </w:rPr>
        <w:t>p</w:t>
      </w:r>
      <w:r>
        <w:rPr>
          <w:rFonts w:hint="default" w:ascii="ＭＳ 明朝" w:hAnsi="ＭＳ 明朝" w:eastAsia="ＭＳ 明朝"/>
          <w:sz w:val="18"/>
        </w:rPr>
        <w:t>.2-4</w:t>
      </w:r>
      <w:r>
        <w:rPr>
          <w:rFonts w:hint="eastAsia" w:ascii="ＭＳ 明朝" w:hAnsi="ＭＳ 明朝" w:eastAsia="ＭＳ 明朝"/>
          <w:sz w:val="18"/>
        </w:rPr>
        <w:t>を一部加筆・修正</w:t>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eastAsia"/>
          <w:sz w:val="24"/>
        </w:rPr>
        <w:t>【連絡先一覧】</w:t>
      </w:r>
    </w:p>
    <w:p>
      <w:pPr>
        <w:pStyle w:val="0"/>
        <w:rPr>
          <w:rFonts w:hint="default"/>
        </w:rPr>
      </w:pPr>
    </w:p>
    <w:p>
      <w:pPr>
        <w:pStyle w:val="17"/>
        <w:numPr>
          <w:ilvl w:val="0"/>
          <w:numId w:val="3"/>
        </w:numPr>
        <w:ind w:leftChars="0"/>
        <w:rPr>
          <w:rFonts w:hint="default"/>
          <w:sz w:val="21"/>
        </w:rPr>
      </w:pPr>
      <w:r>
        <w:rPr>
          <w:rFonts w:hint="eastAsia"/>
          <w:sz w:val="21"/>
        </w:rPr>
        <w:t>県及び関係する県内市町村</w:t>
      </w:r>
    </w:p>
    <w:tbl>
      <w:tblPr>
        <w:tblStyle w:val="11"/>
        <w:tblW w:w="8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1129"/>
        <w:gridCol w:w="1560"/>
        <w:gridCol w:w="2268"/>
        <w:gridCol w:w="1560"/>
        <w:gridCol w:w="1559"/>
      </w:tblGrid>
      <w:tr>
        <w:trPr>
          <w:trHeight w:val="334" w:hRule="atLeast"/>
          <w:tblHeader/>
        </w:trPr>
        <w:tc>
          <w:tcPr>
            <w:tcW w:w="112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県／市町村</w:t>
            </w:r>
          </w:p>
        </w:tc>
        <w:tc>
          <w:tcPr>
            <w:tcW w:w="156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課室名</w:t>
            </w:r>
          </w:p>
        </w:tc>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住所</w:t>
            </w:r>
          </w:p>
        </w:tc>
        <w:tc>
          <w:tcPr>
            <w:tcW w:w="156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電話番号</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FAX</w:t>
            </w:r>
            <w:r>
              <w:rPr>
                <w:rFonts w:hint="eastAsia" w:ascii="HGSｺﾞｼｯｸM" w:hAnsi="HGSｺﾞｼｯｸM" w:eastAsia="HGSｺﾞｼｯｸM"/>
                <w:sz w:val="18"/>
              </w:rPr>
              <w:t>番号</w:t>
            </w:r>
          </w:p>
        </w:tc>
      </w:tr>
      <w:tr>
        <w:trPr>
          <w:trHeight w:val="334" w:hRule="atLeast"/>
        </w:trPr>
        <w:tc>
          <w:tcPr>
            <w:tcW w:w="112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沖縄県</w:t>
            </w:r>
          </w:p>
        </w:tc>
        <w:tc>
          <w:tcPr>
            <w:tcW w:w="156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rPr>
                <w:rFonts w:hint="default" w:ascii="HGSｺﾞｼｯｸM" w:hAnsi="HGSｺﾞｼｯｸM" w:eastAsia="HGSｺﾞｼｯｸM"/>
                <w:sz w:val="18"/>
              </w:rPr>
            </w:pPr>
            <w:r>
              <w:rPr>
                <w:rFonts w:hint="eastAsia" w:ascii="HGSｺﾞｼｯｸM" w:hAnsi="HGSｺﾞｼｯｸM" w:eastAsia="HGSｺﾞｼｯｸM"/>
                <w:sz w:val="18"/>
              </w:rPr>
              <w:t>環境部</w:t>
            </w:r>
          </w:p>
          <w:p>
            <w:pPr>
              <w:pStyle w:val="0"/>
              <w:widowControl w:val="1"/>
              <w:snapToGrid w:val="0"/>
              <w:rPr>
                <w:rFonts w:hint="default" w:ascii="HGSｺﾞｼｯｸM" w:hAnsi="HGSｺﾞｼｯｸM" w:eastAsia="HGSｺﾞｼｯｸM"/>
                <w:sz w:val="18"/>
              </w:rPr>
            </w:pPr>
            <w:r>
              <w:rPr>
                <w:rFonts w:hint="eastAsia" w:ascii="HGSｺﾞｼｯｸM" w:hAnsi="HGSｺﾞｼｯｸM" w:eastAsia="HGSｺﾞｼｯｸM"/>
                <w:sz w:val="18"/>
              </w:rPr>
              <w:t>環境整備課</w:t>
            </w:r>
          </w:p>
        </w:tc>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rPr>
                <w:rFonts w:hint="default" w:ascii="HGSｺﾞｼｯｸM" w:hAnsi="HGSｺﾞｼｯｸM" w:eastAsia="HGSｺﾞｼｯｸM"/>
                <w:sz w:val="18"/>
              </w:rPr>
            </w:pPr>
            <w:r>
              <w:rPr>
                <w:rFonts w:hint="eastAsia" w:ascii="HGSｺﾞｼｯｸM" w:hAnsi="HGSｺﾞｼｯｸM" w:eastAsia="HGSｺﾞｼｯｸM"/>
                <w:sz w:val="18"/>
              </w:rPr>
              <w:t>沖縄県那覇市泉崎</w:t>
            </w:r>
            <w:r>
              <w:rPr>
                <w:rFonts w:hint="eastAsia" w:ascii="HGSｺﾞｼｯｸM" w:hAnsi="HGSｺﾞｼｯｸM" w:eastAsia="HGSｺﾞｼｯｸM"/>
                <w:sz w:val="18"/>
              </w:rPr>
              <w:t>1-2-2</w:t>
            </w:r>
          </w:p>
          <w:p>
            <w:pPr>
              <w:pStyle w:val="0"/>
              <w:widowControl w:val="1"/>
              <w:snapToGrid w:val="0"/>
              <w:rPr>
                <w:rFonts w:hint="default" w:ascii="HGSｺﾞｼｯｸM" w:hAnsi="HGSｺﾞｼｯｸM" w:eastAsia="HGSｺﾞｼｯｸM"/>
                <w:sz w:val="18"/>
              </w:rPr>
            </w:pPr>
            <w:r>
              <w:rPr>
                <w:rFonts w:hint="eastAsia" w:ascii="HGSｺﾞｼｯｸM" w:hAnsi="HGSｺﾞｼｯｸM" w:eastAsia="HGSｺﾞｼｯｸM"/>
                <w:sz w:val="18"/>
              </w:rPr>
              <w:t>行政棟</w:t>
            </w:r>
            <w:r>
              <w:rPr>
                <w:rFonts w:hint="eastAsia" w:ascii="HGSｺﾞｼｯｸM" w:hAnsi="HGSｺﾞｼｯｸM" w:eastAsia="HGSｺﾞｼｯｸM"/>
                <w:sz w:val="18"/>
              </w:rPr>
              <w:t>4</w:t>
            </w:r>
            <w:r>
              <w:rPr>
                <w:rFonts w:hint="eastAsia" w:ascii="HGSｺﾞｼｯｸM" w:hAnsi="HGSｺﾞｼｯｸM" w:eastAsia="HGSｺﾞｼｯｸM"/>
                <w:sz w:val="18"/>
              </w:rPr>
              <w:t>階（北側）</w:t>
            </w:r>
          </w:p>
        </w:tc>
        <w:tc>
          <w:tcPr>
            <w:tcW w:w="156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ind w:right="-90" w:rightChars="-41"/>
              <w:rPr>
                <w:rFonts w:hint="default" w:ascii="HGSｺﾞｼｯｸM" w:hAnsi="HGSｺﾞｼｯｸM" w:eastAsia="HGSｺﾞｼｯｸM"/>
                <w:sz w:val="18"/>
              </w:rPr>
            </w:pPr>
            <w:r>
              <w:rPr>
                <w:rFonts w:hint="eastAsia" w:ascii="HGSｺﾞｼｯｸM" w:hAnsi="HGSｺﾞｼｯｸM" w:eastAsia="HGSｺﾞｼｯｸM"/>
                <w:sz w:val="18"/>
              </w:rPr>
              <w:t>098-866-2231</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rPr>
                <w:rFonts w:hint="default" w:ascii="HGSｺﾞｼｯｸM" w:hAnsi="HGSｺﾞｼｯｸM" w:eastAsia="HGSｺﾞｼｯｸM"/>
                <w:sz w:val="18"/>
              </w:rPr>
            </w:pPr>
            <w:r>
              <w:rPr>
                <w:rFonts w:hint="eastAsia" w:ascii="HGSｺﾞｼｯｸM" w:hAnsi="HGSｺﾞｼｯｸM" w:eastAsia="HGSｺﾞｼｯｸM"/>
                <w:sz w:val="18"/>
              </w:rPr>
              <w:t>098-866-2235</w:t>
            </w:r>
          </w:p>
        </w:tc>
      </w:tr>
    </w:tbl>
    <w:p>
      <w:pPr>
        <w:pStyle w:val="38"/>
        <w:ind w:firstLine="0"/>
        <w:rPr>
          <w:rFonts w:hint="default"/>
        </w:rPr>
      </w:pPr>
    </w:p>
    <w:p>
      <w:pPr>
        <w:pStyle w:val="0"/>
        <w:rPr>
          <w:rFonts w:hint="default"/>
        </w:rPr>
      </w:pPr>
      <w:r>
        <w:rPr>
          <w:rFonts w:hint="eastAsia"/>
        </w:rPr>
        <w:t>イ）</w:t>
      </w:r>
      <w:r>
        <w:rPr>
          <w:rFonts w:hint="eastAsia"/>
          <w:sz w:val="21"/>
        </w:rPr>
        <w:t>関係する</w:t>
      </w:r>
      <w:r>
        <w:rPr>
          <w:rFonts w:hint="eastAsia"/>
        </w:rPr>
        <w:t>廃棄物処理施設（市町村および一部事務組合設置）</w:t>
      </w:r>
    </w:p>
    <w:p>
      <w:pPr>
        <w:pStyle w:val="0"/>
        <w:rPr>
          <w:rFonts w:hint="default"/>
        </w:rPr>
      </w:pPr>
      <w:r>
        <w:rPr>
          <w:rFonts w:hint="eastAsia"/>
          <w:sz w:val="21"/>
        </w:rPr>
        <w:t>１）ごみ焼却施設</w:t>
      </w:r>
    </w:p>
    <w:tbl>
      <w:tblPr>
        <w:tblStyle w:val="11"/>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2972"/>
        <w:gridCol w:w="1701"/>
        <w:gridCol w:w="3119"/>
        <w:gridCol w:w="1559"/>
      </w:tblGrid>
      <w:tr>
        <w:trPr>
          <w:trHeight w:val="334" w:hRule="atLeast"/>
          <w:tblHeader/>
        </w:trPr>
        <w:tc>
          <w:tcPr>
            <w:tcW w:w="29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施設名</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事業主体</w:t>
            </w:r>
          </w:p>
        </w:tc>
        <w:tc>
          <w:tcPr>
            <w:tcW w:w="31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住所</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電話番号</w:t>
            </w:r>
          </w:p>
        </w:tc>
      </w:tr>
      <w:tr>
        <w:trPr>
          <w:trHeight w:val="454" w:hRule="atLeast"/>
        </w:trPr>
        <w:tc>
          <w:tcPr>
            <w:tcW w:w="297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那覇・南風原クリーンセンター</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那覇市・南風原町環境施設組合</w:t>
            </w:r>
          </w:p>
        </w:tc>
        <w:tc>
          <w:tcPr>
            <w:tcW w:w="311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rPr>
                <w:rFonts w:hint="default" w:ascii="HGSｺﾞｼｯｸM" w:hAnsi="HGSｺﾞｼｯｸM" w:eastAsia="HGSｺﾞｼｯｸM"/>
                <w:sz w:val="18"/>
              </w:rPr>
            </w:pPr>
            <w:r>
              <w:rPr>
                <w:rFonts w:hint="eastAsia" w:ascii="HGSｺﾞｼｯｸM" w:hAnsi="HGSｺﾞｼｯｸM" w:eastAsia="HGSｺﾞｼｯｸM"/>
                <w:sz w:val="18"/>
              </w:rPr>
              <w:t>島尻郡南風原町字新川</w:t>
            </w:r>
            <w:r>
              <w:rPr>
                <w:rFonts w:hint="eastAsia" w:ascii="HGSｺﾞｼｯｸM" w:hAnsi="HGSｺﾞｼｯｸM" w:eastAsia="HGSｺﾞｼｯｸM"/>
                <w:sz w:val="18"/>
              </w:rPr>
              <w:t>650</w:t>
            </w:r>
            <w:r>
              <w:rPr>
                <w:rFonts w:hint="eastAsia" w:ascii="HGSｺﾞｼｯｸM" w:hAnsi="HGSｺﾞｼｯｸM" w:eastAsia="HGSｺﾞｼｯｸM"/>
                <w:sz w:val="18"/>
              </w:rPr>
              <w:t>番地</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sz w:val="18"/>
              </w:rPr>
            </w:pPr>
            <w:r>
              <w:rPr>
                <w:rFonts w:hint="default" w:ascii="HGSｺﾞｼｯｸM" w:hAnsi="HGSｺﾞｼｯｸM" w:eastAsia="HGSｺﾞｼｯｸM"/>
                <w:sz w:val="18"/>
              </w:rPr>
              <w:t>098-882-6701</w:t>
            </w:r>
          </w:p>
        </w:tc>
      </w:tr>
    </w:tbl>
    <w:p>
      <w:pPr>
        <w:pStyle w:val="0"/>
        <w:rPr>
          <w:rFonts w:hint="default"/>
        </w:rPr>
      </w:pPr>
    </w:p>
    <w:p>
      <w:pPr>
        <w:pStyle w:val="0"/>
        <w:rPr>
          <w:rFonts w:hint="default"/>
          <w:sz w:val="21"/>
        </w:rPr>
      </w:pPr>
      <w:r>
        <w:rPr>
          <w:rFonts w:hint="eastAsia"/>
          <w:sz w:val="21"/>
        </w:rPr>
        <w:t>２）最終処分場</w:t>
      </w:r>
    </w:p>
    <w:tbl>
      <w:tblPr>
        <w:tblStyle w:val="11"/>
        <w:tblW w:w="9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2547"/>
        <w:gridCol w:w="1134"/>
        <w:gridCol w:w="1559"/>
        <w:gridCol w:w="2552"/>
        <w:gridCol w:w="1508"/>
      </w:tblGrid>
      <w:tr>
        <w:trPr>
          <w:cantSplit/>
          <w:trHeight w:val="253" w:hRule="atLeast"/>
          <w:tblHeader/>
        </w:trPr>
        <w:tc>
          <w:tcPr>
            <w:tcW w:w="25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施設名</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top"/>
          </w:tcPr>
          <w:p>
            <w:pPr>
              <w:pStyle w:val="0"/>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状況</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事業主体</w:t>
            </w:r>
          </w:p>
        </w:tc>
        <w:tc>
          <w:tcPr>
            <w:tcW w:w="25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住所</w:t>
            </w:r>
          </w:p>
        </w:tc>
        <w:tc>
          <w:tcPr>
            <w:tcW w:w="15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電話番号</w:t>
            </w:r>
          </w:p>
        </w:tc>
      </w:tr>
      <w:tr>
        <w:trPr>
          <w:cantSplit/>
          <w:trHeight w:val="454" w:hRule="atLeast"/>
        </w:trPr>
        <w:tc>
          <w:tcPr>
            <w:tcW w:w="25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那覇エコアイランド</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埋立中</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那覇市・南風原町環境施設組合</w:t>
            </w:r>
          </w:p>
        </w:tc>
        <w:tc>
          <w:tcPr>
            <w:tcW w:w="25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rPr>
                <w:rFonts w:hint="default" w:ascii="HGSｺﾞｼｯｸM" w:hAnsi="HGSｺﾞｼｯｸM" w:eastAsia="HGSｺﾞｼｯｸM"/>
                <w:sz w:val="18"/>
              </w:rPr>
            </w:pPr>
            <w:r>
              <w:rPr>
                <w:rFonts w:hint="eastAsia" w:ascii="HGSｺﾞｼｯｸM" w:hAnsi="HGSｺﾞｼｯｸM" w:eastAsia="HGSｺﾞｼｯｸM"/>
                <w:sz w:val="18"/>
              </w:rPr>
              <w:t>那覇市港町</w:t>
            </w:r>
            <w:r>
              <w:rPr>
                <w:rFonts w:hint="eastAsia" w:ascii="HGSｺﾞｼｯｸM" w:hAnsi="HGSｺﾞｼｯｸM" w:eastAsia="HGSｺﾞｼｯｸM"/>
                <w:sz w:val="18"/>
              </w:rPr>
              <w:t>4</w:t>
            </w:r>
            <w:r>
              <w:rPr>
                <w:rFonts w:hint="eastAsia" w:ascii="HGSｺﾞｼｯｸM" w:hAnsi="HGSｺﾞｼｯｸM" w:eastAsia="HGSｺﾞｼｯｸM"/>
                <w:sz w:val="18"/>
              </w:rPr>
              <w:t>丁目</w:t>
            </w:r>
            <w:r>
              <w:rPr>
                <w:rFonts w:hint="eastAsia" w:ascii="HGSｺﾞｼｯｸM" w:hAnsi="HGSｺﾞｼｯｸM" w:eastAsia="HGSｺﾞｼｯｸM"/>
                <w:sz w:val="18"/>
              </w:rPr>
              <w:t>3</w:t>
            </w:r>
            <w:r>
              <w:rPr>
                <w:rFonts w:hint="eastAsia" w:ascii="HGSｺﾞｼｯｸM" w:hAnsi="HGSｺﾞｼｯｸM" w:eastAsia="HGSｺﾞｼｯｸM"/>
                <w:sz w:val="18"/>
              </w:rPr>
              <w:t>番</w:t>
            </w:r>
            <w:r>
              <w:rPr>
                <w:rFonts w:hint="eastAsia" w:ascii="HGSｺﾞｼｯｸM" w:hAnsi="HGSｺﾞｼｯｸM" w:eastAsia="HGSｺﾞｼｯｸM"/>
                <w:sz w:val="18"/>
              </w:rPr>
              <w:t>6</w:t>
            </w:r>
            <w:r>
              <w:rPr>
                <w:rFonts w:hint="eastAsia" w:ascii="HGSｺﾞｼｯｸM" w:hAnsi="HGSｺﾞｼｯｸM" w:eastAsia="HGSｺﾞｼｯｸM"/>
                <w:sz w:val="18"/>
              </w:rPr>
              <w:t>の地先</w:t>
            </w:r>
          </w:p>
        </w:tc>
        <w:tc>
          <w:tcPr>
            <w:tcW w:w="150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jc w:val="center"/>
              <w:rPr>
                <w:rFonts w:hint="default" w:ascii="HGSｺﾞｼｯｸM" w:hAnsi="HGSｺﾞｼｯｸM" w:eastAsia="HGSｺﾞｼｯｸM"/>
                <w:sz w:val="18"/>
              </w:rPr>
            </w:pPr>
            <w:r>
              <w:rPr>
                <w:rFonts w:hint="default" w:ascii="HGSｺﾞｼｯｸM" w:hAnsi="HGSｺﾞｼｯｸM" w:eastAsia="HGSｺﾞｼｯｸM"/>
                <w:sz w:val="18"/>
              </w:rPr>
              <w:t>098-882-6701</w:t>
            </w:r>
          </w:p>
        </w:tc>
      </w:tr>
    </w:tbl>
    <w:p>
      <w:pPr>
        <w:pStyle w:val="0"/>
        <w:rPr>
          <w:rFonts w:hint="default"/>
          <w:sz w:val="21"/>
        </w:rPr>
      </w:pPr>
    </w:p>
    <w:p>
      <w:pPr>
        <w:pStyle w:val="0"/>
        <w:rPr>
          <w:rFonts w:hint="default"/>
          <w:sz w:val="21"/>
        </w:rPr>
      </w:pPr>
      <w:r>
        <w:rPr>
          <w:rFonts w:hint="eastAsia"/>
          <w:sz w:val="21"/>
        </w:rPr>
        <w:t>３）し尿処理施設</w:t>
      </w:r>
    </w:p>
    <w:tbl>
      <w:tblPr>
        <w:tblStyle w:val="11"/>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2689"/>
        <w:gridCol w:w="1701"/>
        <w:gridCol w:w="2693"/>
        <w:gridCol w:w="2268"/>
      </w:tblGrid>
      <w:tr>
        <w:trPr>
          <w:cantSplit/>
          <w:trHeight w:val="253" w:hRule="atLeast"/>
          <w:tblHeader/>
        </w:trPr>
        <w:tc>
          <w:tcPr>
            <w:tcW w:w="26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施設名</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事業主体</w:t>
            </w:r>
          </w:p>
        </w:tc>
        <w:tc>
          <w:tcPr>
            <w:tcW w:w="26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住所</w:t>
            </w:r>
          </w:p>
        </w:tc>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電話番号</w:t>
            </w:r>
          </w:p>
        </w:tc>
      </w:tr>
      <w:tr>
        <w:trPr>
          <w:cantSplit/>
          <w:trHeight w:val="454" w:hRule="atLeast"/>
        </w:trPr>
        <w:tc>
          <w:tcPr>
            <w:tcW w:w="268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汚泥再生処理センター</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南部広域行政組合</w:t>
            </w:r>
          </w:p>
        </w:tc>
        <w:tc>
          <w:tcPr>
            <w:tcW w:w="26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rPr>
                <w:rFonts w:hint="default" w:ascii="HGSｺﾞｼｯｸM" w:hAnsi="HGSｺﾞｼｯｸM" w:eastAsia="HGSｺﾞｼｯｸM"/>
                <w:sz w:val="16"/>
              </w:rPr>
            </w:pPr>
            <w:r>
              <w:rPr>
                <w:rFonts w:hint="eastAsia" w:ascii="HGSｺﾞｼｯｸM" w:hAnsi="HGSｺﾞｼｯｸM" w:eastAsia="HGSｺﾞｼｯｸM"/>
                <w:sz w:val="18"/>
              </w:rPr>
              <w:t>西原町字小那覇</w:t>
            </w:r>
            <w:r>
              <w:rPr>
                <w:rFonts w:hint="eastAsia" w:ascii="HGSｺﾞｼｯｸM" w:hAnsi="HGSｺﾞｼｯｸM" w:eastAsia="HGSｺﾞｼｯｸM"/>
                <w:sz w:val="18"/>
              </w:rPr>
              <w:t>964</w:t>
            </w:r>
            <w:r>
              <w:rPr>
                <w:rFonts w:hint="eastAsia" w:ascii="HGSｺﾞｼｯｸM" w:hAnsi="HGSｺﾞｼｯｸM" w:eastAsia="HGSｺﾞｼｯｸM"/>
                <w:sz w:val="18"/>
              </w:rPr>
              <w:t>番地</w:t>
            </w:r>
          </w:p>
        </w:tc>
        <w:tc>
          <w:tcPr>
            <w:tcW w:w="226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napToGrid w:val="0"/>
              <w:jc w:val="center"/>
              <w:rPr>
                <w:rFonts w:hint="default" w:ascii="HGSｺﾞｼｯｸM" w:hAnsi="HGSｺﾞｼｯｸM" w:eastAsia="HGSｺﾞｼｯｸM"/>
                <w:color w:val="FF0000"/>
                <w:sz w:val="18"/>
              </w:rPr>
            </w:pPr>
            <w:r>
              <w:rPr>
                <w:rFonts w:hint="default" w:ascii="HGSｺﾞｼｯｸM" w:hAnsi="HGSｺﾞｼｯｸM" w:eastAsia="HGSｺﾞｼｯｸM"/>
                <w:sz w:val="18"/>
              </w:rPr>
              <w:t>098-943-4421</w:t>
            </w:r>
          </w:p>
        </w:tc>
      </w:tr>
    </w:tbl>
    <w:p>
      <w:pPr>
        <w:pStyle w:val="0"/>
        <w:rPr>
          <w:rFonts w:hint="default"/>
        </w:rPr>
      </w:pPr>
    </w:p>
    <w:p>
      <w:pPr>
        <w:pStyle w:val="0"/>
        <w:rPr>
          <w:rFonts w:hint="default"/>
        </w:rPr>
      </w:pPr>
    </w:p>
    <w:p>
      <w:pPr>
        <w:pStyle w:val="0"/>
        <w:rPr>
          <w:rFonts w:hint="default"/>
          <w:sz w:val="21"/>
        </w:rPr>
      </w:pPr>
      <w:r>
        <w:rPr>
          <w:rFonts w:hint="eastAsia"/>
          <w:sz w:val="21"/>
        </w:rPr>
        <w:t>ウ）国関係の廃棄物担当課</w:t>
      </w:r>
    </w:p>
    <w:tbl>
      <w:tblPr>
        <w:tblStyle w:val="1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1555"/>
        <w:gridCol w:w="1701"/>
        <w:gridCol w:w="2409"/>
        <w:gridCol w:w="1843"/>
        <w:gridCol w:w="1559"/>
      </w:tblGrid>
      <w:tr>
        <w:trPr>
          <w:trHeight w:val="423" w:hRule="atLeast"/>
          <w:tblHeader/>
        </w:trPr>
        <w:tc>
          <w:tcPr>
            <w:tcW w:w="15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color w:val="000000"/>
                <w:sz w:val="18"/>
              </w:rPr>
              <w:t>団体名</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color w:val="000000"/>
                <w:sz w:val="18"/>
              </w:rPr>
              <w:t>担当課名</w:t>
            </w:r>
          </w:p>
        </w:tc>
        <w:tc>
          <w:tcPr>
            <w:tcW w:w="240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住所</w:t>
            </w:r>
          </w:p>
        </w:tc>
        <w:tc>
          <w:tcPr>
            <w:tcW w:w="18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電話番号</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sz w:val="18"/>
              </w:rPr>
              <w:t>FAX</w:t>
            </w:r>
            <w:r>
              <w:rPr>
                <w:rFonts w:hint="eastAsia" w:ascii="HGSｺﾞｼｯｸM" w:hAnsi="HGSｺﾞｼｯｸM" w:eastAsia="HGSｺﾞｼｯｸM"/>
                <w:sz w:val="18"/>
              </w:rPr>
              <w:t>番号</w:t>
            </w:r>
          </w:p>
        </w:tc>
      </w:tr>
      <w:tr>
        <w:trPr>
          <w:trHeight w:val="253" w:hRule="atLeast"/>
          <w:tblHeader/>
        </w:trPr>
        <w:tc>
          <w:tcPr>
            <w:tcW w:w="15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環境省</w:t>
            </w:r>
          </w:p>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color w:val="000000"/>
                <w:sz w:val="18"/>
              </w:rPr>
              <w:t>環境再生・資源循環局</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環境再生事業担当参事官付</w:t>
            </w:r>
          </w:p>
          <w:p>
            <w:pPr>
              <w:pStyle w:val="0"/>
              <w:widowControl w:val="1"/>
              <w:snapToGrid w:val="0"/>
              <w:rPr>
                <w:rFonts w:hint="default" w:ascii="HGSｺﾞｼｯｸM" w:hAnsi="HGSｺﾞｼｯｸM" w:eastAsia="HGSｺﾞｼｯｸM"/>
                <w:sz w:val="18"/>
              </w:rPr>
            </w:pPr>
            <w:r>
              <w:rPr>
                <w:rFonts w:hint="eastAsia" w:ascii="HGSｺﾞｼｯｸM" w:hAnsi="HGSｺﾞｼｯｸM" w:eastAsia="HGSｺﾞｼｯｸM"/>
                <w:color w:val="000000"/>
                <w:sz w:val="18"/>
              </w:rPr>
              <w:t>災害廃棄物対策室</w:t>
            </w:r>
          </w:p>
        </w:tc>
        <w:tc>
          <w:tcPr>
            <w:tcW w:w="240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rPr>
                <w:rFonts w:hint="default" w:ascii="HGSｺﾞｼｯｸM" w:hAnsi="HGSｺﾞｼｯｸM" w:eastAsia="HGSｺﾞｼｯｸM"/>
                <w:sz w:val="18"/>
              </w:rPr>
            </w:pPr>
            <w:r>
              <w:rPr>
                <w:rFonts w:hint="eastAsia" w:ascii="HGSｺﾞｼｯｸM" w:hAnsi="HGSｺﾞｼｯｸM" w:eastAsia="HGSｺﾞｼｯｸM"/>
                <w:color w:val="000000"/>
                <w:sz w:val="18"/>
              </w:rPr>
              <w:t>東京都千代田区霞が関</w:t>
            </w:r>
            <w:r>
              <w:rPr>
                <w:rFonts w:hint="eastAsia" w:ascii="HGSｺﾞｼｯｸM" w:hAnsi="HGSｺﾞｼｯｸM" w:eastAsia="HGSｺﾞｼｯｸM"/>
                <w:color w:val="000000"/>
                <w:sz w:val="18"/>
              </w:rPr>
              <w:br w:type="textWrapping" w:clear="none"/>
            </w:r>
            <w:r>
              <w:rPr>
                <w:rFonts w:hint="eastAsia" w:ascii="HGSｺﾞｼｯｸM" w:hAnsi="HGSｺﾞｼｯｸM" w:eastAsia="HGSｺﾞｼｯｸM"/>
                <w:color w:val="000000"/>
                <w:sz w:val="18"/>
              </w:rPr>
              <w:t>1-2-2</w:t>
            </w:r>
            <w:r>
              <w:rPr>
                <w:rFonts w:hint="eastAsia" w:ascii="HGSｺﾞｼｯｸM" w:hAnsi="HGSｺﾞｼｯｸM" w:eastAsia="HGSｺﾞｼｯｸM"/>
                <w:color w:val="000000"/>
                <w:sz w:val="18"/>
              </w:rPr>
              <w:t>中央合同庁舎</w:t>
            </w:r>
            <w:r>
              <w:rPr>
                <w:rFonts w:hint="eastAsia" w:ascii="HGSｺﾞｼｯｸM" w:hAnsi="HGSｺﾞｼｯｸM" w:eastAsia="HGSｺﾞｼｯｸM"/>
                <w:color w:val="000000"/>
                <w:sz w:val="18"/>
              </w:rPr>
              <w:t>5</w:t>
            </w:r>
            <w:r>
              <w:rPr>
                <w:rFonts w:hint="eastAsia" w:ascii="HGSｺﾞｼｯｸM" w:hAnsi="HGSｺﾞｼｯｸM" w:eastAsia="HGSｺﾞｼｯｸM"/>
                <w:color w:val="000000"/>
                <w:sz w:val="18"/>
              </w:rPr>
              <w:t>号館</w:t>
            </w:r>
          </w:p>
        </w:tc>
        <w:tc>
          <w:tcPr>
            <w:tcW w:w="18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color w:val="000000"/>
                <w:sz w:val="18"/>
              </w:rPr>
              <w:t>03-3581-3351</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sz w:val="18"/>
              </w:rPr>
            </w:pPr>
            <w:r>
              <w:rPr>
                <w:rFonts w:hint="eastAsia" w:ascii="HGSｺﾞｼｯｸM" w:hAnsi="HGSｺﾞｼｯｸM" w:eastAsia="HGSｺﾞｼｯｸM"/>
                <w:color w:val="000000"/>
                <w:sz w:val="18"/>
              </w:rPr>
              <w:t>03-3593-8359</w:t>
            </w:r>
          </w:p>
        </w:tc>
      </w:tr>
      <w:tr>
        <w:trPr>
          <w:trHeight w:val="903" w:hRule="atLeast"/>
          <w:tblHeader/>
        </w:trPr>
        <w:tc>
          <w:tcPr>
            <w:tcW w:w="15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同上</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廃棄物適正処理推進課</w:t>
            </w:r>
          </w:p>
        </w:tc>
        <w:tc>
          <w:tcPr>
            <w:tcW w:w="240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同上</w:t>
            </w:r>
          </w:p>
        </w:tc>
        <w:tc>
          <w:tcPr>
            <w:tcW w:w="18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03-3581-3351</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03-3593-8263</w:t>
            </w:r>
          </w:p>
        </w:tc>
      </w:tr>
      <w:tr>
        <w:trPr>
          <w:trHeight w:val="987" w:hRule="atLeast"/>
          <w:tblHeader/>
        </w:trPr>
        <w:tc>
          <w:tcPr>
            <w:tcW w:w="15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同上</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廃棄物適正処理推進課　施設第２係</w:t>
            </w:r>
          </w:p>
          <w:p>
            <w:pPr>
              <w:pStyle w:val="0"/>
              <w:widowControl w:val="1"/>
              <w:snapToGrid w:val="0"/>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※施設被害報告</w:t>
            </w:r>
          </w:p>
        </w:tc>
        <w:tc>
          <w:tcPr>
            <w:tcW w:w="240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同上</w:t>
            </w:r>
          </w:p>
        </w:tc>
        <w:tc>
          <w:tcPr>
            <w:tcW w:w="18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03-5521-8337</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03-3593-8263</w:t>
            </w:r>
          </w:p>
        </w:tc>
      </w:tr>
      <w:tr>
        <w:trPr>
          <w:trHeight w:val="972" w:hRule="atLeast"/>
          <w:tblHeader/>
        </w:trPr>
        <w:tc>
          <w:tcPr>
            <w:tcW w:w="15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環境省</w:t>
            </w:r>
          </w:p>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九州地方</w:t>
            </w:r>
          </w:p>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環境事務所</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資源循環課</w:t>
            </w:r>
          </w:p>
        </w:tc>
        <w:tc>
          <w:tcPr>
            <w:tcW w:w="240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熊本県熊本市西区春日</w:t>
            </w:r>
            <w:r>
              <w:rPr>
                <w:rFonts w:hint="eastAsia" w:ascii="HGSｺﾞｼｯｸM" w:hAnsi="HGSｺﾞｼｯｸM" w:eastAsia="HGSｺﾞｼｯｸM"/>
                <w:color w:val="000000"/>
                <w:sz w:val="18"/>
              </w:rPr>
              <w:t>2</w:t>
            </w:r>
            <w:r>
              <w:rPr>
                <w:rFonts w:hint="eastAsia" w:ascii="HGSｺﾞｼｯｸM" w:hAnsi="HGSｺﾞｼｯｸM" w:eastAsia="HGSｺﾞｼｯｸM"/>
                <w:color w:val="000000"/>
                <w:sz w:val="18"/>
              </w:rPr>
              <w:t>丁目</w:t>
            </w:r>
            <w:r>
              <w:rPr>
                <w:rFonts w:hint="eastAsia" w:ascii="HGSｺﾞｼｯｸM" w:hAnsi="HGSｺﾞｼｯｸM" w:eastAsia="HGSｺﾞｼｯｸM"/>
                <w:color w:val="000000"/>
                <w:sz w:val="18"/>
              </w:rPr>
              <w:t>10</w:t>
            </w:r>
            <w:r>
              <w:rPr>
                <w:rFonts w:hint="eastAsia" w:ascii="HGSｺﾞｼｯｸM" w:hAnsi="HGSｺﾞｼｯｸM" w:eastAsia="HGSｺﾞｼｯｸM"/>
                <w:color w:val="000000"/>
                <w:sz w:val="18"/>
              </w:rPr>
              <w:t>番</w:t>
            </w:r>
            <w:r>
              <w:rPr>
                <w:rFonts w:hint="eastAsia" w:ascii="HGSｺﾞｼｯｸM" w:hAnsi="HGSｺﾞｼｯｸM" w:eastAsia="HGSｺﾞｼｯｸM"/>
                <w:color w:val="000000"/>
                <w:sz w:val="18"/>
              </w:rPr>
              <w:t>1</w:t>
            </w:r>
            <w:r>
              <w:rPr>
                <w:rFonts w:hint="eastAsia" w:ascii="HGSｺﾞｼｯｸM" w:hAnsi="HGSｺﾞｼｯｸM" w:eastAsia="HGSｺﾞｼｯｸM"/>
                <w:color w:val="000000"/>
                <w:sz w:val="18"/>
              </w:rPr>
              <w:t>号　熊本地方合同庁舎</w:t>
            </w:r>
            <w:r>
              <w:rPr>
                <w:rFonts w:hint="eastAsia" w:ascii="HGSｺﾞｼｯｸM" w:hAnsi="HGSｺﾞｼｯｸM" w:eastAsia="HGSｺﾞｼｯｸM"/>
                <w:color w:val="000000"/>
                <w:sz w:val="18"/>
              </w:rPr>
              <w:t>B</w:t>
            </w:r>
            <w:r>
              <w:rPr>
                <w:rFonts w:hint="eastAsia" w:ascii="HGSｺﾞｼｯｸM" w:hAnsi="HGSｺﾞｼｯｸM" w:eastAsia="HGSｺﾞｼｯｸM"/>
                <w:color w:val="000000"/>
                <w:sz w:val="18"/>
              </w:rPr>
              <w:t>棟</w:t>
            </w:r>
            <w:r>
              <w:rPr>
                <w:rFonts w:hint="eastAsia" w:ascii="HGSｺﾞｼｯｸM" w:hAnsi="HGSｺﾞｼｯｸM" w:eastAsia="HGSｺﾞｼｯｸM"/>
                <w:color w:val="000000"/>
                <w:sz w:val="18"/>
              </w:rPr>
              <w:t>4</w:t>
            </w:r>
            <w:r>
              <w:rPr>
                <w:rFonts w:hint="eastAsia" w:ascii="HGSｺﾞｼｯｸM" w:hAnsi="HGSｺﾞｼｯｸM" w:eastAsia="HGSｺﾞｼｯｸM"/>
                <w:color w:val="000000"/>
                <w:sz w:val="18"/>
              </w:rPr>
              <w:t>階</w:t>
            </w:r>
          </w:p>
        </w:tc>
        <w:tc>
          <w:tcPr>
            <w:tcW w:w="18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096-322-2410</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096-322-2446</w:t>
            </w:r>
          </w:p>
        </w:tc>
      </w:tr>
      <w:tr>
        <w:trPr>
          <w:trHeight w:val="972" w:hRule="atLeast"/>
          <w:tblHeader/>
        </w:trPr>
        <w:tc>
          <w:tcPr>
            <w:tcW w:w="155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環境省</w:t>
            </w:r>
          </w:p>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沖縄奄美自然</w:t>
            </w:r>
          </w:p>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環境事務所</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rPr>
                <w:rFonts w:hint="default" w:ascii="HGSｺﾞｼｯｸM" w:hAnsi="HGSｺﾞｼｯｸM" w:eastAsia="HGSｺﾞｼｯｸM"/>
                <w:color w:val="000000"/>
                <w:sz w:val="18"/>
              </w:rPr>
            </w:pPr>
          </w:p>
        </w:tc>
        <w:tc>
          <w:tcPr>
            <w:tcW w:w="240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沖縄県那覇市樋川</w:t>
            </w:r>
            <w:r>
              <w:rPr>
                <w:rFonts w:hint="eastAsia" w:ascii="HGSｺﾞｼｯｸM" w:hAnsi="HGSｺﾞｼｯｸM" w:eastAsia="HGSｺﾞｼｯｸM"/>
                <w:color w:val="000000"/>
                <w:sz w:val="18"/>
              </w:rPr>
              <w:t>1</w:t>
            </w:r>
            <w:r>
              <w:rPr>
                <w:rFonts w:hint="eastAsia" w:ascii="HGSｺﾞｼｯｸM" w:hAnsi="HGSｺﾞｼｯｸM" w:eastAsia="HGSｺﾞｼｯｸM"/>
                <w:color w:val="000000"/>
                <w:sz w:val="18"/>
              </w:rPr>
              <w:t>丁目</w:t>
            </w:r>
            <w:r>
              <w:rPr>
                <w:rFonts w:hint="eastAsia" w:ascii="HGSｺﾞｼｯｸM" w:hAnsi="HGSｺﾞｼｯｸM" w:eastAsia="HGSｺﾞｼｯｸM"/>
                <w:color w:val="000000"/>
                <w:sz w:val="18"/>
              </w:rPr>
              <w:t>15</w:t>
            </w:r>
            <w:r>
              <w:rPr>
                <w:rFonts w:hint="eastAsia" w:ascii="HGSｺﾞｼｯｸM" w:hAnsi="HGSｺﾞｼｯｸM" w:eastAsia="HGSｺﾞｼｯｸM"/>
                <w:color w:val="000000"/>
                <w:sz w:val="18"/>
              </w:rPr>
              <w:t>番</w:t>
            </w:r>
            <w:r>
              <w:rPr>
                <w:rFonts w:hint="eastAsia" w:ascii="HGSｺﾞｼｯｸM" w:hAnsi="HGSｺﾞｼｯｸM" w:eastAsia="HGSｺﾞｼｯｸM"/>
                <w:color w:val="000000"/>
                <w:sz w:val="18"/>
              </w:rPr>
              <w:t>15</w:t>
            </w:r>
            <w:r>
              <w:rPr>
                <w:rFonts w:hint="eastAsia" w:ascii="HGSｺﾞｼｯｸM" w:hAnsi="HGSｺﾞｼｯｸM" w:eastAsia="HGSｺﾞｼｯｸM"/>
                <w:color w:val="000000"/>
                <w:sz w:val="18"/>
              </w:rPr>
              <w:t>号　那覇第一地方合同庁舎</w:t>
            </w:r>
            <w:r>
              <w:rPr>
                <w:rFonts w:hint="eastAsia" w:ascii="HGSｺﾞｼｯｸM" w:hAnsi="HGSｺﾞｼｯｸM" w:eastAsia="HGSｺﾞｼｯｸM"/>
                <w:color w:val="000000"/>
                <w:sz w:val="18"/>
              </w:rPr>
              <w:t>1</w:t>
            </w:r>
            <w:r>
              <w:rPr>
                <w:rFonts w:hint="eastAsia" w:ascii="HGSｺﾞｼｯｸM" w:hAnsi="HGSｺﾞｼｯｸM" w:eastAsia="HGSｺﾞｼｯｸM"/>
                <w:color w:val="000000"/>
                <w:sz w:val="18"/>
              </w:rPr>
              <w:t>階</w:t>
            </w:r>
          </w:p>
        </w:tc>
        <w:tc>
          <w:tcPr>
            <w:tcW w:w="184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098-836-6400</w:t>
            </w:r>
          </w:p>
        </w:tc>
        <w:tc>
          <w:tcPr>
            <w:tcW w:w="15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snapToGrid w:val="0"/>
              <w:jc w:val="center"/>
              <w:rPr>
                <w:rFonts w:hint="default" w:ascii="HGSｺﾞｼｯｸM" w:hAnsi="HGSｺﾞｼｯｸM" w:eastAsia="HGSｺﾞｼｯｸM"/>
                <w:color w:val="000000"/>
                <w:sz w:val="18"/>
              </w:rPr>
            </w:pPr>
            <w:r>
              <w:rPr>
                <w:rFonts w:hint="eastAsia" w:ascii="HGSｺﾞｼｯｸM" w:hAnsi="HGSｺﾞｼｯｸM" w:eastAsia="HGSｺﾞｼｯｸM"/>
                <w:color w:val="000000"/>
                <w:sz w:val="18"/>
              </w:rPr>
              <w:t>098-836-6401</w:t>
            </w:r>
          </w:p>
        </w:tc>
      </w:tr>
    </w:tbl>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widowControl w:val="1"/>
        <w:autoSpaceDE w:val="1"/>
        <w:autoSpaceDN w:val="1"/>
        <w:rPr>
          <w:rFonts w:hint="default" w:ascii="ＭＳ ゴシック" w:hAnsi="ＭＳ ゴシック" w:eastAsia="ＭＳ ゴシック"/>
          <w:sz w:val="24"/>
        </w:rPr>
      </w:pPr>
      <w:bookmarkStart w:id="23" w:name="_Toc60838751"/>
      <w:r>
        <w:rPr>
          <w:rFonts w:hint="default" w:ascii="ＭＳ ゴシック" w:hAnsi="ＭＳ ゴシック" w:eastAsia="ＭＳ ゴシック"/>
          <w:sz w:val="24"/>
        </w:rPr>
        <w:t>3</w:t>
      </w:r>
      <w:r>
        <w:rPr>
          <w:rFonts w:hint="eastAsia" w:ascii="ＭＳ ゴシック" w:hAnsi="ＭＳ ゴシック" w:eastAsia="ＭＳ ゴシック"/>
          <w:sz w:val="24"/>
        </w:rPr>
        <w:t>章　協力・支援体制</w:t>
      </w:r>
      <w:bookmarkEnd w:id="23"/>
    </w:p>
    <w:p>
      <w:pPr>
        <w:pStyle w:val="0"/>
        <w:rPr>
          <w:rFonts w:hint="default"/>
        </w:rPr>
      </w:pPr>
    </w:p>
    <w:p>
      <w:pPr>
        <w:pStyle w:val="3"/>
        <w:ind w:left="0" w:leftChars="0"/>
        <w:rPr>
          <w:rFonts w:hint="default" w:ascii="ＭＳ ゴシック" w:hAnsi="ＭＳ ゴシック" w:eastAsia="ＭＳ ゴシック"/>
        </w:rPr>
      </w:pPr>
      <w:bookmarkStart w:id="24" w:name="_Toc60838752"/>
      <w:r>
        <w:rPr>
          <w:rFonts w:hint="eastAsia" w:ascii="ＭＳ ゴシック" w:hAnsi="ＭＳ ゴシック" w:eastAsia="ＭＳ ゴシック"/>
        </w:rPr>
        <w:t>（１）市町村等、都道府県及び国の協力・支援</w:t>
      </w:r>
      <w:bookmarkEnd w:id="24"/>
    </w:p>
    <w:p>
      <w:pPr>
        <w:pStyle w:val="0"/>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他市町村等、都道府県による協力・支援については、予め締結している災害協定等を表９に示す。町内の情勢を正確に把握し、必要な支援等について的確に要請できるようにする。協力・支援体制の構築にあたっては、災害廃棄物処理支援員制度（人材バンク）及び</w:t>
      </w:r>
      <w:r>
        <w:rPr>
          <w:rFonts w:hint="default" w:ascii="ＭＳ 明朝" w:hAnsi="ＭＳ 明朝" w:eastAsia="ＭＳ 明朝"/>
          <w:sz w:val="21"/>
        </w:rPr>
        <w:t>D.</w:t>
      </w:r>
      <w:r>
        <w:rPr>
          <w:rFonts w:hint="eastAsia" w:ascii="ＭＳ 明朝" w:hAnsi="ＭＳ 明朝" w:eastAsia="ＭＳ 明朝"/>
          <w:sz w:val="21"/>
        </w:rPr>
        <w:t>Waste</w:t>
      </w:r>
      <w:r>
        <w:rPr>
          <w:rFonts w:hint="default" w:ascii="ＭＳ 明朝" w:hAnsi="ＭＳ 明朝" w:eastAsia="ＭＳ 明朝"/>
          <w:sz w:val="21"/>
        </w:rPr>
        <w:t>-Net</w:t>
      </w:r>
      <w:r>
        <w:rPr>
          <w:rFonts w:hint="default" w:ascii="ＭＳ 明朝" w:hAnsi="ＭＳ 明朝" w:eastAsia="ＭＳ 明朝"/>
          <w:sz w:val="21"/>
        </w:rPr>
        <w:t>（災害廃棄物処理支援ネットワーク）も活用する。</w:t>
      </w:r>
    </w:p>
    <w:p>
      <w:pPr>
        <w:pStyle w:val="0"/>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また、災害廃棄物処理業務を遂行する上で、職員が不足する場合は、県に要請（従事する業務、人数、派遣期間等）し、県職員や他の市町村職員等の派遣について協議・調整をしてもらう。</w:t>
      </w:r>
    </w:p>
    <w:p>
      <w:pPr>
        <w:pStyle w:val="0"/>
        <w:rPr>
          <w:rFonts w:hint="default" w:ascii="Century" w:hAnsi="Century" w:eastAsia="ＭＳ 明朝"/>
          <w:sz w:val="21"/>
        </w:rPr>
      </w:pPr>
    </w:p>
    <w:p>
      <w:pPr>
        <w:pStyle w:val="0"/>
        <w:rPr>
          <w:rFonts w:hint="default" w:ascii="Century" w:hAnsi="Century" w:eastAsia="ＭＳ 明朝"/>
          <w:sz w:val="21"/>
        </w:rPr>
      </w:pPr>
    </w:p>
    <w:p>
      <w:pPr>
        <w:pStyle w:val="0"/>
        <w:jc w:val="center"/>
        <w:rPr>
          <w:rFonts w:hint="default"/>
          <w:sz w:val="21"/>
        </w:rPr>
      </w:pPr>
      <w:r>
        <w:rPr>
          <w:rFonts w:hint="eastAsia"/>
          <w:sz w:val="21"/>
        </w:rPr>
        <w:t>表９　災害時応援協定</w:t>
      </w:r>
    </w:p>
    <w:tbl>
      <w:tblPr>
        <w:tblStyle w:val="55"/>
        <w:tblW w:w="9209" w:type="dxa"/>
        <w:tblInd w:w="0" w:type="dxa"/>
        <w:tblLayout w:type="fixed"/>
        <w:tblLook w:firstRow="1" w:lastRow="0" w:firstColumn="1" w:lastColumn="0" w:noHBand="0" w:noVBand="1" w:val="04A0"/>
      </w:tblPr>
      <w:tblGrid>
        <w:gridCol w:w="704"/>
        <w:gridCol w:w="2552"/>
        <w:gridCol w:w="2268"/>
        <w:gridCol w:w="1275"/>
        <w:gridCol w:w="2410"/>
      </w:tblGrid>
      <w:tr>
        <w:trPr>
          <w:trHeight w:val="323" w:hRule="atLeast"/>
        </w:trPr>
        <w:tc>
          <w:tcPr>
            <w:tcW w:w="704" w:type="dxa"/>
            <w:shd w:val="clear" w:color="auto" w:themeFill="background1" w:themeFillTint="FF" w:themeFillShade="D9"/>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締結元</w:t>
            </w:r>
          </w:p>
        </w:tc>
        <w:tc>
          <w:tcPr>
            <w:tcW w:w="2552" w:type="dxa"/>
            <w:shd w:val="clear" w:color="auto" w:themeFill="background1" w:themeFillTint="FF" w:themeFillShade="D9"/>
            <w:vAlign w:val="center"/>
          </w:tcPr>
          <w:p>
            <w:pPr>
              <w:pStyle w:val="0"/>
              <w:widowControl w:val="1"/>
              <w:jc w:val="center"/>
              <w:rPr>
                <w:rFonts w:hint="default" w:ascii="HGPｺﾞｼｯｸM" w:hAnsi="HGPｺﾞｼｯｸM" w:eastAsia="HGPｺﾞｼｯｸM"/>
                <w:color w:val="FF0000"/>
                <w:sz w:val="21"/>
              </w:rPr>
            </w:pPr>
            <w:r>
              <w:rPr>
                <w:rFonts w:hint="eastAsia" w:ascii="HGPｺﾞｼｯｸM" w:hAnsi="HGPｺﾞｼｯｸM" w:eastAsia="HGPｺﾞｼｯｸM"/>
                <w:sz w:val="21"/>
              </w:rPr>
              <w:t>協定名称</w:t>
            </w:r>
          </w:p>
        </w:tc>
        <w:tc>
          <w:tcPr>
            <w:tcW w:w="2268" w:type="dxa"/>
            <w:shd w:val="clear" w:color="auto" w:themeFill="background1" w:themeFillTint="FF" w:themeFillShade="D9"/>
            <w:vAlign w:val="center"/>
          </w:tcPr>
          <w:p>
            <w:pPr>
              <w:pStyle w:val="0"/>
              <w:widowControl w:val="1"/>
              <w:jc w:val="center"/>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締結先</w:t>
            </w:r>
          </w:p>
        </w:tc>
        <w:tc>
          <w:tcPr>
            <w:tcW w:w="1275" w:type="dxa"/>
            <w:shd w:val="clear" w:color="auto" w:themeFill="background1" w:themeFillTint="FF" w:themeFillShade="D9"/>
            <w:vAlign w:val="center"/>
          </w:tcPr>
          <w:p>
            <w:pPr>
              <w:pStyle w:val="0"/>
              <w:widowControl w:val="1"/>
              <w:jc w:val="center"/>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締結日</w:t>
            </w:r>
          </w:p>
        </w:tc>
        <w:tc>
          <w:tcPr>
            <w:tcW w:w="2410" w:type="dxa"/>
            <w:shd w:val="clear" w:color="auto" w:themeFill="background1" w:themeFillTint="FF" w:themeFillShade="D9"/>
            <w:vAlign w:val="center"/>
          </w:tcPr>
          <w:p>
            <w:pPr>
              <w:pStyle w:val="0"/>
              <w:widowControl w:val="1"/>
              <w:jc w:val="center"/>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協定の概要</w:t>
            </w:r>
          </w:p>
        </w:tc>
      </w:tr>
      <w:tr>
        <w:trPr>
          <w:trHeight w:val="1167" w:hRule="atLeast"/>
        </w:trPr>
        <w:tc>
          <w:tcPr>
            <w:tcW w:w="704"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県</w:t>
            </w:r>
          </w:p>
        </w:tc>
        <w:tc>
          <w:tcPr>
            <w:tcW w:w="2552"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災害時の応援に関する申し合わせ</w:t>
            </w:r>
          </w:p>
        </w:tc>
        <w:tc>
          <w:tcPr>
            <w:tcW w:w="2268"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内閣府沖縄総合事務局開発建設部</w:t>
            </w:r>
          </w:p>
        </w:tc>
        <w:tc>
          <w:tcPr>
            <w:tcW w:w="1275"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H19.3.27</w:t>
            </w:r>
          </w:p>
        </w:tc>
        <w:tc>
          <w:tcPr>
            <w:tcW w:w="2410"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災害時における初動時の被害情報の収集・伝達、災害応急復旧、二次災害の防止など</w:t>
            </w:r>
          </w:p>
        </w:tc>
      </w:tr>
      <w:tr>
        <w:trPr>
          <w:trHeight w:val="1167" w:hRule="atLeast"/>
        </w:trPr>
        <w:tc>
          <w:tcPr>
            <w:tcW w:w="704"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県</w:t>
            </w:r>
          </w:p>
        </w:tc>
        <w:tc>
          <w:tcPr>
            <w:tcW w:w="2552"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九州・山口ブロック下水道事業災害時支援に関するルール及び運営要領</w:t>
            </w:r>
          </w:p>
        </w:tc>
        <w:tc>
          <w:tcPr>
            <w:tcW w:w="2268"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九州・山口ブロック下水道事業災害時支援体制連絡会</w:t>
            </w:r>
          </w:p>
        </w:tc>
        <w:tc>
          <w:tcPr>
            <w:tcW w:w="1275"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H20.3.21</w:t>
            </w:r>
          </w:p>
        </w:tc>
        <w:tc>
          <w:tcPr>
            <w:tcW w:w="2410"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下水道の復旧対応相互応援</w:t>
            </w:r>
          </w:p>
        </w:tc>
      </w:tr>
      <w:tr>
        <w:trPr>
          <w:trHeight w:val="1167" w:hRule="atLeast"/>
        </w:trPr>
        <w:tc>
          <w:tcPr>
            <w:tcW w:w="704"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県</w:t>
            </w:r>
          </w:p>
        </w:tc>
        <w:tc>
          <w:tcPr>
            <w:tcW w:w="2552"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九州・山口９県災害時応援協定</w:t>
            </w:r>
          </w:p>
        </w:tc>
        <w:tc>
          <w:tcPr>
            <w:tcW w:w="2268"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福岡県、佐賀県、長崎県、熊本県、大分県、宮崎県、鹿児島県、山口県</w:t>
            </w:r>
          </w:p>
        </w:tc>
        <w:tc>
          <w:tcPr>
            <w:tcW w:w="1275"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H23.10.31</w:t>
            </w:r>
          </w:p>
        </w:tc>
        <w:tc>
          <w:tcPr>
            <w:tcW w:w="2410"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災害時の相互応援、被災地支援対策本部の設置</w:t>
            </w:r>
          </w:p>
        </w:tc>
      </w:tr>
      <w:tr>
        <w:trPr>
          <w:trHeight w:val="1167" w:hRule="atLeast"/>
        </w:trPr>
        <w:tc>
          <w:tcPr>
            <w:tcW w:w="704"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県</w:t>
            </w:r>
          </w:p>
        </w:tc>
        <w:tc>
          <w:tcPr>
            <w:tcW w:w="2552"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関西広域連合と九州地方知事会との災害時の相互応援に関する協定</w:t>
            </w:r>
          </w:p>
        </w:tc>
        <w:tc>
          <w:tcPr>
            <w:tcW w:w="2268"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関西広域連合</w:t>
            </w:r>
          </w:p>
        </w:tc>
        <w:tc>
          <w:tcPr>
            <w:tcW w:w="1275"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H23.11.21</w:t>
            </w:r>
          </w:p>
        </w:tc>
        <w:tc>
          <w:tcPr>
            <w:tcW w:w="2410"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災害時の相互応援</w:t>
            </w:r>
          </w:p>
        </w:tc>
      </w:tr>
      <w:tr>
        <w:trPr>
          <w:trHeight w:val="1167" w:hRule="atLeast"/>
        </w:trPr>
        <w:tc>
          <w:tcPr>
            <w:tcW w:w="704"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県</w:t>
            </w:r>
          </w:p>
        </w:tc>
        <w:tc>
          <w:tcPr>
            <w:tcW w:w="2552"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全国都道府県における災害時等の広域応援に関する協定</w:t>
            </w:r>
          </w:p>
        </w:tc>
        <w:tc>
          <w:tcPr>
            <w:tcW w:w="2268"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全国都道府県知事</w:t>
            </w:r>
          </w:p>
        </w:tc>
        <w:tc>
          <w:tcPr>
            <w:tcW w:w="1275"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H24.5.18</w:t>
            </w:r>
          </w:p>
        </w:tc>
        <w:tc>
          <w:tcPr>
            <w:tcW w:w="2410"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災害時の相互応援</w:t>
            </w:r>
          </w:p>
        </w:tc>
      </w:tr>
      <w:tr>
        <w:trPr>
          <w:trHeight w:val="1167" w:hRule="atLeast"/>
        </w:trPr>
        <w:tc>
          <w:tcPr>
            <w:tcW w:w="704"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県</w:t>
            </w:r>
          </w:p>
        </w:tc>
        <w:tc>
          <w:tcPr>
            <w:tcW w:w="2552"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九州・山口９県における災害廃棄物処理等に係る相互支援協定</w:t>
            </w:r>
          </w:p>
        </w:tc>
        <w:tc>
          <w:tcPr>
            <w:tcW w:w="2268"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福岡県、佐賀県、長崎県、熊本県、大分県、宮崎県、鹿児島県、山口県</w:t>
            </w:r>
          </w:p>
        </w:tc>
        <w:tc>
          <w:tcPr>
            <w:tcW w:w="1275"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H29.11.15</w:t>
            </w:r>
          </w:p>
        </w:tc>
        <w:tc>
          <w:tcPr>
            <w:tcW w:w="2410"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支援可能な県が被災県に対して支援する</w:t>
            </w:r>
          </w:p>
        </w:tc>
      </w:tr>
      <w:tr>
        <w:trPr>
          <w:trHeight w:val="1167" w:hRule="atLeast"/>
        </w:trPr>
        <w:tc>
          <w:tcPr>
            <w:tcW w:w="704" w:type="dxa"/>
            <w:vAlign w:val="center"/>
          </w:tcPr>
          <w:p>
            <w:pPr>
              <w:pStyle w:val="0"/>
              <w:widowControl w:val="1"/>
              <w:jc w:val="center"/>
              <w:rPr>
                <w:rFonts w:hint="default" w:ascii="HGSｺﾞｼｯｸM" w:hAnsi="HGSｺﾞｼｯｸM" w:eastAsia="HGSｺﾞｼｯｸM"/>
                <w:b w:val="0"/>
                <w:sz w:val="21"/>
                <w:u w:val="none" w:color="auto"/>
              </w:rPr>
            </w:pPr>
            <w:r>
              <w:rPr>
                <w:rFonts w:hint="eastAsia" w:ascii="HGSｺﾞｼｯｸM" w:hAnsi="HGSｺﾞｼｯｸM" w:eastAsia="HGSｺﾞｼｯｸM"/>
                <w:b w:val="0"/>
                <w:sz w:val="21"/>
                <w:u w:val="none" w:color="auto"/>
              </w:rPr>
              <w:t>県</w:t>
            </w:r>
          </w:p>
        </w:tc>
        <w:tc>
          <w:tcPr>
            <w:tcW w:w="2552" w:type="dxa"/>
            <w:vAlign w:val="center"/>
          </w:tcPr>
          <w:p>
            <w:pPr>
              <w:pStyle w:val="0"/>
              <w:widowControl w:val="1"/>
              <w:rPr>
                <w:rFonts w:hint="default" w:ascii="HGSｺﾞｼｯｸM" w:hAnsi="HGSｺﾞｼｯｸM" w:eastAsia="HGSｺﾞｼｯｸM"/>
                <w:b w:val="0"/>
                <w:sz w:val="21"/>
                <w:u w:val="none" w:color="auto"/>
              </w:rPr>
            </w:pPr>
            <w:r>
              <w:rPr>
                <w:rFonts w:hint="eastAsia" w:ascii="HGSｺﾞｼｯｸM" w:hAnsi="HGSｺﾞｼｯｸM" w:eastAsia="HGSｺﾞｼｯｸM"/>
                <w:b w:val="0"/>
                <w:sz w:val="21"/>
                <w:u w:val="none" w:color="auto"/>
              </w:rPr>
              <w:t>災害発生時の廃棄物処理に関する協定</w:t>
            </w:r>
          </w:p>
        </w:tc>
        <w:tc>
          <w:tcPr>
            <w:tcW w:w="2268" w:type="dxa"/>
            <w:vAlign w:val="center"/>
          </w:tcPr>
          <w:p>
            <w:pPr>
              <w:pStyle w:val="0"/>
              <w:widowControl w:val="1"/>
              <w:rPr>
                <w:rFonts w:hint="default" w:ascii="HGSｺﾞｼｯｸM" w:hAnsi="HGSｺﾞｼｯｸM" w:eastAsia="HGSｺﾞｼｯｸM"/>
                <w:b w:val="0"/>
                <w:sz w:val="21"/>
                <w:u w:val="none" w:color="auto"/>
              </w:rPr>
            </w:pPr>
            <w:r>
              <w:rPr>
                <w:rFonts w:hint="eastAsia" w:ascii="HGSｺﾞｼｯｸM" w:hAnsi="HGSｺﾞｼｯｸM" w:eastAsia="HGSｺﾞｼｯｸM"/>
                <w:b w:val="0"/>
                <w:sz w:val="21"/>
                <w:u w:val="none" w:color="auto"/>
              </w:rPr>
              <w:t>県内市町村及び関係一部事務組合</w:t>
            </w:r>
          </w:p>
          <w:p>
            <w:pPr>
              <w:pStyle w:val="0"/>
              <w:widowControl w:val="1"/>
              <w:rPr>
                <w:rFonts w:hint="default" w:ascii="HGSｺﾞｼｯｸM" w:hAnsi="HGSｺﾞｼｯｸM" w:eastAsia="HGSｺﾞｼｯｸM"/>
                <w:b w:val="0"/>
                <w:sz w:val="21"/>
                <w:u w:val="none" w:color="auto"/>
              </w:rPr>
            </w:pPr>
            <w:r>
              <w:rPr>
                <w:rFonts w:hint="eastAsia" w:ascii="HGSｺﾞｼｯｸM" w:hAnsi="HGSｺﾞｼｯｸM" w:eastAsia="HGSｺﾞｼｯｸM"/>
                <w:b w:val="0"/>
                <w:sz w:val="21"/>
                <w:u w:val="none" w:color="auto"/>
              </w:rPr>
              <w:t>一般社団法人沖縄県産業資源循環協会</w:t>
            </w:r>
          </w:p>
        </w:tc>
        <w:tc>
          <w:tcPr>
            <w:tcW w:w="1275" w:type="dxa"/>
            <w:vAlign w:val="center"/>
          </w:tcPr>
          <w:p>
            <w:pPr>
              <w:pStyle w:val="0"/>
              <w:widowControl w:val="1"/>
              <w:jc w:val="center"/>
              <w:rPr>
                <w:rFonts w:hint="default" w:ascii="HGSｺﾞｼｯｸM" w:hAnsi="HGSｺﾞｼｯｸM" w:eastAsia="HGSｺﾞｼｯｸM"/>
                <w:b w:val="0"/>
                <w:sz w:val="21"/>
                <w:u w:val="none" w:color="auto"/>
              </w:rPr>
            </w:pPr>
            <w:r>
              <w:rPr>
                <w:rFonts w:hint="eastAsia" w:ascii="HGSｺﾞｼｯｸM" w:hAnsi="HGSｺﾞｼｯｸM" w:eastAsia="HGSｺﾞｼｯｸM"/>
                <w:b w:val="0"/>
                <w:sz w:val="21"/>
                <w:u w:val="none" w:color="auto"/>
              </w:rPr>
              <w:t>令和</w:t>
            </w:r>
            <w:r>
              <w:rPr>
                <w:rFonts w:hint="eastAsia" w:ascii="HGSｺﾞｼｯｸM" w:hAnsi="HGSｺﾞｼｯｸM" w:eastAsia="HGSｺﾞｼｯｸM"/>
                <w:b w:val="0"/>
                <w:sz w:val="21"/>
                <w:u w:val="none" w:color="auto"/>
              </w:rPr>
              <w:t>6</w:t>
            </w:r>
            <w:r>
              <w:rPr>
                <w:rFonts w:hint="eastAsia" w:ascii="HGSｺﾞｼｯｸM" w:hAnsi="HGSｺﾞｼｯｸM" w:eastAsia="HGSｺﾞｼｯｸM"/>
                <w:b w:val="0"/>
                <w:sz w:val="21"/>
                <w:u w:val="none" w:color="auto"/>
              </w:rPr>
              <w:t>年</w:t>
            </w:r>
          </w:p>
          <w:p>
            <w:pPr>
              <w:pStyle w:val="0"/>
              <w:widowControl w:val="1"/>
              <w:jc w:val="center"/>
              <w:rPr>
                <w:rFonts w:hint="default" w:ascii="HGSｺﾞｼｯｸM" w:hAnsi="HGSｺﾞｼｯｸM" w:eastAsia="HGSｺﾞｼｯｸM"/>
                <w:b w:val="0"/>
                <w:sz w:val="21"/>
                <w:u w:val="none" w:color="auto"/>
              </w:rPr>
            </w:pPr>
            <w:r>
              <w:rPr>
                <w:rFonts w:hint="eastAsia" w:ascii="HGSｺﾞｼｯｸM" w:hAnsi="HGSｺﾞｼｯｸM" w:eastAsia="HGSｺﾞｼｯｸM"/>
                <w:b w:val="0"/>
                <w:sz w:val="21"/>
                <w:u w:val="none" w:color="auto"/>
              </w:rPr>
              <w:t>（予定）</w:t>
            </w:r>
          </w:p>
        </w:tc>
        <w:tc>
          <w:tcPr>
            <w:tcW w:w="2410" w:type="dxa"/>
            <w:vAlign w:val="center"/>
          </w:tcPr>
          <w:p>
            <w:pPr>
              <w:pStyle w:val="0"/>
              <w:widowControl w:val="1"/>
              <w:jc w:val="left"/>
              <w:rPr>
                <w:rFonts w:hint="default" w:ascii="HGSｺﾞｼｯｸM" w:hAnsi="HGSｺﾞｼｯｸM" w:eastAsia="HGSｺﾞｼｯｸM"/>
                <w:b w:val="0"/>
                <w:sz w:val="21"/>
                <w:u w:val="none" w:color="auto"/>
              </w:rPr>
            </w:pPr>
            <w:r>
              <w:rPr>
                <w:rFonts w:hint="eastAsia" w:ascii="HGSｺﾞｼｯｸM" w:hAnsi="HGSｺﾞｼｯｸM" w:eastAsia="HGSｺﾞｼｯｸM"/>
                <w:b w:val="0"/>
                <w:sz w:val="21"/>
                <w:u w:val="none" w:color="auto"/>
              </w:rPr>
              <w:t>被災市町村の災害廃棄物の処理に係る協力・支援</w:t>
            </w:r>
          </w:p>
        </w:tc>
      </w:tr>
    </w:tbl>
    <w:p>
      <w:pPr>
        <w:pStyle w:val="0"/>
        <w:rPr>
          <w:rFonts w:hint="default" w:ascii="ＭＳ 明朝" w:hAnsi="ＭＳ 明朝" w:eastAsia="ＭＳ 明朝"/>
          <w:sz w:val="18"/>
        </w:rPr>
      </w:pPr>
      <w:r>
        <w:rPr>
          <w:rFonts w:hint="eastAsia" w:ascii="ＭＳ 明朝" w:hAnsi="ＭＳ 明朝" w:eastAsia="ＭＳ 明朝"/>
          <w:sz w:val="18"/>
        </w:rPr>
        <w:t>出典：沖縄県災害廃棄物処理計画</w:t>
      </w:r>
    </w:p>
    <w:p>
      <w:pPr>
        <w:pStyle w:val="0"/>
        <w:rPr>
          <w:rFonts w:hint="default"/>
        </w:rPr>
      </w:pPr>
    </w:p>
    <w:p>
      <w:pPr>
        <w:pStyle w:val="0"/>
        <w:rPr>
          <w:rFonts w:hint="default"/>
        </w:rPr>
      </w:pPr>
    </w:p>
    <w:p>
      <w:pPr>
        <w:pStyle w:val="0"/>
        <w:widowControl w:val="1"/>
        <w:autoSpaceDE w:val="1"/>
        <w:autoSpaceDN w:val="1"/>
        <w:rPr>
          <w:rFonts w:hint="default"/>
        </w:rPr>
      </w:pPr>
      <w:bookmarkStart w:id="25" w:name="_Toc60838753"/>
      <w:r>
        <w:rPr>
          <w:rFonts w:hint="default"/>
        </w:rPr>
        <w:br w:type="page"/>
      </w:r>
    </w:p>
    <w:p>
      <w:pPr>
        <w:pStyle w:val="3"/>
        <w:ind w:left="0" w:leftChars="0"/>
        <w:rPr>
          <w:rFonts w:hint="default" w:ascii="ＭＳ ゴシック" w:hAnsi="ＭＳ ゴシック" w:eastAsia="ＭＳ ゴシック"/>
        </w:rPr>
      </w:pPr>
      <w:r>
        <w:rPr>
          <w:rFonts w:hint="eastAsia" w:ascii="ＭＳ ゴシック" w:hAnsi="ＭＳ ゴシック" w:eastAsia="ＭＳ ゴシック"/>
        </w:rPr>
        <w:t>（２）民間事業者団体等との連携</w:t>
      </w:r>
      <w:bookmarkEnd w:id="25"/>
    </w:p>
    <w:p>
      <w:pPr>
        <w:pStyle w:val="0"/>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沖縄県が主体となって民間事業者とあらかじめ締結している災害時の協力・支援に関する協定を表１０に示す。これらは災害廃棄物処理を円滑に進める上で重要であることから、発災時には協定にもとづき速やかに協力体制を構築する。</w:t>
      </w:r>
    </w:p>
    <w:p>
      <w:pPr>
        <w:pStyle w:val="0"/>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今後、災害廃棄物処理に関連する各種事業者との応援協定の締結についても検討を進める。</w:t>
      </w:r>
    </w:p>
    <w:p>
      <w:pPr>
        <w:pStyle w:val="0"/>
        <w:rPr>
          <w:rFonts w:hint="default"/>
          <w:sz w:val="21"/>
        </w:rPr>
      </w:pPr>
    </w:p>
    <w:p>
      <w:pPr>
        <w:pStyle w:val="0"/>
        <w:jc w:val="center"/>
        <w:rPr>
          <w:rFonts w:hint="default"/>
          <w:sz w:val="21"/>
        </w:rPr>
      </w:pPr>
      <w:r>
        <w:rPr>
          <w:rFonts w:hint="eastAsia"/>
          <w:sz w:val="21"/>
        </w:rPr>
        <w:t>表１０　民間事業者との災害時応援協定</w:t>
      </w:r>
    </w:p>
    <w:tbl>
      <w:tblPr>
        <w:tblStyle w:val="55"/>
        <w:tblW w:w="9351" w:type="dxa"/>
        <w:tblInd w:w="0" w:type="dxa"/>
        <w:tblLayout w:type="fixed"/>
        <w:tblLook w:firstRow="1" w:lastRow="0" w:firstColumn="1" w:lastColumn="0" w:noHBand="0" w:noVBand="1" w:val="04A0"/>
      </w:tblPr>
      <w:tblGrid>
        <w:gridCol w:w="785"/>
        <w:gridCol w:w="2548"/>
        <w:gridCol w:w="1807"/>
        <w:gridCol w:w="1154"/>
        <w:gridCol w:w="3057"/>
      </w:tblGrid>
      <w:tr>
        <w:trPr>
          <w:trHeight w:val="323" w:hRule="atLeast"/>
        </w:trPr>
        <w:tc>
          <w:tcPr>
            <w:tcW w:w="785" w:type="dxa"/>
            <w:shd w:val="clear" w:color="auto" w:themeFill="background1" w:themeFillTint="FF" w:themeFillShade="D9"/>
            <w:vAlign w:val="center"/>
          </w:tcPr>
          <w:p>
            <w:pPr>
              <w:pStyle w:val="0"/>
              <w:widowControl w:val="1"/>
              <w:jc w:val="center"/>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締結元</w:t>
            </w:r>
          </w:p>
        </w:tc>
        <w:tc>
          <w:tcPr>
            <w:tcW w:w="2548" w:type="dxa"/>
            <w:shd w:val="clear" w:color="auto" w:themeFill="background1" w:themeFillTint="FF" w:themeFillShade="D9"/>
            <w:vAlign w:val="center"/>
          </w:tcPr>
          <w:p>
            <w:pPr>
              <w:pStyle w:val="0"/>
              <w:widowControl w:val="1"/>
              <w:jc w:val="center"/>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協定名称</w:t>
            </w:r>
          </w:p>
        </w:tc>
        <w:tc>
          <w:tcPr>
            <w:tcW w:w="1807" w:type="dxa"/>
            <w:shd w:val="clear" w:color="auto" w:themeFill="background1" w:themeFillTint="FF" w:themeFillShade="D9"/>
            <w:vAlign w:val="center"/>
          </w:tcPr>
          <w:p>
            <w:pPr>
              <w:pStyle w:val="0"/>
              <w:widowControl w:val="1"/>
              <w:jc w:val="center"/>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締結先</w:t>
            </w:r>
          </w:p>
        </w:tc>
        <w:tc>
          <w:tcPr>
            <w:tcW w:w="1154" w:type="dxa"/>
            <w:shd w:val="clear" w:color="auto" w:themeFill="background1" w:themeFillTint="FF" w:themeFillShade="D9"/>
            <w:vAlign w:val="center"/>
          </w:tcPr>
          <w:p>
            <w:pPr>
              <w:pStyle w:val="0"/>
              <w:widowControl w:val="1"/>
              <w:jc w:val="center"/>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締結日</w:t>
            </w:r>
          </w:p>
        </w:tc>
        <w:tc>
          <w:tcPr>
            <w:tcW w:w="3057" w:type="dxa"/>
            <w:shd w:val="clear" w:color="auto" w:themeFill="background1" w:themeFillTint="FF" w:themeFillShade="D9"/>
            <w:vAlign w:val="center"/>
          </w:tcPr>
          <w:p>
            <w:pPr>
              <w:pStyle w:val="0"/>
              <w:widowControl w:val="1"/>
              <w:jc w:val="center"/>
              <w:rPr>
                <w:rFonts w:hint="default" w:ascii="HGPｺﾞｼｯｸM" w:hAnsi="HGPｺﾞｼｯｸM" w:eastAsia="HGPｺﾞｼｯｸM"/>
                <w:color w:val="000000" w:themeColor="text1"/>
                <w:sz w:val="21"/>
              </w:rPr>
            </w:pPr>
            <w:r>
              <w:rPr>
                <w:rFonts w:hint="eastAsia" w:ascii="HGPｺﾞｼｯｸM" w:hAnsi="HGPｺﾞｼｯｸM" w:eastAsia="HGPｺﾞｼｯｸM"/>
                <w:color w:val="000000" w:themeColor="text1"/>
                <w:sz w:val="21"/>
              </w:rPr>
              <w:t>協定の概要</w:t>
            </w:r>
          </w:p>
        </w:tc>
      </w:tr>
      <w:tr>
        <w:trPr>
          <w:trHeight w:val="903" w:hRule="atLeast"/>
        </w:trPr>
        <w:tc>
          <w:tcPr>
            <w:tcW w:w="785"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県</w:t>
            </w:r>
          </w:p>
        </w:tc>
        <w:tc>
          <w:tcPr>
            <w:tcW w:w="2548"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災害時における復旧業務の支援活動に関する協定</w:t>
            </w:r>
            <w:r>
              <w:rPr>
                <w:rFonts w:hint="eastAsia" w:ascii="HGSｺﾞｼｯｸM" w:hAnsi="HGSｺﾞｼｯｸM" w:eastAsia="HGSｺﾞｼｯｸM"/>
                <w:sz w:val="21"/>
              </w:rPr>
              <w:t xml:space="preserve"> </w:t>
            </w:r>
          </w:p>
        </w:tc>
        <w:tc>
          <w:tcPr>
            <w:tcW w:w="1807"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一般社団法人沖縄県電気管工事業協会</w:t>
            </w:r>
          </w:p>
        </w:tc>
        <w:tc>
          <w:tcPr>
            <w:tcW w:w="1154"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H20.3.31</w:t>
            </w:r>
          </w:p>
        </w:tc>
        <w:tc>
          <w:tcPr>
            <w:tcW w:w="3057"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県本庁舎等県有施設の電気設備や機械設備等の復旧</w:t>
            </w:r>
          </w:p>
        </w:tc>
      </w:tr>
      <w:tr>
        <w:trPr>
          <w:trHeight w:val="903" w:hRule="atLeast"/>
        </w:trPr>
        <w:tc>
          <w:tcPr>
            <w:tcW w:w="785"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県</w:t>
            </w:r>
          </w:p>
        </w:tc>
        <w:tc>
          <w:tcPr>
            <w:tcW w:w="2548"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災害時における復旧支援に関する協定</w:t>
            </w:r>
          </w:p>
        </w:tc>
        <w:tc>
          <w:tcPr>
            <w:tcW w:w="1807"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公益社団法人日本下水道管路管理業協会</w:t>
            </w:r>
          </w:p>
        </w:tc>
        <w:tc>
          <w:tcPr>
            <w:tcW w:w="1154"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H23.3.26</w:t>
            </w:r>
          </w:p>
        </w:tc>
        <w:tc>
          <w:tcPr>
            <w:tcW w:w="3057"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下水道管路施設の応急復旧</w:t>
            </w:r>
          </w:p>
        </w:tc>
      </w:tr>
      <w:tr>
        <w:trPr>
          <w:trHeight w:val="903" w:hRule="atLeast"/>
        </w:trPr>
        <w:tc>
          <w:tcPr>
            <w:tcW w:w="785"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県</w:t>
            </w:r>
          </w:p>
        </w:tc>
        <w:tc>
          <w:tcPr>
            <w:tcW w:w="2548"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台風等大規模災害時における災害廃棄物の処理に関する協定</w:t>
            </w:r>
          </w:p>
        </w:tc>
        <w:tc>
          <w:tcPr>
            <w:tcW w:w="1807"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一般社団法人沖縄県産業廃棄物協会</w:t>
            </w:r>
          </w:p>
        </w:tc>
        <w:tc>
          <w:tcPr>
            <w:tcW w:w="1154"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H23.3.28</w:t>
            </w:r>
          </w:p>
        </w:tc>
        <w:tc>
          <w:tcPr>
            <w:tcW w:w="3057"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大規模災害時において市町村から廃棄物の処理に関して支援要請を受けた場合の処理体制</w:t>
            </w:r>
          </w:p>
        </w:tc>
      </w:tr>
      <w:tr>
        <w:trPr>
          <w:trHeight w:val="903" w:hRule="atLeast"/>
        </w:trPr>
        <w:tc>
          <w:tcPr>
            <w:tcW w:w="785"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県</w:t>
            </w:r>
          </w:p>
        </w:tc>
        <w:tc>
          <w:tcPr>
            <w:tcW w:w="2548"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災害時における応急対応等に関する協定</w:t>
            </w:r>
            <w:r>
              <w:rPr>
                <w:rFonts w:hint="eastAsia" w:ascii="HGSｺﾞｼｯｸM" w:hAnsi="HGSｺﾞｼｯｸM" w:eastAsia="HGSｺﾞｼｯｸM"/>
                <w:sz w:val="21"/>
              </w:rPr>
              <w:t xml:space="preserve"> </w:t>
            </w:r>
          </w:p>
        </w:tc>
        <w:tc>
          <w:tcPr>
            <w:tcW w:w="1807"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一般社団法人沖縄県建設業協会</w:t>
            </w:r>
          </w:p>
        </w:tc>
        <w:tc>
          <w:tcPr>
            <w:tcW w:w="1154"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H23.8.31</w:t>
            </w:r>
          </w:p>
        </w:tc>
        <w:tc>
          <w:tcPr>
            <w:tcW w:w="3057"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県管理の河川、海岸、道路、港湾などインフラの応急復旧</w:t>
            </w:r>
          </w:p>
        </w:tc>
      </w:tr>
      <w:tr>
        <w:trPr>
          <w:trHeight w:val="903" w:hRule="atLeast"/>
        </w:trPr>
        <w:tc>
          <w:tcPr>
            <w:tcW w:w="785"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県</w:t>
            </w:r>
          </w:p>
        </w:tc>
        <w:tc>
          <w:tcPr>
            <w:tcW w:w="2548" w:type="dxa"/>
            <w:vAlign w:val="center"/>
          </w:tcPr>
          <w:p>
            <w:pPr>
              <w:pStyle w:val="0"/>
              <w:widowControl w:val="1"/>
              <w:rPr>
                <w:rFonts w:hint="default" w:ascii="HGSｺﾞｼｯｸM" w:hAnsi="HGSｺﾞｼｯｸM" w:eastAsia="HGSｺﾞｼｯｸM"/>
                <w:sz w:val="21"/>
              </w:rPr>
            </w:pPr>
            <w:bookmarkStart w:id="26" w:name="_Hlk23596274"/>
            <w:r>
              <w:rPr>
                <w:rFonts w:hint="eastAsia" w:ascii="HGSｺﾞｼｯｸM" w:hAnsi="HGSｺﾞｼｯｸM" w:eastAsia="HGSｺﾞｼｯｸM"/>
                <w:sz w:val="21"/>
              </w:rPr>
              <w:t>災害時における燃料供給に関する協定</w:t>
            </w:r>
            <w:bookmarkEnd w:id="26"/>
          </w:p>
        </w:tc>
        <w:tc>
          <w:tcPr>
            <w:tcW w:w="1807"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沖縄県石油商業組合</w:t>
            </w:r>
          </w:p>
        </w:tc>
        <w:tc>
          <w:tcPr>
            <w:tcW w:w="1154"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H26.7.17</w:t>
            </w:r>
          </w:p>
        </w:tc>
        <w:tc>
          <w:tcPr>
            <w:tcW w:w="3057"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燃料の供給を中核給油所及び小口輸送拠点で実施する協定</w:t>
            </w:r>
          </w:p>
        </w:tc>
      </w:tr>
      <w:tr>
        <w:trPr>
          <w:trHeight w:val="903" w:hRule="atLeast"/>
        </w:trPr>
        <w:tc>
          <w:tcPr>
            <w:tcW w:w="785"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県</w:t>
            </w:r>
          </w:p>
        </w:tc>
        <w:tc>
          <w:tcPr>
            <w:tcW w:w="2548"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災害に係る情報発信等に関する協定</w:t>
            </w:r>
          </w:p>
        </w:tc>
        <w:tc>
          <w:tcPr>
            <w:tcW w:w="1807"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ヤフー株式会社</w:t>
            </w:r>
          </w:p>
        </w:tc>
        <w:tc>
          <w:tcPr>
            <w:tcW w:w="1154"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H27.2.12</w:t>
            </w:r>
          </w:p>
        </w:tc>
        <w:tc>
          <w:tcPr>
            <w:tcW w:w="3057"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沖縄防災情報ポータル「ハイサイ！防災で～びる」のキャッシュサイトをヤフーが提供する協定</w:t>
            </w:r>
          </w:p>
        </w:tc>
      </w:tr>
      <w:tr>
        <w:trPr>
          <w:trHeight w:val="903" w:hRule="atLeast"/>
        </w:trPr>
        <w:tc>
          <w:tcPr>
            <w:tcW w:w="785"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県</w:t>
            </w:r>
          </w:p>
        </w:tc>
        <w:tc>
          <w:tcPr>
            <w:tcW w:w="2548"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災害時における物資等の緊急輸送に関する協定</w:t>
            </w:r>
          </w:p>
        </w:tc>
        <w:tc>
          <w:tcPr>
            <w:tcW w:w="1807"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公益社団法人沖縄県トラック協会</w:t>
            </w:r>
          </w:p>
        </w:tc>
        <w:tc>
          <w:tcPr>
            <w:tcW w:w="1154" w:type="dxa"/>
            <w:vAlign w:val="center"/>
          </w:tcPr>
          <w:p>
            <w:pPr>
              <w:pStyle w:val="0"/>
              <w:widowControl w:val="1"/>
              <w:jc w:val="center"/>
              <w:rPr>
                <w:rFonts w:hint="default" w:ascii="HGSｺﾞｼｯｸM" w:hAnsi="HGSｺﾞｼｯｸM" w:eastAsia="HGSｺﾞｼｯｸM"/>
                <w:sz w:val="21"/>
              </w:rPr>
            </w:pPr>
            <w:r>
              <w:rPr>
                <w:rFonts w:hint="eastAsia" w:ascii="HGSｺﾞｼｯｸM" w:hAnsi="HGSｺﾞｼｯｸM" w:eastAsia="HGSｺﾞｼｯｸM"/>
                <w:sz w:val="21"/>
              </w:rPr>
              <w:t>H27.12.15</w:t>
            </w:r>
          </w:p>
        </w:tc>
        <w:tc>
          <w:tcPr>
            <w:tcW w:w="3057" w:type="dxa"/>
            <w:vAlign w:val="center"/>
          </w:tcPr>
          <w:p>
            <w:pPr>
              <w:pStyle w:val="0"/>
              <w:widowControl w:val="1"/>
              <w:rPr>
                <w:rFonts w:hint="default" w:ascii="HGSｺﾞｼｯｸM" w:hAnsi="HGSｺﾞｼｯｸM" w:eastAsia="HGSｺﾞｼｯｸM"/>
                <w:sz w:val="21"/>
              </w:rPr>
            </w:pPr>
            <w:r>
              <w:rPr>
                <w:rFonts w:hint="eastAsia" w:ascii="HGSｺﾞｼｯｸM" w:hAnsi="HGSｺﾞｼｯｸM" w:eastAsia="HGSｺﾞｼｯｸM"/>
                <w:sz w:val="21"/>
              </w:rPr>
              <w:t>災害時における物資等の緊急輸送に関する協定</w:t>
            </w:r>
          </w:p>
        </w:tc>
      </w:tr>
    </w:tbl>
    <w:p>
      <w:pPr>
        <w:pStyle w:val="0"/>
        <w:rPr>
          <w:rFonts w:hint="default" w:ascii="ＭＳ 明朝" w:hAnsi="ＭＳ 明朝" w:eastAsia="ＭＳ 明朝"/>
          <w:sz w:val="18"/>
        </w:rPr>
      </w:pPr>
      <w:bookmarkStart w:id="27" w:name="_Hlk61906191"/>
      <w:r>
        <w:rPr>
          <w:rFonts w:hint="eastAsia" w:ascii="ＭＳ 明朝" w:hAnsi="ＭＳ 明朝" w:eastAsia="ＭＳ 明朝"/>
          <w:sz w:val="18"/>
        </w:rPr>
        <w:t>出典：沖縄県災害廃棄物処理計画</w:t>
      </w:r>
    </w:p>
    <w:p>
      <w:pPr>
        <w:pStyle w:val="0"/>
        <w:widowControl w:val="1"/>
        <w:autoSpaceDE w:val="1"/>
        <w:autoSpaceDN w:val="1"/>
        <w:rPr>
          <w:rFonts w:hint="default" w:ascii="Century" w:hAnsi="Century" w:eastAsia="ＭＳ 明朝"/>
          <w:kern w:val="2"/>
          <w:sz w:val="21"/>
        </w:rPr>
      </w:pPr>
      <w:bookmarkEnd w:id="27"/>
    </w:p>
    <w:p>
      <w:pPr>
        <w:pStyle w:val="0"/>
        <w:widowControl w:val="1"/>
        <w:autoSpaceDE w:val="1"/>
        <w:autoSpaceDN w:val="1"/>
        <w:rPr>
          <w:rFonts w:hint="default" w:ascii="Century" w:hAnsi="Century" w:eastAsia="ＭＳ 明朝"/>
          <w:kern w:val="2"/>
          <w:sz w:val="21"/>
        </w:rPr>
      </w:pPr>
    </w:p>
    <w:p>
      <w:pPr>
        <w:pStyle w:val="0"/>
        <w:widowControl w:val="1"/>
        <w:autoSpaceDE w:val="1"/>
        <w:autoSpaceDN w:val="1"/>
        <w:rPr>
          <w:rFonts w:hint="default"/>
        </w:rPr>
      </w:pPr>
      <w:bookmarkStart w:id="28" w:name="_Toc60838754"/>
      <w:r>
        <w:rPr>
          <w:rFonts w:hint="default"/>
        </w:rPr>
        <w:br w:type="page"/>
      </w:r>
    </w:p>
    <w:p>
      <w:pPr>
        <w:pStyle w:val="3"/>
        <w:ind w:left="0" w:leftChars="0"/>
        <w:rPr>
          <w:rFonts w:hint="default" w:ascii="ＭＳ ゴシック" w:hAnsi="ＭＳ ゴシック" w:eastAsia="ＭＳ ゴシック"/>
        </w:rPr>
      </w:pPr>
      <w:r>
        <w:rPr>
          <w:rFonts w:hint="eastAsia" w:ascii="ＭＳ ゴシック" w:hAnsi="ＭＳ ゴシック" w:eastAsia="ＭＳ ゴシック"/>
        </w:rPr>
        <w:t>（３）ボランティアとの連携</w:t>
      </w:r>
      <w:bookmarkEnd w:id="28"/>
    </w:p>
    <w:p>
      <w:pPr>
        <w:pStyle w:val="0"/>
        <w:spacing w:line="276" w:lineRule="auto"/>
        <w:ind w:firstLine="210" w:firstLineChars="100"/>
        <w:rPr>
          <w:rFonts w:hint="default" w:ascii="ＭＳ 明朝" w:hAnsi="ＭＳ 明朝" w:eastAsia="ＭＳ 明朝"/>
          <w:sz w:val="20"/>
        </w:rPr>
      </w:pPr>
      <w:r>
        <w:rPr>
          <w:rFonts w:hint="eastAsia" w:ascii="ＭＳ 明朝" w:hAnsi="ＭＳ 明朝" w:eastAsia="ＭＳ 明朝"/>
          <w:sz w:val="21"/>
        </w:rPr>
        <w:t>災害が発生した場合、災害ボランティア活動の拠点となる災害ボランティアセンターを設置する南風原町社会福祉協議会へ支援要請する。</w:t>
      </w:r>
    </w:p>
    <w:p>
      <w:pPr>
        <w:pStyle w:val="0"/>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被災地でのボランティア活動には様々な種類があり、災害廃棄物に係るものとしては、被災家屋からの災害廃棄物の搬出、貴重品や思い出の品の整理・清掃・返還等が挙げられる。</w:t>
      </w:r>
    </w:p>
    <w:p>
      <w:pPr>
        <w:pStyle w:val="0"/>
        <w:spacing w:line="276" w:lineRule="auto"/>
        <w:ind w:firstLine="210" w:firstLineChars="100"/>
        <w:rPr>
          <w:rFonts w:hint="default" w:ascii="ＭＳ 明朝" w:hAnsi="ＭＳ 明朝" w:eastAsia="ＭＳ 明朝"/>
          <w:color w:val="FF0000"/>
          <w:sz w:val="21"/>
        </w:rPr>
      </w:pPr>
      <w:r>
        <w:rPr>
          <w:rFonts w:hint="eastAsia" w:ascii="ＭＳ 明朝" w:hAnsi="ＭＳ 明朝" w:eastAsia="ＭＳ 明朝"/>
          <w:sz w:val="21"/>
        </w:rPr>
        <w:t>ボランティア活動に関する留意点として、表１１に示す事項が挙げられる。この他、ボランティアを受け入れる際、宿泊場所の確保が難しいことが想定されるため、平時から受け入れ体制を検討しておくことが重要である。</w:t>
      </w:r>
    </w:p>
    <w:p>
      <w:pPr>
        <w:pStyle w:val="0"/>
        <w:spacing w:line="276" w:lineRule="auto"/>
        <w:ind w:firstLine="210" w:firstLineChars="100"/>
        <w:rPr>
          <w:rFonts w:hint="default" w:ascii="ＭＳ 明朝" w:hAnsi="ＭＳ 明朝" w:eastAsia="ＭＳ 明朝"/>
          <w:color w:val="FF0000"/>
          <w:sz w:val="21"/>
        </w:rPr>
      </w:pPr>
    </w:p>
    <w:p>
      <w:pPr>
        <w:pStyle w:val="0"/>
        <w:jc w:val="center"/>
        <w:rPr>
          <w:rFonts w:hint="default"/>
          <w:sz w:val="21"/>
        </w:rPr>
      </w:pPr>
      <w:r>
        <w:rPr>
          <w:rFonts w:hint="eastAsia"/>
          <w:sz w:val="21"/>
        </w:rPr>
        <w:t>表１１　災害ボランティア活動の留意点</w:t>
      </w:r>
    </w:p>
    <w:tbl>
      <w:tblPr>
        <w:tblStyle w:val="55"/>
        <w:tblW w:w="9209" w:type="dxa"/>
        <w:tblInd w:w="0" w:type="dxa"/>
        <w:tblLayout w:type="fixed"/>
        <w:tblLook w:firstRow="1" w:lastRow="0" w:firstColumn="1" w:lastColumn="0" w:noHBand="0" w:noVBand="1" w:val="04A0"/>
      </w:tblPr>
      <w:tblGrid>
        <w:gridCol w:w="9209"/>
      </w:tblGrid>
      <w:tr>
        <w:trPr/>
        <w:tc>
          <w:tcPr>
            <w:tcW w:w="9209" w:type="dxa"/>
            <w:shd w:val="clear" w:color="auto" w:themeFill="background1" w:themeFillTint="FF" w:themeFillShade="D9"/>
            <w:vAlign w:val="top"/>
          </w:tcPr>
          <w:p>
            <w:pPr>
              <w:pStyle w:val="0"/>
              <w:widowControl w:val="1"/>
              <w:jc w:val="center"/>
              <w:rPr>
                <w:rFonts w:hint="default" w:ascii="HGSｺﾞｼｯｸM" w:hAnsi="HGSｺﾞｼｯｸM" w:eastAsia="HGSｺﾞｼｯｸM"/>
                <w:color w:val="000000" w:themeColor="text1"/>
                <w:sz w:val="21"/>
              </w:rPr>
            </w:pPr>
            <w:r>
              <w:rPr>
                <w:rFonts w:hint="eastAsia" w:ascii="HGSｺﾞｼｯｸM" w:hAnsi="HGSｺﾞｼｯｸM" w:eastAsia="HGSｺﾞｼｯｸM"/>
                <w:color w:val="000000" w:themeColor="text1"/>
                <w:sz w:val="21"/>
              </w:rPr>
              <w:t>留　　意　　点</w:t>
            </w:r>
          </w:p>
        </w:tc>
      </w:tr>
      <w:tr>
        <w:trPr>
          <w:trHeight w:val="1247" w:hRule="atLeast"/>
        </w:trPr>
        <w:tc>
          <w:tcPr>
            <w:tcW w:w="9209" w:type="dxa"/>
            <w:vAlign w:val="center"/>
          </w:tcPr>
          <w:p>
            <w:pPr>
              <w:pStyle w:val="0"/>
              <w:widowControl w:val="1"/>
              <w:spacing w:line="276" w:lineRule="auto"/>
              <w:ind w:left="176" w:leftChars="1" w:hanging="174" w:hangingChars="83"/>
              <w:jc w:val="both"/>
              <w:rPr>
                <w:rFonts w:hint="default" w:ascii="HGSｺﾞｼｯｸM" w:hAnsi="HGSｺﾞｼｯｸM" w:eastAsia="HGSｺﾞｼｯｸM"/>
                <w:color w:val="000000" w:themeColor="text1"/>
                <w:sz w:val="21"/>
              </w:rPr>
            </w:pPr>
            <w:r>
              <w:rPr>
                <w:rFonts w:hint="eastAsia" w:ascii="HGSｺﾞｼｯｸM" w:hAnsi="HGSｺﾞｼｯｸM" w:eastAsia="HGSｺﾞｼｯｸM"/>
                <w:color w:val="000000" w:themeColor="text1"/>
                <w:sz w:val="21"/>
              </w:rPr>
              <w:t>・災害廃棄物処理を円滑に行うため、ボランティアには災害廃棄物処理の担当者が活動開始時点において、災害廃棄物の分別方法や搬出方法、搬出先（仮置場）、保管方法を説明しておくことが望ましい。</w:t>
            </w:r>
          </w:p>
        </w:tc>
      </w:tr>
      <w:tr>
        <w:trPr>
          <w:trHeight w:val="1373" w:hRule="atLeast"/>
        </w:trPr>
        <w:tc>
          <w:tcPr>
            <w:tcW w:w="9209" w:type="dxa"/>
            <w:vAlign w:val="center"/>
          </w:tcPr>
          <w:p>
            <w:pPr>
              <w:pStyle w:val="0"/>
              <w:widowControl w:val="1"/>
              <w:spacing w:line="276" w:lineRule="auto"/>
              <w:ind w:left="176" w:leftChars="1" w:hanging="174" w:hangingChars="83"/>
              <w:jc w:val="both"/>
              <w:rPr>
                <w:rFonts w:hint="default" w:ascii="HGSｺﾞｼｯｸM" w:hAnsi="HGSｺﾞｼｯｸM" w:eastAsia="HGSｺﾞｼｯｸM"/>
                <w:color w:val="000000" w:themeColor="text1"/>
                <w:sz w:val="21"/>
              </w:rPr>
            </w:pPr>
            <w:r>
              <w:rPr>
                <w:rFonts w:hint="eastAsia" w:ascii="HGSｺﾞｼｯｸM" w:hAnsi="HGSｺﾞｼｯｸM" w:eastAsia="HGSｺﾞｼｯｸM"/>
                <w:color w:val="000000" w:themeColor="text1"/>
                <w:sz w:val="21"/>
              </w:rPr>
              <w:t>・災害廃棄物の撤去現場には、ガスボンベ等の危険物が存在するだけでなく、建材の中には石綿を含有する建材が含まれている可能性があることから、災害ボランティア活動にあたっての注意事項として必ず伝えるとともに、危険物等を取り扱う可能性のある作業は行わせない。</w:t>
            </w:r>
          </w:p>
        </w:tc>
      </w:tr>
      <w:tr>
        <w:trPr>
          <w:trHeight w:val="1421" w:hRule="atLeast"/>
        </w:trPr>
        <w:tc>
          <w:tcPr>
            <w:tcW w:w="9209" w:type="dxa"/>
            <w:vAlign w:val="center"/>
          </w:tcPr>
          <w:p>
            <w:pPr>
              <w:pStyle w:val="0"/>
              <w:widowControl w:val="1"/>
              <w:spacing w:line="276" w:lineRule="auto"/>
              <w:ind w:left="176" w:leftChars="1" w:hanging="174" w:hangingChars="83"/>
              <w:jc w:val="both"/>
              <w:rPr>
                <w:rFonts w:hint="default" w:ascii="HGSｺﾞｼｯｸM" w:hAnsi="HGSｺﾞｼｯｸM" w:eastAsia="HGSｺﾞｼｯｸM"/>
                <w:color w:val="000000" w:themeColor="text1"/>
                <w:sz w:val="21"/>
              </w:rPr>
            </w:pPr>
            <w:r>
              <w:rPr>
                <w:rFonts w:hint="eastAsia" w:ascii="HGSｺﾞｼｯｸM" w:hAnsi="HGSｺﾞｼｯｸM" w:eastAsia="HGSｺﾞｼｯｸM"/>
                <w:color w:val="000000" w:themeColor="text1"/>
                <w:sz w:val="21"/>
              </w:rPr>
              <w:t>・災害ボランティアの装備は基本的に自己完結だが、個人で持参できないものについては、可能であれば災害ボランティアセンターで準備する。特に災害廃棄物の処理現場においては、粉塵等から健康を守るために必要な装備（防じんマスク、安全ゴーグル・メガネ）が必要である。</w:t>
            </w:r>
          </w:p>
        </w:tc>
      </w:tr>
      <w:tr>
        <w:trPr>
          <w:trHeight w:val="1247" w:hRule="atLeast"/>
        </w:trPr>
        <w:tc>
          <w:tcPr>
            <w:tcW w:w="9209" w:type="dxa"/>
            <w:vAlign w:val="center"/>
          </w:tcPr>
          <w:p>
            <w:pPr>
              <w:pStyle w:val="0"/>
              <w:widowControl w:val="1"/>
              <w:spacing w:line="276" w:lineRule="auto"/>
              <w:ind w:left="176" w:leftChars="1" w:hanging="174" w:hangingChars="83"/>
              <w:jc w:val="both"/>
              <w:rPr>
                <w:rFonts w:hint="default" w:ascii="HGSｺﾞｼｯｸM" w:hAnsi="HGSｺﾞｼｯｸM" w:eastAsia="HGSｺﾞｼｯｸM"/>
                <w:color w:val="000000" w:themeColor="text1"/>
                <w:sz w:val="21"/>
              </w:rPr>
            </w:pPr>
            <w:r>
              <w:rPr>
                <w:rFonts w:hint="eastAsia" w:ascii="HGSｺﾞｼｯｸM" w:hAnsi="HGSｺﾞｼｯｸM" w:eastAsia="HGSｺﾞｼｯｸM"/>
                <w:color w:val="000000" w:themeColor="text1"/>
                <w:sz w:val="21"/>
              </w:rPr>
              <w:t>・破傷風、インフルエンザ等の感染症予防及び粉じんに留意する。予防接種の他、けがをした場合は、綺麗な水で傷を洗い、速やかに最寄りの医療機関にて診断を受けてもらう。</w:t>
            </w:r>
          </w:p>
        </w:tc>
      </w:tr>
      <w:tr>
        <w:trPr>
          <w:trHeight w:val="1247" w:hRule="atLeast"/>
        </w:trPr>
        <w:tc>
          <w:tcPr>
            <w:tcW w:w="9209" w:type="dxa"/>
            <w:vAlign w:val="center"/>
          </w:tcPr>
          <w:p>
            <w:pPr>
              <w:pStyle w:val="0"/>
              <w:widowControl w:val="1"/>
              <w:spacing w:line="276" w:lineRule="auto"/>
              <w:ind w:left="176" w:leftChars="1" w:hanging="174" w:hangingChars="83"/>
              <w:jc w:val="both"/>
              <w:rPr>
                <w:rFonts w:hint="default" w:ascii="HGSｺﾞｼｯｸM" w:hAnsi="HGSｺﾞｼｯｸM" w:eastAsia="HGSｺﾞｼｯｸM"/>
                <w:color w:val="000000" w:themeColor="text1"/>
                <w:sz w:val="21"/>
              </w:rPr>
            </w:pPr>
            <w:r>
              <w:rPr>
                <w:rFonts w:hint="eastAsia" w:ascii="HGSｺﾞｼｯｸM" w:hAnsi="HGSｺﾞｼｯｸM" w:eastAsia="HGSｺﾞｼｯｸM"/>
                <w:color w:val="000000" w:themeColor="text1"/>
                <w:sz w:val="21"/>
              </w:rPr>
              <w:t>・風水害の場合、被災地を覆った泥に異物や汚物が混入しており、通常の清掃作業以上に衛生管理の徹底を図る必要がある。また、時間が経つほど作業が困難になるため、復旧の初期段階で多くの人員が必要となる。</w:t>
            </w:r>
          </w:p>
        </w:tc>
      </w:tr>
    </w:tbl>
    <w:p>
      <w:pPr>
        <w:pStyle w:val="0"/>
        <w:rPr>
          <w:rFonts w:hint="default" w:ascii="ＭＳ 明朝" w:hAnsi="ＭＳ 明朝" w:eastAsia="ＭＳ 明朝"/>
          <w:sz w:val="18"/>
        </w:rPr>
      </w:pPr>
      <w:r>
        <w:rPr>
          <w:rFonts w:hint="eastAsia" w:ascii="ＭＳ 明朝" w:hAnsi="ＭＳ 明朝" w:eastAsia="ＭＳ 明朝"/>
          <w:sz w:val="18"/>
        </w:rPr>
        <w:t>出典：環境省災害廃棄物対策指針（平成</w:t>
      </w:r>
      <w:r>
        <w:rPr>
          <w:rFonts w:hint="eastAsia" w:ascii="ＭＳ 明朝" w:hAnsi="ＭＳ 明朝" w:eastAsia="ＭＳ 明朝"/>
          <w:sz w:val="18"/>
        </w:rPr>
        <w:t>2</w:t>
      </w:r>
      <w:r>
        <w:rPr>
          <w:rFonts w:hint="default" w:ascii="ＭＳ 明朝" w:hAnsi="ＭＳ 明朝" w:eastAsia="ＭＳ 明朝"/>
          <w:sz w:val="18"/>
        </w:rPr>
        <w:t>6</w:t>
      </w:r>
      <w:r>
        <w:rPr>
          <w:rFonts w:hint="eastAsia" w:ascii="ＭＳ 明朝" w:hAnsi="ＭＳ 明朝" w:eastAsia="ＭＳ 明朝"/>
          <w:sz w:val="18"/>
        </w:rPr>
        <w:t>年</w:t>
      </w:r>
      <w:r>
        <w:rPr>
          <w:rFonts w:hint="eastAsia" w:ascii="ＭＳ 明朝" w:hAnsi="ＭＳ 明朝" w:eastAsia="ＭＳ 明朝"/>
          <w:sz w:val="18"/>
        </w:rPr>
        <w:t>3</w:t>
      </w:r>
      <w:r>
        <w:rPr>
          <w:rFonts w:hint="eastAsia" w:ascii="ＭＳ 明朝" w:hAnsi="ＭＳ 明朝" w:eastAsia="ＭＳ 明朝"/>
          <w:sz w:val="18"/>
        </w:rPr>
        <w:t>月）【技</w:t>
      </w:r>
      <w:r>
        <w:rPr>
          <w:rFonts w:hint="eastAsia" w:ascii="ＭＳ 明朝" w:hAnsi="ＭＳ 明朝" w:eastAsia="ＭＳ 明朝"/>
          <w:sz w:val="18"/>
        </w:rPr>
        <w:t>1</w:t>
      </w:r>
      <w:r>
        <w:rPr>
          <w:rFonts w:hint="default" w:ascii="ＭＳ 明朝" w:hAnsi="ＭＳ 明朝" w:eastAsia="ＭＳ 明朝"/>
          <w:sz w:val="18"/>
        </w:rPr>
        <w:t>-21</w:t>
      </w:r>
      <w:r>
        <w:rPr>
          <w:rFonts w:hint="eastAsia" w:ascii="ＭＳ 明朝" w:hAnsi="ＭＳ 明朝" w:eastAsia="ＭＳ 明朝"/>
          <w:sz w:val="18"/>
        </w:rPr>
        <w:t>】を参考に作成</w:t>
      </w:r>
    </w:p>
    <w:p>
      <w:pPr>
        <w:pStyle w:val="0"/>
        <w:rPr>
          <w:rFonts w:hint="default" w:ascii="ＭＳ 明朝" w:hAnsi="ＭＳ 明朝"/>
          <w:sz w:val="18"/>
        </w:rPr>
      </w:pPr>
    </w:p>
    <w:p>
      <w:pPr>
        <w:pStyle w:val="0"/>
        <w:widowControl w:val="1"/>
        <w:autoSpaceDE w:val="1"/>
        <w:autoSpaceDN w:val="1"/>
        <w:rPr>
          <w:rFonts w:hint="default" w:ascii="ＭＳ 明朝" w:hAnsi="ＭＳ 明朝" w:eastAsia="ＭＳ 明朝"/>
          <w:kern w:val="2"/>
          <w:sz w:val="21"/>
        </w:rPr>
      </w:pPr>
      <w:r>
        <w:rPr>
          <w:rFonts w:hint="default" w:ascii="ＭＳ 明朝" w:hAnsi="ＭＳ 明朝" w:eastAsia="ＭＳ 明朝"/>
          <w:kern w:val="2"/>
          <w:sz w:val="21"/>
        </w:rPr>
        <w:br w:type="page"/>
      </w:r>
    </w:p>
    <w:p>
      <w:pPr>
        <w:pStyle w:val="2"/>
        <w:rPr>
          <w:rFonts w:hint="default" w:ascii="ＭＳ ゴシック" w:hAnsi="ＭＳ ゴシック" w:eastAsia="ＭＳ ゴシック"/>
          <w:sz w:val="24"/>
        </w:rPr>
      </w:pPr>
      <w:bookmarkStart w:id="29" w:name="_Toc60838755"/>
      <w:r>
        <w:rPr>
          <w:rFonts w:hint="default" w:ascii="ＭＳ ゴシック" w:hAnsi="ＭＳ ゴシック" w:eastAsia="ＭＳ ゴシック"/>
          <w:sz w:val="24"/>
        </w:rPr>
        <w:t>4</w:t>
      </w:r>
      <w:r>
        <w:rPr>
          <w:rFonts w:hint="eastAsia" w:ascii="ＭＳ ゴシック" w:hAnsi="ＭＳ ゴシック" w:eastAsia="ＭＳ ゴシック"/>
          <w:sz w:val="24"/>
        </w:rPr>
        <w:t>章　住民等への啓発・広報</w:t>
      </w:r>
      <w:bookmarkEnd w:id="29"/>
    </w:p>
    <w:p>
      <w:pPr>
        <w:pStyle w:val="0"/>
        <w:rPr>
          <w:rFonts w:hint="default"/>
        </w:rPr>
      </w:pPr>
    </w:p>
    <w:p>
      <w:pPr>
        <w:pStyle w:val="0"/>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表１２に住民へ広報する情報の例を示す。</w:t>
      </w:r>
    </w:p>
    <w:p>
      <w:pPr>
        <w:pStyle w:val="0"/>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災害廃棄物の処理を適正かつ円滑に進めるためには、住民の理解が重要である。特に仮置場の設置・運営、ごみの分別徹底、便乗ゴミの排出防止等においては、周知すべき情報を早期に分かりやすく提供する。</w:t>
      </w:r>
    </w:p>
    <w:p>
      <w:pPr>
        <w:pStyle w:val="0"/>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情報伝達手段としては、防災無線、広報宣伝車、ホームページ等があり、被災状況や情報内容に応じ活用する。東日本大震災では住民への広報として、仮置場の設置場所や開設日等について情報伝達するために、マスコミを活用することが有効であったという事例がある。</w:t>
      </w:r>
    </w:p>
    <w:p>
      <w:pPr>
        <w:pStyle w:val="0"/>
        <w:widowControl w:val="1"/>
        <w:spacing w:line="276" w:lineRule="auto"/>
        <w:rPr>
          <w:rFonts w:hint="default" w:ascii="ＭＳ 明朝" w:hAnsi="ＭＳ 明朝"/>
        </w:rPr>
      </w:pPr>
    </w:p>
    <w:p>
      <w:pPr>
        <w:pStyle w:val="0"/>
        <w:widowControl w:val="1"/>
        <w:ind w:left="420"/>
        <w:jc w:val="center"/>
        <w:rPr>
          <w:rFonts w:hint="default"/>
          <w:sz w:val="21"/>
        </w:rPr>
      </w:pPr>
      <w:r>
        <w:rPr>
          <w:rFonts w:hint="eastAsia"/>
          <w:sz w:val="21"/>
        </w:rPr>
        <w:t>表１２　広報する情報（例）</w:t>
      </w:r>
    </w:p>
    <w:tbl>
      <w:tblPr>
        <w:tblStyle w:val="55"/>
        <w:tblW w:w="9209" w:type="dxa"/>
        <w:tblInd w:w="0" w:type="dxa"/>
        <w:tblLayout w:type="fixed"/>
        <w:tblLook w:firstRow="1" w:lastRow="0" w:firstColumn="1" w:lastColumn="0" w:noHBand="0" w:noVBand="1" w:val="04A0"/>
      </w:tblPr>
      <w:tblGrid>
        <w:gridCol w:w="1980"/>
        <w:gridCol w:w="4252"/>
        <w:gridCol w:w="2977"/>
      </w:tblGrid>
      <w:tr>
        <w:trPr>
          <w:trHeight w:val="425" w:hRule="atLeast"/>
        </w:trPr>
        <w:tc>
          <w:tcPr>
            <w:tcW w:w="1980" w:type="dxa"/>
            <w:shd w:val="clear" w:color="auto" w:themeFill="background1" w:themeFillTint="FF" w:themeFillShade="D9"/>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項　　目</w:t>
            </w:r>
          </w:p>
        </w:tc>
        <w:tc>
          <w:tcPr>
            <w:tcW w:w="4252" w:type="dxa"/>
            <w:shd w:val="clear" w:color="auto" w:themeFill="background1" w:themeFillTint="FF" w:themeFillShade="D9"/>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内　　　　容</w:t>
            </w:r>
          </w:p>
        </w:tc>
        <w:tc>
          <w:tcPr>
            <w:tcW w:w="2977" w:type="dxa"/>
            <w:shd w:val="clear" w:color="auto" w:themeFill="background1" w:themeFillTint="FF" w:themeFillShade="D9"/>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周知方法</w:t>
            </w:r>
          </w:p>
        </w:tc>
      </w:tr>
      <w:tr>
        <w:trPr>
          <w:trHeight w:val="4504" w:hRule="atLeast"/>
        </w:trPr>
        <w:tc>
          <w:tcPr>
            <w:tcW w:w="1980" w:type="dxa"/>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仮置場</w:t>
            </w:r>
          </w:p>
          <w:p>
            <w:pPr>
              <w:pStyle w:val="0"/>
              <w:widowControl w:val="1"/>
              <w:jc w:val="center"/>
              <w:rPr>
                <w:rFonts w:hint="default" w:ascii="HGPｺﾞｼｯｸM" w:hAnsi="HGPｺﾞｼｯｸM" w:eastAsia="HGPｺﾞｼｯｸM"/>
                <w:sz w:val="21"/>
              </w:rPr>
            </w:pPr>
          </w:p>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排出・分別方法等</w:t>
            </w:r>
          </w:p>
        </w:tc>
        <w:tc>
          <w:tcPr>
            <w:tcW w:w="4252" w:type="dxa"/>
            <w:vAlign w:val="center"/>
          </w:tcPr>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・仮置場の場所、期間について</w:t>
            </w:r>
          </w:p>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・排出及び分別方法について</w:t>
            </w:r>
          </w:p>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・クリーンセンターへの持ち込みについて</w:t>
            </w:r>
          </w:p>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・回収方法について</w:t>
            </w:r>
          </w:p>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・危険物・有害物質の取扱いについて</w:t>
            </w:r>
          </w:p>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・廃自動車の取扱いについて</w:t>
            </w:r>
          </w:p>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・不法投棄、便乗ごみの禁止について</w:t>
            </w:r>
          </w:p>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・仮設トイレについて</w:t>
            </w:r>
          </w:p>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・し尿収集について</w:t>
            </w:r>
          </w:p>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・問合せ先について</w:t>
            </w:r>
          </w:p>
        </w:tc>
        <w:tc>
          <w:tcPr>
            <w:tcW w:w="2977" w:type="dxa"/>
            <w:vAlign w:val="top"/>
          </w:tcPr>
          <w:p>
            <w:pPr>
              <w:pStyle w:val="0"/>
              <w:widowControl w:val="1"/>
              <w:spacing w:line="276" w:lineRule="auto"/>
              <w:rPr>
                <w:rFonts w:hint="default" w:ascii="HGPｺﾞｼｯｸM" w:hAnsi="HGPｺﾞｼｯｸM" w:eastAsia="HGPｺﾞｼｯｸM"/>
                <w:sz w:val="21"/>
              </w:rPr>
            </w:pPr>
          </w:p>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・防災無線</w:t>
            </w:r>
          </w:p>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・広報宣伝車</w:t>
            </w:r>
          </w:p>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・ホームページ</w:t>
            </w:r>
          </w:p>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・庁舎、避難所の掲示板</w:t>
            </w:r>
          </w:p>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・地域回覧板</w:t>
            </w:r>
          </w:p>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・報道（マスメディア）</w:t>
            </w:r>
          </w:p>
          <w:p>
            <w:pPr>
              <w:pStyle w:val="0"/>
              <w:widowControl w:val="1"/>
              <w:spacing w:line="360" w:lineRule="auto"/>
              <w:rPr>
                <w:rFonts w:hint="default" w:ascii="HGPｺﾞｼｯｸM" w:hAnsi="HGPｺﾞｼｯｸM" w:eastAsia="HGPｺﾞｼｯｸM"/>
                <w:sz w:val="21"/>
              </w:rPr>
            </w:pPr>
            <w:r>
              <w:rPr>
                <w:rFonts w:hint="eastAsia" w:ascii="HGPｺﾞｼｯｸM" w:hAnsi="HGPｺﾞｼｯｸM" w:eastAsia="HGPｺﾞｼｯｸM"/>
                <w:sz w:val="21"/>
              </w:rPr>
              <w:t>・</w:t>
            </w:r>
            <w:r>
              <w:rPr>
                <w:rFonts w:hint="eastAsia" w:ascii="HGPｺﾞｼｯｸM" w:hAnsi="HGPｺﾞｼｯｸM" w:eastAsia="HGPｺﾞｼｯｸM"/>
                <w:sz w:val="21"/>
              </w:rPr>
              <w:t>LINE</w:t>
            </w:r>
          </w:p>
        </w:tc>
      </w:tr>
    </w:tbl>
    <w:p>
      <w:pPr>
        <w:pStyle w:val="0"/>
        <w:rPr>
          <w:rFonts w:hint="default" w:ascii="ＭＳ 明朝" w:hAnsi="ＭＳ 明朝"/>
        </w:rPr>
      </w:pPr>
    </w:p>
    <w:p>
      <w:pPr>
        <w:pStyle w:val="0"/>
        <w:widowControl w:val="1"/>
        <w:autoSpaceDE w:val="1"/>
        <w:autoSpaceDN w:val="1"/>
        <w:rPr>
          <w:rFonts w:hint="default" w:asciiTheme="majorHAnsi" w:hAnsiTheme="majorHAnsi" w:eastAsiaTheme="majorEastAsia"/>
        </w:rPr>
      </w:pPr>
      <w:r>
        <w:rPr>
          <w:rFonts w:hint="default"/>
        </w:rPr>
        <w:br w:type="page"/>
      </w:r>
    </w:p>
    <w:p>
      <w:pPr>
        <w:pStyle w:val="2"/>
        <w:rPr>
          <w:rFonts w:hint="default" w:ascii="ＭＳ ゴシック" w:hAnsi="ＭＳ ゴシック" w:eastAsia="ＭＳ ゴシック"/>
          <w:sz w:val="24"/>
        </w:rPr>
      </w:pPr>
      <w:bookmarkStart w:id="30" w:name="_Toc60838756"/>
      <w:r>
        <w:rPr>
          <w:rFonts w:hint="default" w:ascii="ＭＳ ゴシック" w:hAnsi="ＭＳ ゴシック" w:eastAsia="ＭＳ ゴシック"/>
          <w:sz w:val="24"/>
        </w:rPr>
        <w:t>5</w:t>
      </w:r>
      <w:r>
        <w:rPr>
          <w:rFonts w:hint="eastAsia" w:ascii="ＭＳ ゴシック" w:hAnsi="ＭＳ ゴシック" w:eastAsia="ＭＳ ゴシック"/>
          <w:sz w:val="24"/>
        </w:rPr>
        <w:t>章　一般廃棄物処理施設</w:t>
      </w:r>
      <w:bookmarkStart w:id="31" w:name="_Toc14888750"/>
      <w:r>
        <w:rPr>
          <w:rFonts w:hint="eastAsia" w:ascii="ＭＳ ゴシック" w:hAnsi="ＭＳ ゴシック" w:eastAsia="ＭＳ ゴシック"/>
          <w:sz w:val="24"/>
        </w:rPr>
        <w:t>の現況</w:t>
      </w:r>
      <w:bookmarkEnd w:id="31"/>
      <w:bookmarkEnd w:id="30"/>
    </w:p>
    <w:p>
      <w:pPr>
        <w:pStyle w:val="0"/>
        <w:rPr>
          <w:rFonts w:hint="default"/>
        </w:rPr>
      </w:pPr>
    </w:p>
    <w:p>
      <w:pPr>
        <w:pStyle w:val="0"/>
        <w:spacing w:line="276" w:lineRule="auto"/>
        <w:ind w:right="152" w:rightChars="69" w:firstLine="210" w:firstLineChars="100"/>
        <w:rPr>
          <w:rFonts w:hint="default" w:ascii="ＭＳ 明朝" w:hAnsi="ＭＳ 明朝" w:eastAsia="ＭＳ 明朝"/>
          <w:sz w:val="21"/>
        </w:rPr>
      </w:pPr>
      <w:r>
        <w:rPr>
          <w:rFonts w:hint="eastAsia" w:ascii="ＭＳ 明朝" w:hAnsi="ＭＳ 明朝" w:eastAsia="ＭＳ 明朝"/>
          <w:sz w:val="21"/>
        </w:rPr>
        <w:t>本町の一般廃棄物処理施設及び一般廃棄物最終処分場の処理能力等の概要を表１３、表１４に示し、施設の位置図を図６に示す。</w:t>
      </w:r>
    </w:p>
    <w:p>
      <w:pPr>
        <w:pStyle w:val="0"/>
        <w:spacing w:line="276" w:lineRule="auto"/>
        <w:ind w:right="152" w:rightChars="69" w:firstLine="210" w:firstLineChars="100"/>
        <w:rPr>
          <w:rFonts w:hint="default" w:ascii="ＭＳ 明朝" w:hAnsi="ＭＳ 明朝" w:eastAsia="ＭＳ 明朝"/>
          <w:color w:val="FF0000"/>
          <w:sz w:val="21"/>
        </w:rPr>
      </w:pPr>
    </w:p>
    <w:p>
      <w:pPr>
        <w:pStyle w:val="0"/>
        <w:spacing w:line="276" w:lineRule="auto"/>
        <w:ind w:firstLine="2520" w:firstLineChars="1200"/>
        <w:rPr>
          <w:rFonts w:hint="default"/>
          <w:sz w:val="21"/>
        </w:rPr>
      </w:pPr>
      <w:r>
        <w:rPr>
          <w:rFonts w:hint="eastAsia"/>
          <w:sz w:val="21"/>
        </w:rPr>
        <w:t>表１３　一般廃棄物焼却施設の稼働状況</w:t>
      </w:r>
    </w:p>
    <w:tbl>
      <w:tblPr>
        <w:tblStyle w:val="60"/>
        <w:tblW w:w="8217" w:type="dxa"/>
        <w:jc w:val="center"/>
        <w:tblInd w:w="0" w:type="dxa"/>
        <w:tblLayout w:type="fixed"/>
        <w:tblLook w:firstRow="1" w:lastRow="0" w:firstColumn="1" w:lastColumn="0" w:noHBand="0" w:noVBand="1" w:val="04A0"/>
      </w:tblPr>
      <w:tblGrid>
        <w:gridCol w:w="3256"/>
        <w:gridCol w:w="2126"/>
        <w:gridCol w:w="1134"/>
        <w:gridCol w:w="1701"/>
      </w:tblGrid>
      <w:tr>
        <w:trPr>
          <w:trHeight w:val="334" w:hRule="atLeast"/>
        </w:trPr>
        <w:tc>
          <w:tcPr>
            <w:tcW w:w="325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施設名</w:t>
            </w:r>
          </w:p>
        </w:tc>
        <w:tc>
          <w:tcPr>
            <w:tcW w:w="21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処理能力</w:t>
            </w:r>
          </w:p>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w:t>
            </w:r>
            <w:r>
              <w:rPr>
                <w:rFonts w:hint="eastAsia" w:ascii="HGPｺﾞｼｯｸM" w:hAnsi="HGPｺﾞｼｯｸM" w:eastAsia="HGPｺﾞｼｯｸM"/>
                <w:sz w:val="21"/>
              </w:rPr>
              <w:t>t/</w:t>
            </w:r>
            <w:r>
              <w:rPr>
                <w:rFonts w:hint="eastAsia" w:ascii="HGPｺﾞｼｯｸM" w:hAnsi="HGPｺﾞｼｯｸM" w:eastAsia="HGPｺﾞｼｯｸM"/>
                <w:sz w:val="21"/>
              </w:rPr>
              <w:t>日）</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炉数</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使用開始</w:t>
            </w:r>
          </w:p>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年度</w:t>
            </w:r>
          </w:p>
        </w:tc>
      </w:tr>
      <w:tr>
        <w:trPr>
          <w:trHeight w:val="648" w:hRule="atLeast"/>
        </w:trPr>
        <w:tc>
          <w:tcPr>
            <w:tcW w:w="325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那覇・南風原クリーンセンター</w:t>
            </w:r>
          </w:p>
        </w:tc>
        <w:tc>
          <w:tcPr>
            <w:tcW w:w="21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76" w:lineRule="auto"/>
              <w:jc w:val="center"/>
              <w:rPr>
                <w:rFonts w:hint="default" w:ascii="HGPｺﾞｼｯｸM" w:hAnsi="HGPｺﾞｼｯｸM" w:eastAsia="HGPｺﾞｼｯｸM"/>
                <w:kern w:val="2"/>
                <w:sz w:val="21"/>
              </w:rPr>
            </w:pPr>
            <w:r>
              <w:rPr>
                <w:rFonts w:hint="eastAsia" w:ascii="HGPｺﾞｼｯｸM" w:hAnsi="HGPｺﾞｼｯｸM" w:eastAsia="HGPｺﾞｼｯｸM"/>
                <w:kern w:val="2"/>
                <w:sz w:val="21"/>
              </w:rPr>
              <w:t>450</w:t>
            </w:r>
          </w:p>
        </w:tc>
        <w:tc>
          <w:tcPr>
            <w:tcW w:w="113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3</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2006</w:t>
            </w:r>
          </w:p>
        </w:tc>
      </w:tr>
    </w:tbl>
    <w:p>
      <w:pPr>
        <w:pStyle w:val="0"/>
        <w:widowControl w:val="1"/>
        <w:autoSpaceDE w:val="1"/>
        <w:spacing w:line="276" w:lineRule="auto"/>
        <w:ind w:firstLine="360" w:firstLineChars="200"/>
        <w:rPr>
          <w:rFonts w:hint="default" w:ascii="ＭＳ 明朝" w:hAnsi="ＭＳ 明朝" w:eastAsia="ＭＳ 明朝"/>
          <w:sz w:val="18"/>
        </w:rPr>
      </w:pPr>
      <w:r>
        <w:rPr>
          <w:rFonts w:hint="eastAsia" w:ascii="ＭＳ 明朝" w:hAnsi="ＭＳ 明朝" w:eastAsia="ＭＳ 明朝"/>
          <w:b w:val="1"/>
          <w:sz w:val="18"/>
          <w:u w:val="single" w:color="auto"/>
        </w:rPr>
        <w:t>出典：環境省一般廃棄物処理実態調査（令和４年度調査結果）</w:t>
      </w:r>
    </w:p>
    <w:p>
      <w:pPr>
        <w:pStyle w:val="0"/>
        <w:spacing w:line="276" w:lineRule="auto"/>
        <w:rPr>
          <w:rFonts w:hint="default"/>
          <w:sz w:val="21"/>
        </w:rPr>
      </w:pPr>
    </w:p>
    <w:p>
      <w:pPr>
        <w:pStyle w:val="0"/>
        <w:spacing w:line="276" w:lineRule="auto"/>
        <w:jc w:val="center"/>
        <w:rPr>
          <w:rFonts w:hint="default"/>
          <w:sz w:val="21"/>
        </w:rPr>
      </w:pPr>
      <w:r>
        <w:rPr>
          <w:rFonts w:hint="eastAsia"/>
          <w:sz w:val="21"/>
        </w:rPr>
        <w:t>表１４　一般廃棄物最終処分場の残余年数等</w:t>
      </w:r>
    </w:p>
    <w:tbl>
      <w:tblPr>
        <w:tblStyle w:val="60"/>
        <w:tblW w:w="8217" w:type="dxa"/>
        <w:jc w:val="center"/>
        <w:tblInd w:w="0" w:type="dxa"/>
        <w:tblLayout w:type="fixed"/>
        <w:tblLook w:firstRow="1" w:lastRow="0" w:firstColumn="1" w:lastColumn="0" w:noHBand="0" w:noVBand="1" w:val="04A0"/>
      </w:tblPr>
      <w:tblGrid>
        <w:gridCol w:w="3256"/>
        <w:gridCol w:w="1842"/>
        <w:gridCol w:w="1418"/>
        <w:gridCol w:w="1701"/>
      </w:tblGrid>
      <w:tr>
        <w:trPr>
          <w:trHeight w:val="334" w:hRule="atLeast"/>
        </w:trPr>
        <w:tc>
          <w:tcPr>
            <w:tcW w:w="325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施設名</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残余容量</w:t>
            </w:r>
            <w:r>
              <w:rPr>
                <w:rFonts w:hint="eastAsia" w:ascii="HGPｺﾞｼｯｸM" w:hAnsi="HGPｺﾞｼｯｸM" w:eastAsia="HGPｺﾞｼｯｸM"/>
                <w:sz w:val="21"/>
              </w:rPr>
              <w:t>(m</w:t>
            </w:r>
            <w:r>
              <w:rPr>
                <w:rFonts w:hint="eastAsia" w:ascii="HGPｺﾞｼｯｸM" w:hAnsi="HGPｺﾞｼｯｸM" w:eastAsia="HGPｺﾞｼｯｸM"/>
                <w:sz w:val="21"/>
                <w:vertAlign w:val="superscript"/>
              </w:rPr>
              <w:t>３</w:t>
            </w:r>
            <w:r>
              <w:rPr>
                <w:rFonts w:hint="eastAsia" w:ascii="HGPｺﾞｼｯｸM" w:hAnsi="HGPｺﾞｼｯｸM" w:eastAsia="HGPｺﾞｼｯｸM"/>
                <w:sz w:val="21"/>
              </w:rPr>
              <w:t>)</w:t>
            </w:r>
          </w:p>
        </w:tc>
        <w:tc>
          <w:tcPr>
            <w:tcW w:w="14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埋立開始</w:t>
            </w:r>
          </w:p>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年度</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埋立終了</w:t>
            </w:r>
          </w:p>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年度</w:t>
            </w:r>
          </w:p>
        </w:tc>
      </w:tr>
      <w:tr>
        <w:trPr>
          <w:trHeight w:val="334" w:hRule="atLeast"/>
        </w:trPr>
        <w:tc>
          <w:tcPr>
            <w:tcW w:w="325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那覇エコアイランド</w:t>
            </w:r>
          </w:p>
        </w:tc>
        <w:tc>
          <w:tcPr>
            <w:tcW w:w="184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76" w:lineRule="auto"/>
              <w:jc w:val="center"/>
              <w:rPr>
                <w:rFonts w:hint="default" w:ascii="HGPｺﾞｼｯｸM" w:hAnsi="HGPｺﾞｼｯｸM" w:eastAsiaTheme="minorEastAsia"/>
                <w:sz w:val="21"/>
              </w:rPr>
            </w:pPr>
            <w:r>
              <w:rPr>
                <w:rFonts w:hint="eastAsia" w:ascii="HGPｺﾞｼｯｸM" w:hAnsi="HGPｺﾞｼｯｸM" w:eastAsia="HGPｺﾞｼｯｸM"/>
                <w:b w:val="0"/>
                <w:sz w:val="21"/>
                <w:u w:val="none" w:color="auto"/>
              </w:rPr>
              <w:t>46,331</w:t>
            </w:r>
          </w:p>
        </w:tc>
        <w:tc>
          <w:tcPr>
            <w:tcW w:w="14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2007</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2031</w:t>
            </w:r>
          </w:p>
        </w:tc>
      </w:tr>
    </w:tbl>
    <w:p>
      <w:pPr>
        <w:pStyle w:val="0"/>
        <w:widowControl w:val="1"/>
        <w:autoSpaceDE w:val="1"/>
        <w:spacing w:line="276" w:lineRule="auto"/>
        <w:ind w:firstLine="360" w:firstLineChars="200"/>
        <w:rPr>
          <w:rFonts w:hint="default" w:ascii="ＭＳ 明朝" w:hAnsi="ＭＳ 明朝" w:eastAsia="ＭＳ 明朝"/>
          <w:sz w:val="18"/>
        </w:rPr>
      </w:pPr>
      <w:bookmarkStart w:id="32" w:name="_Hlk61824892"/>
      <w:r>
        <w:rPr>
          <w:rFonts w:hint="eastAsia" w:ascii="ＭＳ 明朝" w:hAnsi="ＭＳ 明朝" w:eastAsia="ＭＳ 明朝"/>
          <w:b w:val="0"/>
          <w:sz w:val="18"/>
          <w:u w:val="none" w:color="auto"/>
        </w:rPr>
        <w:t>出典：環境省一般廃棄物処理実態調査（令和４年度調査結果）</w:t>
      </w:r>
    </w:p>
    <w:p>
      <w:pPr>
        <w:pStyle w:val="0"/>
        <w:widowControl w:val="1"/>
        <w:autoSpaceDE w:val="1"/>
        <w:spacing w:line="276" w:lineRule="auto"/>
        <w:rPr>
          <w:rFonts w:hint="default"/>
          <w:sz w:val="21"/>
        </w:rPr>
      </w:pPr>
      <w:bookmarkEnd w:id="32"/>
      <w:r>
        <w:rPr>
          <w:rFonts w:hint="eastAsia"/>
          <w:sz w:val="21"/>
        </w:rPr>
        <w:t>　</w:t>
      </w:r>
    </w:p>
    <w:p>
      <w:pPr>
        <w:pStyle w:val="0"/>
        <w:widowControl w:val="1"/>
        <w:autoSpaceDE w:val="1"/>
        <w:autoSpaceDN w:val="1"/>
        <w:jc w:val="center"/>
        <w:rPr>
          <w:rFonts w:hint="default"/>
        </w:rPr>
      </w:pPr>
      <w:r>
        <w:rPr>
          <w:rFonts w:hint="default"/>
        </w:rPr>
        <mc:AlternateContent>
          <mc:Choice Requires="wpg">
            <w:drawing>
              <wp:anchor distT="0" distB="0" distL="114300" distR="114300" simplePos="0" relativeHeight="64" behindDoc="0" locked="0" layoutInCell="1" hidden="0" allowOverlap="1">
                <wp:simplePos x="0" y="0"/>
                <wp:positionH relativeFrom="column">
                  <wp:posOffset>313690</wp:posOffset>
                </wp:positionH>
                <wp:positionV relativeFrom="paragraph">
                  <wp:posOffset>66675</wp:posOffset>
                </wp:positionV>
                <wp:extent cx="5414645" cy="3111500"/>
                <wp:effectExtent l="23495" t="23495" r="24130" b="24130"/>
                <wp:wrapNone/>
                <wp:docPr id="1096" name="グループ化 50"/>
                <a:graphic xmlns:a="http://schemas.openxmlformats.org/drawingml/2006/main">
                  <a:graphicData uri="http://schemas.microsoft.com/office/word/2010/wordprocessingGroup">
                    <wpg:wgp>
                      <wpg:cNvGrpSpPr/>
                      <wpg:grpSpPr>
                        <a:xfrm>
                          <a:off x="0" y="0"/>
                          <a:ext cx="5414645" cy="3111500"/>
                          <a:chOff x="0" y="0"/>
                          <a:chExt cx="5414645" cy="3111500"/>
                        </a:xfrm>
                      </wpg:grpSpPr>
                      <pic:pic xmlns:pic="http://schemas.openxmlformats.org/drawingml/2006/picture">
                        <pic:nvPicPr>
                          <pic:cNvPr id="1097" name="図 36"/>
                          <pic:cNvPicPr>
                            <a:picLocks noChangeAspect="1"/>
                          </pic:cNvPicPr>
                        </pic:nvPicPr>
                        <pic:blipFill>
                          <a:blip r:embed="rId11"/>
                          <a:srcRect l="15988" t="15714" r="16165" b="14966"/>
                          <a:stretch>
                            <a:fillRect/>
                          </a:stretch>
                        </pic:blipFill>
                        <pic:spPr>
                          <a:xfrm>
                            <a:off x="0" y="0"/>
                            <a:ext cx="5414645" cy="3111500"/>
                          </a:xfrm>
                          <a:prstGeom prst="rect">
                            <a:avLst/>
                          </a:prstGeom>
                          <a:ln>
                            <a:solidFill>
                              <a:schemeClr val="tx1"/>
                            </a:solidFill>
                          </a:ln>
                        </pic:spPr>
                      </pic:pic>
                      <wps:wsp>
                        <wps:cNvPr id="1098" name="テキスト ボックス 37"/>
                        <wps:cNvSpPr txBox="1"/>
                        <wps:spPr>
                          <a:xfrm>
                            <a:off x="3177077" y="1519193"/>
                            <a:ext cx="2182495" cy="360680"/>
                          </a:xfrm>
                          <a:prstGeom prst="rect">
                            <a:avLst/>
                          </a:prstGeom>
                          <a:solidFill>
                            <a:schemeClr val="lt1"/>
                          </a:solidFill>
                          <a:ln w="6350">
                            <a:solidFill>
                              <a:prstClr val="black"/>
                            </a:solidFill>
                          </a:ln>
                        </wps:spPr>
                        <wps:txbx>
                          <w:txbxContent>
                            <w:p>
                              <w:pPr>
                                <w:pStyle w:val="0"/>
                                <w:jc w:val="center"/>
                                <w:rPr>
                                  <w:rFonts w:hint="default"/>
                                  <w:sz w:val="20"/>
                                </w:rPr>
                              </w:pPr>
                              <w:r>
                                <w:rPr>
                                  <w:rFonts w:hint="eastAsia"/>
                                  <w:sz w:val="20"/>
                                </w:rPr>
                                <w:t>那覇・南風原町クリーンセンター</w:t>
                              </w:r>
                            </w:p>
                          </w:txbxContent>
                        </wps:txbx>
                        <wps:bodyPr rot="0" vertOverflow="overflow" horzOverflow="overflow" wrap="square" numCol="1" spcCol="0" rtlCol="0" fromWordArt="0" anchor="ctr" anchorCtr="0" forceAA="0" compatLnSpc="1"/>
                      </wps:wsp>
                      <wps:wsp>
                        <wps:cNvPr id="1099" name="テキスト ボックス 41"/>
                        <wps:cNvSpPr txBox="1"/>
                        <wps:spPr>
                          <a:xfrm>
                            <a:off x="972262" y="468060"/>
                            <a:ext cx="1559560" cy="360680"/>
                          </a:xfrm>
                          <a:prstGeom prst="rect">
                            <a:avLst/>
                          </a:prstGeom>
                          <a:solidFill>
                            <a:schemeClr val="lt1"/>
                          </a:solidFill>
                          <a:ln w="6350">
                            <a:solidFill>
                              <a:prstClr val="black"/>
                            </a:solidFill>
                          </a:ln>
                        </wps:spPr>
                        <wps:txbx>
                          <w:txbxContent>
                            <w:p>
                              <w:pPr>
                                <w:pStyle w:val="0"/>
                                <w:jc w:val="center"/>
                                <w:rPr>
                                  <w:rFonts w:hint="default"/>
                                  <w:sz w:val="20"/>
                                </w:rPr>
                              </w:pPr>
                              <w:r>
                                <w:rPr>
                                  <w:rFonts w:hint="eastAsia"/>
                                  <w:sz w:val="20"/>
                                </w:rPr>
                                <w:t>那覇エコアイランド</w:t>
                              </w:r>
                            </w:p>
                          </w:txbxContent>
                        </wps:txbx>
                        <wps:bodyPr rot="0" vertOverflow="overflow" horzOverflow="overflow" wrap="square" numCol="1" spcCol="0" rtlCol="0" fromWordArt="0" anchor="ctr" anchorCtr="0" forceAA="0" compatLnSpc="1"/>
                      </wps:wsp>
                      <wps:wsp>
                        <wps:cNvPr id="1100" name="テキスト ボックス 42"/>
                        <wps:cNvSpPr txBox="1"/>
                        <wps:spPr>
                          <a:xfrm>
                            <a:off x="3749645" y="262961"/>
                            <a:ext cx="1621155" cy="360680"/>
                          </a:xfrm>
                          <a:prstGeom prst="rect">
                            <a:avLst/>
                          </a:prstGeom>
                          <a:solidFill>
                            <a:schemeClr val="lt1"/>
                          </a:solidFill>
                          <a:ln w="6350">
                            <a:solidFill>
                              <a:prstClr val="black"/>
                            </a:solidFill>
                          </a:ln>
                        </wps:spPr>
                        <wps:txbx>
                          <w:txbxContent>
                            <w:p>
                              <w:pPr>
                                <w:pStyle w:val="0"/>
                                <w:jc w:val="center"/>
                                <w:rPr>
                                  <w:rFonts w:hint="default"/>
                                  <w:sz w:val="20"/>
                                </w:rPr>
                              </w:pPr>
                              <w:r>
                                <w:rPr>
                                  <w:rFonts w:hint="eastAsia"/>
                                  <w:sz w:val="20"/>
                                </w:rPr>
                                <w:t>汚泥再生処理センター</w:t>
                              </w:r>
                            </w:p>
                          </w:txbxContent>
                        </wps:txbx>
                        <wps:bodyPr rot="0" vertOverflow="overflow" horzOverflow="overflow" wrap="square" numCol="1" spcCol="0" rtlCol="0" fromWordArt="0" anchor="ctr" anchorCtr="0" forceAA="0" compatLnSpc="1"/>
                      </wps:wsp>
                      <wps:wsp>
                        <wps:cNvPr id="1101" name="直線コネクタ 44"/>
                        <wps:cNvSpPr/>
                        <wps:spPr>
                          <a:xfrm flipH="1">
                            <a:off x="980808" y="220232"/>
                            <a:ext cx="352996" cy="2458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2" name="直線コネクタ 45"/>
                        <wps:cNvSpPr/>
                        <wps:spPr>
                          <a:xfrm flipH="1">
                            <a:off x="3177077" y="1348277"/>
                            <a:ext cx="204335" cy="168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3" name="直線コネクタ 46"/>
                        <wps:cNvSpPr/>
                        <wps:spPr>
                          <a:xfrm flipH="1">
                            <a:off x="5082789" y="621885"/>
                            <a:ext cx="291125" cy="1174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50" style="mso-wrap-distance-right:9pt;mso-wrap-distance-bottom:0pt;margin-top:5.25pt;mso-position-vertical-relative:text;mso-position-horizontal-relative:text;position:absolute;height:245pt;mso-wrap-distance-top:0pt;width:426.35pt;mso-wrap-distance-left:9pt;margin-left:24.7pt;z-index:64;" coordsize="5414645,3111500" coordorigin="0,0" o:spid="_x0000_s1096"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6" style="height:3111500;width:5414645;top:0;left:0;position:absolute;" o:spid="_x0000_s1097" filled="f" stroked="t" strokecolor="#000000 [3213]" o:spt="75" type="#_x0000_t75">
                  <v:fill/>
                  <v:stroke filltype="solid"/>
                  <v:imagedata cropleft="10478f" croptop="10298f" cropright="10594f" cropbottom="9808f" o:title="" r:id="rId11"/>
                  <w10:wrap type="none" anchorx="text" anchory="text"/>
                </v:shape>
                <v:shapetype id="_x0000_t202" coordsize="21600,21600" o:spt="202" path="m,l,21600r21600,l21600,xe">
                  <v:stroke joinstyle="miter"/>
                  <v:path gradientshapeok="t" o:connecttype="rect"/>
                </v:shapetype>
                <v:shape id="テキスト ボックス 37" style="height:360680;width:2182495;top:1519193;left:3177077;v-text-anchor:middle;position:absolute;" o:spid="_x0000_s1098" filled="t" fillcolor="#ffffff [3201]" stroked="t" strokecolor="#000000" strokeweight="0.5pt" o:spt="202" type="#_x0000_t202">
                  <v:fill/>
                  <v:stroke filltype="solid"/>
                  <v:textbox style="layout-flow:horizontal;">
                    <w:txbxContent>
                      <w:p>
                        <w:pPr>
                          <w:pStyle w:val="0"/>
                          <w:jc w:val="center"/>
                          <w:rPr>
                            <w:rFonts w:hint="default"/>
                            <w:sz w:val="20"/>
                          </w:rPr>
                        </w:pPr>
                        <w:r>
                          <w:rPr>
                            <w:rFonts w:hint="eastAsia"/>
                            <w:sz w:val="20"/>
                          </w:rPr>
                          <w:t>那覇・南風原町クリーンセンター</w:t>
                        </w:r>
                      </w:p>
                    </w:txbxContent>
                  </v:textbox>
                  <v:imagedata o:title=""/>
                  <w10:wrap type="none" anchorx="text" anchory="text"/>
                </v:shape>
                <v:shape id="テキスト ボックス 41" style="height:360680;width:1559560;top:468060;left:972262;v-text-anchor:middle;position:absolute;" o:spid="_x0000_s1099" filled="t" fillcolor="#ffffff [3201]" stroked="t" strokecolor="#000000" strokeweight="0.5pt" o:spt="202" type="#_x0000_t202">
                  <v:fill/>
                  <v:stroke filltype="solid"/>
                  <v:textbox style="layout-flow:horizontal;">
                    <w:txbxContent>
                      <w:p>
                        <w:pPr>
                          <w:pStyle w:val="0"/>
                          <w:jc w:val="center"/>
                          <w:rPr>
                            <w:rFonts w:hint="default"/>
                            <w:sz w:val="20"/>
                          </w:rPr>
                        </w:pPr>
                        <w:r>
                          <w:rPr>
                            <w:rFonts w:hint="eastAsia"/>
                            <w:sz w:val="20"/>
                          </w:rPr>
                          <w:t>那覇エコアイランド</w:t>
                        </w:r>
                      </w:p>
                    </w:txbxContent>
                  </v:textbox>
                  <v:imagedata o:title=""/>
                  <w10:wrap type="none" anchorx="text" anchory="text"/>
                </v:shape>
                <v:shape id="テキスト ボックス 42" style="height:360680;width:1621155;top:262961;left:3749645;v-text-anchor:middle;position:absolute;" o:spid="_x0000_s1100" filled="t" fillcolor="#ffffff [3201]" stroked="t" strokecolor="#000000" strokeweight="0.5pt" o:spt="202" type="#_x0000_t202">
                  <v:fill/>
                  <v:stroke filltype="solid"/>
                  <v:textbox style="layout-flow:horizontal;">
                    <w:txbxContent>
                      <w:p>
                        <w:pPr>
                          <w:pStyle w:val="0"/>
                          <w:jc w:val="center"/>
                          <w:rPr>
                            <w:rFonts w:hint="default"/>
                            <w:sz w:val="20"/>
                          </w:rPr>
                        </w:pPr>
                        <w:r>
                          <w:rPr>
                            <w:rFonts w:hint="eastAsia"/>
                            <w:sz w:val="20"/>
                          </w:rPr>
                          <w:t>汚泥再生処理センター</w:t>
                        </w:r>
                      </w:p>
                    </w:txbxContent>
                  </v:textbox>
                  <v:imagedata o:title=""/>
                  <w10:wrap type="none" anchorx="text" anchory="text"/>
                </v:shape>
                <v:line id="直線コネクタ 44" style="height:245889;width:352996;flip:x;top:220232;left:980808;position:absolute;" o:spid="_x0000_s1101" filled="f" stroked="t" strokecolor="#000000 [3213]" strokeweight="0.5pt" o:spt="20" from="980808,220232" to="1333804,466121">
                  <v:fill/>
                  <v:stroke linestyle="single" miterlimit="8" endcap="flat" dashstyle="solid" filltype="solid"/>
                  <v:textbox style="layout-flow:horizontal;"/>
                  <v:imagedata o:title=""/>
                  <w10:wrap type="none" anchorx="text" anchory="text"/>
                </v:line>
                <v:line id="直線コネクタ 45" style="height:168825;width:204335;flip:x;top:1348277;left:3177077;position:absolute;" o:spid="_x0000_s1102" filled="f" stroked="t" strokecolor="#000000 [3213]" strokeweight="0.5pt" o:spt="20" from="3177077,1348277" to="3381412,1517102">
                  <v:fill/>
                  <v:stroke linestyle="single" miterlimit="8" endcap="flat" dashstyle="solid" filltype="solid"/>
                  <v:textbox style="layout-flow:horizontal;"/>
                  <v:imagedata o:title=""/>
                  <w10:wrap type="none" anchorx="text" anchory="text"/>
                </v:line>
                <v:line id="直線コネクタ 46" style="height:117493;width:291125;flip:x;top:621885;left:5082789;position:absolute;" o:spid="_x0000_s1103" filled="f" stroked="t" strokecolor="#000000 [3213]" strokeweight="0.5pt" o:spt="20" from="5082789,621885" to="5373914,739378">
                  <v:fill/>
                  <v:stroke linestyle="single" miterlimit="8" endcap="flat" dashstyle="solid" filltype="solid"/>
                  <v:textbox style="layout-flow:horizontal;"/>
                  <v:imagedata o:title=""/>
                  <w10:wrap type="none" anchorx="text" anchory="text"/>
                </v:line>
                <w10:wrap type="none" anchorx="text" anchory="text"/>
              </v:group>
            </w:pict>
          </mc:Fallback>
        </mc:AlternateContent>
      </w:r>
    </w:p>
    <w:p>
      <w:pPr>
        <w:pStyle w:val="0"/>
        <w:ind w:firstLine="2640" w:firstLineChars="1200"/>
        <w:rPr>
          <w:rFonts w:hint="default"/>
        </w:rPr>
      </w:pPr>
    </w:p>
    <w:p>
      <w:pPr>
        <w:pStyle w:val="0"/>
        <w:ind w:firstLine="2640" w:firstLineChars="1200"/>
        <w:rPr>
          <w:rFonts w:hint="default"/>
        </w:rPr>
      </w:pPr>
    </w:p>
    <w:p>
      <w:pPr>
        <w:pStyle w:val="0"/>
        <w:ind w:firstLine="2640" w:firstLineChars="1200"/>
        <w:rPr>
          <w:rFonts w:hint="default"/>
        </w:rPr>
      </w:pPr>
    </w:p>
    <w:p>
      <w:pPr>
        <w:pStyle w:val="0"/>
        <w:ind w:firstLine="2640" w:firstLineChars="1200"/>
        <w:rPr>
          <w:rFonts w:hint="default"/>
        </w:rPr>
      </w:pPr>
    </w:p>
    <w:p>
      <w:pPr>
        <w:pStyle w:val="0"/>
        <w:ind w:firstLine="2640" w:firstLineChars="1200"/>
        <w:rPr>
          <w:rFonts w:hint="default"/>
        </w:rPr>
      </w:pPr>
    </w:p>
    <w:p>
      <w:pPr>
        <w:pStyle w:val="0"/>
        <w:ind w:firstLine="2640" w:firstLineChars="1200"/>
        <w:rPr>
          <w:rFonts w:hint="default"/>
        </w:rPr>
      </w:pPr>
    </w:p>
    <w:p>
      <w:pPr>
        <w:pStyle w:val="0"/>
        <w:ind w:firstLine="2640" w:firstLineChars="1200"/>
        <w:rPr>
          <w:rFonts w:hint="default"/>
        </w:rPr>
      </w:pPr>
    </w:p>
    <w:p>
      <w:pPr>
        <w:pStyle w:val="0"/>
        <w:ind w:firstLine="2640" w:firstLineChars="1200"/>
        <w:rPr>
          <w:rFonts w:hint="default"/>
        </w:rPr>
      </w:pPr>
    </w:p>
    <w:p>
      <w:pPr>
        <w:pStyle w:val="0"/>
        <w:ind w:firstLine="2640" w:firstLineChars="1200"/>
        <w:rPr>
          <w:rFonts w:hint="default"/>
        </w:rPr>
      </w:pPr>
    </w:p>
    <w:p>
      <w:pPr>
        <w:pStyle w:val="0"/>
        <w:ind w:firstLine="2640" w:firstLineChars="1200"/>
        <w:rPr>
          <w:rFonts w:hint="default"/>
        </w:rPr>
      </w:pPr>
    </w:p>
    <w:p>
      <w:pPr>
        <w:pStyle w:val="0"/>
        <w:ind w:firstLine="2640" w:firstLineChars="1200"/>
        <w:rPr>
          <w:rFonts w:hint="default"/>
        </w:rPr>
      </w:pPr>
    </w:p>
    <w:p>
      <w:pPr>
        <w:pStyle w:val="0"/>
        <w:ind w:firstLine="2640" w:firstLineChars="1200"/>
        <w:rPr>
          <w:rFonts w:hint="default"/>
        </w:rPr>
      </w:pPr>
    </w:p>
    <w:p>
      <w:pPr>
        <w:pStyle w:val="0"/>
        <w:ind w:firstLine="2640" w:firstLineChars="1200"/>
        <w:rPr>
          <w:rFonts w:hint="default"/>
        </w:rPr>
      </w:pPr>
    </w:p>
    <w:p>
      <w:pPr>
        <w:pStyle w:val="0"/>
        <w:ind w:firstLine="2640" w:firstLineChars="1200"/>
        <w:rPr>
          <w:rFonts w:hint="default"/>
        </w:rPr>
      </w:pPr>
    </w:p>
    <w:p>
      <w:pPr>
        <w:pStyle w:val="0"/>
        <w:ind w:firstLine="2640" w:firstLineChars="1200"/>
        <w:rPr>
          <w:rFonts w:hint="default"/>
        </w:rPr>
      </w:pPr>
    </w:p>
    <w:p>
      <w:pPr>
        <w:pStyle w:val="0"/>
        <w:ind w:firstLine="2640" w:firstLineChars="1200"/>
        <w:rPr>
          <w:rFonts w:hint="default"/>
        </w:rPr>
      </w:pPr>
    </w:p>
    <w:p>
      <w:pPr>
        <w:pStyle w:val="0"/>
        <w:ind w:firstLine="2640" w:firstLineChars="1200"/>
        <w:rPr>
          <w:rFonts w:hint="default"/>
        </w:rPr>
      </w:pPr>
    </w:p>
    <w:p>
      <w:pPr>
        <w:pStyle w:val="0"/>
        <w:ind w:firstLine="2640" w:firstLineChars="1200"/>
        <w:rPr>
          <w:rFonts w:hint="default"/>
        </w:rPr>
      </w:pPr>
      <w:r>
        <w:rPr>
          <w:rFonts w:hint="eastAsia"/>
        </w:rPr>
        <w:t>図６　一般廃棄物処理施設の位置図</w:t>
      </w:r>
    </w:p>
    <w:p>
      <w:pPr>
        <w:pStyle w:val="0"/>
        <w:ind w:firstLine="360" w:firstLineChars="200"/>
        <w:rPr>
          <w:rFonts w:hint="default"/>
        </w:rPr>
      </w:pPr>
      <w:r>
        <w:rPr>
          <w:rFonts w:hint="eastAsia" w:ascii="ＭＳ 明朝" w:hAnsi="ＭＳ 明朝" w:eastAsia="ＭＳ 明朝"/>
          <w:sz w:val="18"/>
        </w:rPr>
        <w:t>出典：国土地理院地図を基に作成</w:t>
      </w:r>
    </w:p>
    <w:p>
      <w:pPr>
        <w:pStyle w:val="0"/>
        <w:rPr>
          <w:rFonts w:hint="default"/>
        </w:rPr>
      </w:pPr>
    </w:p>
    <w:p>
      <w:pPr>
        <w:pStyle w:val="0"/>
        <w:rPr>
          <w:rFonts w:hint="default"/>
        </w:rPr>
      </w:pPr>
    </w:p>
    <w:p>
      <w:pPr>
        <w:pStyle w:val="0"/>
        <w:widowControl w:val="1"/>
        <w:autoSpaceDE w:val="1"/>
        <w:autoSpaceDN w:val="1"/>
        <w:rPr>
          <w:rFonts w:hint="default"/>
          <w:sz w:val="24"/>
        </w:rPr>
      </w:pPr>
      <w:bookmarkStart w:id="33" w:name="_Toc27146511"/>
      <w:bookmarkStart w:id="34" w:name="_Toc60838757"/>
      <w:r>
        <w:rPr>
          <w:rFonts w:hint="default"/>
          <w:sz w:val="24"/>
        </w:rPr>
        <w:br w:type="page"/>
      </w:r>
    </w:p>
    <w:p>
      <w:pPr>
        <w:pStyle w:val="0"/>
        <w:keepNext w:val="1"/>
        <w:outlineLvl w:val="1"/>
        <w:rPr>
          <w:rFonts w:hint="default"/>
          <w:sz w:val="24"/>
        </w:rPr>
      </w:pPr>
      <w:r>
        <w:rPr>
          <w:rFonts w:hint="default"/>
          <w:sz w:val="24"/>
        </w:rPr>
        <w:t>6</w:t>
      </w:r>
      <w:r>
        <w:rPr>
          <w:rFonts w:hint="eastAsia"/>
          <w:sz w:val="24"/>
        </w:rPr>
        <w:t>章　災害廃棄物処理対策</w:t>
      </w:r>
      <w:bookmarkEnd w:id="33"/>
      <w:bookmarkEnd w:id="34"/>
    </w:p>
    <w:p>
      <w:pPr>
        <w:pStyle w:val="0"/>
        <w:keepNext w:val="1"/>
        <w:outlineLvl w:val="2"/>
        <w:rPr>
          <w:rFonts w:hint="default"/>
        </w:rPr>
      </w:pPr>
      <w:bookmarkStart w:id="35" w:name="_Toc27146512"/>
      <w:bookmarkStart w:id="36" w:name="_Toc60838758"/>
      <w:r>
        <w:rPr>
          <w:rFonts w:hint="eastAsia"/>
        </w:rPr>
        <w:t>（１）災害廃棄物発生量</w:t>
      </w:r>
      <w:bookmarkEnd w:id="35"/>
      <w:bookmarkEnd w:id="36"/>
    </w:p>
    <w:p>
      <w:pPr>
        <w:pStyle w:val="0"/>
        <w:spacing w:line="276" w:lineRule="auto"/>
        <w:ind w:firstLine="220" w:firstLineChars="100"/>
        <w:rPr>
          <w:rFonts w:hint="default" w:ascii="ＭＳ 明朝" w:hAnsi="ＭＳ 明朝" w:eastAsia="ＭＳ 明朝"/>
        </w:rPr>
      </w:pPr>
      <w:r>
        <w:rPr>
          <w:rFonts w:hint="eastAsia" w:ascii="ＭＳ 明朝" w:hAnsi="ＭＳ 明朝" w:eastAsia="ＭＳ 明朝"/>
        </w:rPr>
        <w:t>災害廃棄物処理計画を策定するための災害廃棄物発生量の算定を行った。地震災害については、</w:t>
      </w:r>
      <w:bookmarkStart w:id="37" w:name="_Hlk61344032"/>
      <w:r>
        <w:rPr>
          <w:rFonts w:hint="eastAsia" w:ascii="ＭＳ 明朝" w:hAnsi="ＭＳ 明朝" w:eastAsia="ＭＳ 明朝"/>
        </w:rPr>
        <w:t>平成</w:t>
      </w:r>
      <w:r>
        <w:rPr>
          <w:rFonts w:hint="eastAsia" w:ascii="ＭＳ 明朝" w:hAnsi="ＭＳ 明朝" w:eastAsia="ＭＳ 明朝"/>
        </w:rPr>
        <w:t>25</w:t>
      </w:r>
      <w:r>
        <w:rPr>
          <w:rFonts w:hint="eastAsia" w:ascii="ＭＳ 明朝" w:hAnsi="ＭＳ 明朝" w:eastAsia="ＭＳ 明朝"/>
        </w:rPr>
        <w:t>年度沖縄県地震被害想定調査</w:t>
      </w:r>
      <w:bookmarkEnd w:id="37"/>
      <w:r>
        <w:rPr>
          <w:rFonts w:hint="eastAsia" w:ascii="ＭＳ 明朝" w:hAnsi="ＭＳ 明朝" w:eastAsia="ＭＳ 明朝"/>
        </w:rPr>
        <w:t>に基づき、建物被害棟数から災害廃棄物発生量を算出した。風水害については、平成</w:t>
      </w:r>
      <w:r>
        <w:rPr>
          <w:rFonts w:hint="eastAsia" w:ascii="ＭＳ 明朝" w:hAnsi="ＭＳ 明朝" w:eastAsia="ＭＳ 明朝"/>
        </w:rPr>
        <w:t>25</w:t>
      </w:r>
      <w:r>
        <w:rPr>
          <w:rFonts w:hint="eastAsia" w:ascii="ＭＳ 明朝" w:hAnsi="ＭＳ 明朝" w:eastAsia="ＭＳ 明朝"/>
        </w:rPr>
        <w:t>年度沖縄県水防計画から、国場川水系国場川、国場川水系宮平川の溢水を想定し、予想される建物被害棟数から災害廃棄物発生量を算出した。また、これらのデータをもとに組成別の災害廃棄物量を算定した。</w:t>
      </w:r>
    </w:p>
    <w:p>
      <w:pPr>
        <w:pStyle w:val="0"/>
        <w:spacing w:line="276" w:lineRule="auto"/>
        <w:ind w:firstLine="220" w:firstLineChars="100"/>
        <w:rPr>
          <w:rFonts w:hint="default" w:ascii="ＭＳ 明朝" w:hAnsi="ＭＳ 明朝" w:eastAsia="ＭＳ 明朝"/>
        </w:rPr>
      </w:pPr>
      <w:r>
        <w:rPr>
          <w:rFonts w:hint="eastAsia" w:ascii="ＭＳ 明朝" w:hAnsi="ＭＳ 明朝" w:eastAsia="ＭＳ 明朝"/>
        </w:rPr>
        <w:t>発災後は災害廃棄物処理実行計画策定時に災害廃棄物の発生量を推計することとなる。処理の進捗に合わせ、実際に搬入される廃棄物の量や、被害状況の調査結果に基づき、発生量推計の見直しを行う。</w:t>
      </w:r>
    </w:p>
    <w:p>
      <w:pPr>
        <w:pStyle w:val="0"/>
        <w:spacing w:before="10" w:beforeLines="0" w:beforeAutospacing="0" w:line="276" w:lineRule="auto"/>
        <w:ind w:left="210" w:hanging="210" w:hangingChars="100"/>
        <w:rPr>
          <w:rFonts w:hint="default" w:ascii="ＭＳ 明朝" w:hAnsi="ＭＳ 明朝" w:eastAsia="ＭＳ 明朝"/>
          <w:sz w:val="21"/>
        </w:rPr>
      </w:pPr>
    </w:p>
    <w:p>
      <w:pPr>
        <w:pStyle w:val="0"/>
        <w:spacing w:before="10" w:beforeLines="0" w:beforeAutospacing="0" w:line="276" w:lineRule="auto"/>
        <w:ind w:left="210" w:hanging="210" w:hangingChars="100"/>
        <w:rPr>
          <w:rFonts w:hint="default" w:ascii="ＭＳ 明朝" w:hAnsi="ＭＳ 明朝" w:eastAsia="ＭＳ 明朝"/>
          <w:sz w:val="21"/>
        </w:rPr>
      </w:pPr>
      <w:r>
        <w:rPr>
          <w:rFonts w:hint="default"/>
          <w:spacing w:val="-49"/>
          <w:sz w:val="21"/>
        </w:rPr>
        <mc:AlternateContent>
          <mc:Choice Requires="wps">
            <w:drawing>
              <wp:inline distT="0" distB="0" distL="0" distR="0">
                <wp:extent cx="5702300" cy="4253865"/>
                <wp:effectExtent l="635" t="635" r="29845" b="10795"/>
                <wp:docPr id="1104" name="テキスト ボックス 3156"/>
                <a:graphic xmlns:a="http://schemas.openxmlformats.org/drawingml/2006/main">
                  <a:graphicData uri="http://schemas.microsoft.com/office/word/2010/wordprocessingShape">
                    <wps:wsp>
                      <wps:cNvPr id="1104" name="テキスト ボックス 3156"/>
                      <wps:cNvSpPr txBox="1">
                        <a:spLocks noChangeArrowheads="1"/>
                      </wps:cNvSpPr>
                      <wps:spPr>
                        <a:xfrm>
                          <a:off x="0" y="0"/>
                          <a:ext cx="5702300" cy="4253865"/>
                        </a:xfrm>
                        <a:prstGeom prst="rect">
                          <a:avLst/>
                        </a:prstGeom>
                        <a:noFill/>
                        <a:ln w="6096">
                          <a:solidFill>
                            <a:schemeClr val="tx1"/>
                          </a:solidFill>
                          <a:miter lim="800000"/>
                          <a:headEnd/>
                          <a:tailEnd/>
                        </a:ln>
                      </wps:spPr>
                      <wps:txbx>
                        <w:txbxContent>
                          <w:p>
                            <w:pPr>
                              <w:pStyle w:val="15"/>
                              <w:spacing w:line="301" w:lineRule="exact"/>
                              <w:ind w:left="103"/>
                              <w:rPr>
                                <w:rFonts w:hint="default"/>
                                <w:sz w:val="21"/>
                              </w:rPr>
                            </w:pPr>
                            <w:r>
                              <w:rPr>
                                <w:rFonts w:hint="eastAsia"/>
                                <w:sz w:val="21"/>
                              </w:rPr>
                              <w:t>◆災害廃棄物発生量の推計方法の例</w:t>
                            </w:r>
                          </w:p>
                          <w:p>
                            <w:pPr>
                              <w:pStyle w:val="15"/>
                              <w:ind w:left="479"/>
                              <w:rPr>
                                <w:rFonts w:hint="default"/>
                                <w:b w:val="1"/>
                                <w:sz w:val="14"/>
                              </w:rPr>
                            </w:pPr>
                          </w:p>
                          <w:p>
                            <w:pPr>
                              <w:pStyle w:val="15"/>
                              <w:spacing w:before="10" w:beforeLines="0" w:beforeAutospacing="0"/>
                              <w:ind w:firstLine="284" w:firstLineChars="157"/>
                              <w:rPr>
                                <w:rFonts w:hint="default" w:ascii="ＭＳ 明朝" w:hAnsi="ＭＳ 明朝" w:eastAsia="ＭＳ 明朝"/>
                                <w:spacing w:val="-10"/>
                                <w:sz w:val="20"/>
                              </w:rPr>
                            </w:pPr>
                            <w:r>
                              <w:rPr>
                                <w:rFonts w:hint="eastAsia" w:ascii="ＭＳ 明朝" w:hAnsi="ＭＳ 明朝" w:eastAsia="ＭＳ 明朝"/>
                                <w:b w:val="1"/>
                                <w:spacing w:val="-10"/>
                                <w:sz w:val="20"/>
                              </w:rPr>
                              <w:t>・災害廃棄物発生量〔</w:t>
                            </w:r>
                            <w:r>
                              <w:rPr>
                                <w:rFonts w:hint="eastAsia" w:ascii="ＭＳ 明朝" w:hAnsi="ＭＳ 明朝" w:eastAsia="ＭＳ 明朝"/>
                                <w:b w:val="1"/>
                                <w:spacing w:val="-10"/>
                                <w:sz w:val="20"/>
                              </w:rPr>
                              <w:t>t</w:t>
                            </w:r>
                            <w:r>
                              <w:rPr>
                                <w:rFonts w:hint="eastAsia" w:ascii="ＭＳ 明朝" w:hAnsi="ＭＳ 明朝" w:eastAsia="ＭＳ 明朝"/>
                                <w:b w:val="1"/>
                                <w:spacing w:val="-10"/>
                                <w:sz w:val="20"/>
                              </w:rPr>
                              <w:t>〕</w:t>
                            </w:r>
                            <w:r>
                              <w:rPr>
                                <w:rFonts w:hint="eastAsia" w:ascii="ＭＳ 明朝" w:hAnsi="ＭＳ 明朝" w:eastAsia="ＭＳ 明朝"/>
                                <w:spacing w:val="-10"/>
                                <w:sz w:val="20"/>
                              </w:rPr>
                              <w:t>＝全壊による災害廃棄物発生量〔</w:t>
                            </w:r>
                            <w:r>
                              <w:rPr>
                                <w:rFonts w:hint="eastAsia" w:ascii="ＭＳ 明朝" w:hAnsi="ＭＳ 明朝" w:eastAsia="ＭＳ 明朝"/>
                                <w:spacing w:val="-10"/>
                                <w:sz w:val="20"/>
                              </w:rPr>
                              <w:t>t</w:t>
                            </w:r>
                            <w:r>
                              <w:rPr>
                                <w:rFonts w:hint="eastAsia" w:ascii="ＭＳ 明朝" w:hAnsi="ＭＳ 明朝" w:eastAsia="ＭＳ 明朝"/>
                                <w:spacing w:val="-10"/>
                                <w:sz w:val="20"/>
                              </w:rPr>
                              <w:t>〕＋半壊による災害廃棄物発生量〔</w:t>
                            </w:r>
                            <w:r>
                              <w:rPr>
                                <w:rFonts w:hint="eastAsia" w:ascii="ＭＳ 明朝" w:hAnsi="ＭＳ 明朝" w:eastAsia="ＭＳ 明朝"/>
                                <w:spacing w:val="-10"/>
                                <w:sz w:val="20"/>
                              </w:rPr>
                              <w:t>t</w:t>
                            </w:r>
                            <w:r>
                              <w:rPr>
                                <w:rFonts w:hint="eastAsia" w:ascii="ＭＳ 明朝" w:hAnsi="ＭＳ 明朝" w:eastAsia="ＭＳ 明朝"/>
                                <w:spacing w:val="-10"/>
                                <w:sz w:val="20"/>
                              </w:rPr>
                              <w:t>〕</w:t>
                            </w:r>
                          </w:p>
                          <w:p>
                            <w:pPr>
                              <w:pStyle w:val="15"/>
                              <w:spacing w:before="10" w:beforeLines="0" w:beforeAutospacing="0"/>
                              <w:ind w:firstLine="2520" w:firstLineChars="1400"/>
                              <w:rPr>
                                <w:rFonts w:hint="default" w:ascii="ＭＳ 明朝" w:hAnsi="ＭＳ 明朝" w:eastAsia="ＭＳ 明朝"/>
                                <w:spacing w:val="-10"/>
                                <w:sz w:val="20"/>
                              </w:rPr>
                            </w:pPr>
                            <w:r>
                              <w:rPr>
                                <w:rFonts w:hint="eastAsia" w:ascii="ＭＳ 明朝" w:hAnsi="ＭＳ 明朝" w:eastAsia="ＭＳ 明朝"/>
                                <w:spacing w:val="-10"/>
                                <w:sz w:val="20"/>
                              </w:rPr>
                              <w:t>＋焼失</w:t>
                            </w:r>
                            <w:r>
                              <w:rPr>
                                <w:rFonts w:hint="eastAsia" w:ascii="ＭＳ 明朝" w:hAnsi="ＭＳ 明朝" w:eastAsia="ＭＳ 明朝"/>
                                <w:spacing w:val="-10"/>
                                <w:sz w:val="20"/>
                              </w:rPr>
                              <w:t>(</w:t>
                            </w:r>
                            <w:r>
                              <w:rPr>
                                <w:rFonts w:hint="eastAsia" w:ascii="ＭＳ 明朝" w:hAnsi="ＭＳ 明朝" w:eastAsia="ＭＳ 明朝"/>
                                <w:spacing w:val="-10"/>
                                <w:sz w:val="20"/>
                              </w:rPr>
                              <w:t>木造</w:t>
                            </w:r>
                            <w:r>
                              <w:rPr>
                                <w:rFonts w:hint="default" w:ascii="ＭＳ 明朝" w:hAnsi="ＭＳ 明朝" w:eastAsia="ＭＳ 明朝"/>
                                <w:spacing w:val="-10"/>
                                <w:sz w:val="20"/>
                              </w:rPr>
                              <w:t>)</w:t>
                            </w:r>
                            <w:r>
                              <w:rPr>
                                <w:rFonts w:hint="eastAsia" w:ascii="ＭＳ 明朝" w:hAnsi="ＭＳ 明朝" w:eastAsia="ＭＳ 明朝"/>
                                <w:spacing w:val="-10"/>
                                <w:sz w:val="20"/>
                              </w:rPr>
                              <w:t>による災害廃棄物発生量〔</w:t>
                            </w:r>
                            <w:r>
                              <w:rPr>
                                <w:rFonts w:hint="eastAsia" w:ascii="ＭＳ 明朝" w:hAnsi="ＭＳ 明朝" w:eastAsia="ＭＳ 明朝"/>
                                <w:spacing w:val="-10"/>
                                <w:sz w:val="20"/>
                              </w:rPr>
                              <w:t>t</w:t>
                            </w:r>
                            <w:r>
                              <w:rPr>
                                <w:rFonts w:hint="eastAsia" w:ascii="ＭＳ 明朝" w:hAnsi="ＭＳ 明朝" w:eastAsia="ＭＳ 明朝"/>
                                <w:spacing w:val="-10"/>
                                <w:sz w:val="20"/>
                              </w:rPr>
                              <w:t>〕</w:t>
                            </w:r>
                          </w:p>
                          <w:p>
                            <w:pPr>
                              <w:pStyle w:val="15"/>
                              <w:spacing w:before="10" w:beforeLines="0" w:beforeAutospacing="0"/>
                              <w:ind w:firstLine="283" w:firstLineChars="157"/>
                              <w:rPr>
                                <w:rFonts w:hint="default" w:ascii="ＭＳ 明朝" w:hAnsi="ＭＳ 明朝" w:eastAsia="ＭＳ 明朝"/>
                                <w:spacing w:val="-10"/>
                                <w:sz w:val="20"/>
                              </w:rPr>
                            </w:pPr>
                          </w:p>
                          <w:p>
                            <w:pPr>
                              <w:pStyle w:val="15"/>
                              <w:spacing w:before="10" w:beforeLines="0" w:beforeAutospacing="0"/>
                              <w:ind w:firstLine="284" w:firstLineChars="157"/>
                              <w:rPr>
                                <w:rFonts w:hint="default" w:ascii="ＭＳ 明朝" w:hAnsi="ＭＳ 明朝" w:eastAsia="ＭＳ 明朝"/>
                                <w:spacing w:val="-10"/>
                                <w:sz w:val="20"/>
                              </w:rPr>
                            </w:pPr>
                            <w:r>
                              <w:rPr>
                                <w:rFonts w:hint="eastAsia" w:ascii="ＭＳ 明朝" w:hAnsi="ＭＳ 明朝" w:eastAsia="ＭＳ 明朝"/>
                                <w:b w:val="1"/>
                                <w:spacing w:val="-10"/>
                                <w:sz w:val="20"/>
                              </w:rPr>
                              <w:t>・全壊による災害廃棄物発生量〔</w:t>
                            </w:r>
                            <w:r>
                              <w:rPr>
                                <w:rFonts w:hint="eastAsia" w:ascii="ＭＳ 明朝" w:hAnsi="ＭＳ 明朝" w:eastAsia="ＭＳ 明朝"/>
                                <w:b w:val="1"/>
                                <w:spacing w:val="-10"/>
                                <w:sz w:val="20"/>
                              </w:rPr>
                              <w:t>t</w:t>
                            </w:r>
                            <w:r>
                              <w:rPr>
                                <w:rFonts w:hint="eastAsia" w:ascii="ＭＳ 明朝" w:hAnsi="ＭＳ 明朝" w:eastAsia="ＭＳ 明朝"/>
                                <w:b w:val="1"/>
                                <w:spacing w:val="-10"/>
                                <w:sz w:val="20"/>
                              </w:rPr>
                              <w:t>〕</w:t>
                            </w:r>
                            <w:r>
                              <w:rPr>
                                <w:rFonts w:hint="eastAsia" w:ascii="ＭＳ 明朝" w:hAnsi="ＭＳ 明朝" w:eastAsia="ＭＳ 明朝"/>
                                <w:spacing w:val="-10"/>
                                <w:sz w:val="20"/>
                              </w:rPr>
                              <w:t>＝全壊棟数〔棟〕×</w:t>
                            </w:r>
                            <w:r>
                              <w:rPr>
                                <w:rFonts w:hint="eastAsia" w:ascii="ＭＳ 明朝" w:hAnsi="ＭＳ 明朝" w:eastAsia="ＭＳ 明朝"/>
                                <w:spacing w:val="-10"/>
                                <w:sz w:val="20"/>
                              </w:rPr>
                              <w:t xml:space="preserve"> 1</w:t>
                            </w:r>
                            <w:r>
                              <w:rPr>
                                <w:rFonts w:hint="default" w:ascii="ＭＳ 明朝" w:hAnsi="ＭＳ 明朝" w:eastAsia="ＭＳ 明朝"/>
                                <w:spacing w:val="-10"/>
                                <w:sz w:val="20"/>
                              </w:rPr>
                              <w:t>17</w:t>
                            </w:r>
                            <w:r>
                              <w:rPr>
                                <w:rFonts w:hint="eastAsia" w:ascii="ＭＳ 明朝" w:hAnsi="ＭＳ 明朝" w:eastAsia="ＭＳ 明朝"/>
                                <w:spacing w:val="-10"/>
                                <w:sz w:val="20"/>
                              </w:rPr>
                              <w:t>〔</w:t>
                            </w:r>
                            <w:r>
                              <w:rPr>
                                <w:rFonts w:hint="eastAsia" w:ascii="ＭＳ 明朝" w:hAnsi="ＭＳ 明朝" w:eastAsia="ＭＳ 明朝"/>
                                <w:spacing w:val="-10"/>
                                <w:sz w:val="20"/>
                              </w:rPr>
                              <w:t>t</w:t>
                            </w:r>
                            <w:r>
                              <w:rPr>
                                <w:rFonts w:hint="default" w:ascii="ＭＳ 明朝" w:hAnsi="ＭＳ 明朝" w:eastAsia="ＭＳ 明朝"/>
                                <w:spacing w:val="-10"/>
                                <w:sz w:val="20"/>
                              </w:rPr>
                              <w:t>/</w:t>
                            </w:r>
                            <w:r>
                              <w:rPr>
                                <w:rFonts w:hint="eastAsia" w:ascii="ＭＳ 明朝" w:hAnsi="ＭＳ 明朝" w:eastAsia="ＭＳ 明朝"/>
                                <w:spacing w:val="-10"/>
                                <w:sz w:val="20"/>
                              </w:rPr>
                              <w:t>棟〕</w:t>
                            </w:r>
                          </w:p>
                          <w:p>
                            <w:pPr>
                              <w:pStyle w:val="15"/>
                              <w:spacing w:before="10" w:beforeLines="0" w:beforeAutospacing="0"/>
                              <w:ind w:left="2520" w:firstLine="839" w:firstLineChars="466"/>
                              <w:rPr>
                                <w:rFonts w:hint="default" w:ascii="ＭＳ 明朝" w:hAnsi="ＭＳ 明朝" w:eastAsia="ＭＳ 明朝"/>
                                <w:spacing w:val="-10"/>
                                <w:sz w:val="20"/>
                              </w:rPr>
                            </w:pPr>
                          </w:p>
                          <w:p>
                            <w:pPr>
                              <w:pStyle w:val="15"/>
                              <w:spacing w:before="10" w:beforeLines="0" w:beforeAutospacing="0"/>
                              <w:ind w:firstLine="284" w:firstLineChars="157"/>
                              <w:rPr>
                                <w:rFonts w:hint="default" w:ascii="ＭＳ 明朝" w:hAnsi="ＭＳ 明朝" w:eastAsia="ＭＳ 明朝"/>
                                <w:spacing w:val="-10"/>
                                <w:sz w:val="20"/>
                              </w:rPr>
                            </w:pPr>
                            <w:r>
                              <w:rPr>
                                <w:rFonts w:hint="eastAsia" w:ascii="ＭＳ 明朝" w:hAnsi="ＭＳ 明朝" w:eastAsia="ＭＳ 明朝"/>
                                <w:b w:val="1"/>
                                <w:spacing w:val="-10"/>
                                <w:sz w:val="20"/>
                              </w:rPr>
                              <w:t>・半壊による災害廃棄物発生量〔</w:t>
                            </w:r>
                            <w:r>
                              <w:rPr>
                                <w:rFonts w:hint="eastAsia" w:ascii="ＭＳ 明朝" w:hAnsi="ＭＳ 明朝" w:eastAsia="ＭＳ 明朝"/>
                                <w:b w:val="1"/>
                                <w:spacing w:val="-10"/>
                                <w:sz w:val="20"/>
                              </w:rPr>
                              <w:t>t</w:t>
                            </w:r>
                            <w:r>
                              <w:rPr>
                                <w:rFonts w:hint="eastAsia" w:ascii="ＭＳ 明朝" w:hAnsi="ＭＳ 明朝" w:eastAsia="ＭＳ 明朝"/>
                                <w:b w:val="1"/>
                                <w:spacing w:val="-10"/>
                                <w:sz w:val="20"/>
                              </w:rPr>
                              <w:t>〕</w:t>
                            </w:r>
                            <w:r>
                              <w:rPr>
                                <w:rFonts w:hint="eastAsia" w:ascii="ＭＳ 明朝" w:hAnsi="ＭＳ 明朝" w:eastAsia="ＭＳ 明朝"/>
                                <w:spacing w:val="-10"/>
                                <w:sz w:val="20"/>
                              </w:rPr>
                              <w:t>＝半壊棟数〔棟〕×</w:t>
                            </w:r>
                            <w:r>
                              <w:rPr>
                                <w:rFonts w:hint="eastAsia" w:ascii="ＭＳ 明朝" w:hAnsi="ＭＳ 明朝" w:eastAsia="ＭＳ 明朝"/>
                                <w:spacing w:val="-10"/>
                                <w:sz w:val="20"/>
                              </w:rPr>
                              <w:t xml:space="preserve"> 2</w:t>
                            </w:r>
                            <w:r>
                              <w:rPr>
                                <w:rFonts w:hint="default" w:ascii="ＭＳ 明朝" w:hAnsi="ＭＳ 明朝" w:eastAsia="ＭＳ 明朝"/>
                                <w:spacing w:val="-10"/>
                                <w:sz w:val="20"/>
                              </w:rPr>
                              <w:t>3</w:t>
                            </w:r>
                            <w:r>
                              <w:rPr>
                                <w:rFonts w:hint="eastAsia" w:ascii="ＭＳ 明朝" w:hAnsi="ＭＳ 明朝" w:eastAsia="ＭＳ 明朝"/>
                                <w:spacing w:val="-10"/>
                                <w:sz w:val="20"/>
                              </w:rPr>
                              <w:t>〔</w:t>
                            </w:r>
                            <w:r>
                              <w:rPr>
                                <w:rFonts w:hint="eastAsia" w:ascii="ＭＳ 明朝" w:hAnsi="ＭＳ 明朝" w:eastAsia="ＭＳ 明朝"/>
                                <w:spacing w:val="-10"/>
                                <w:sz w:val="20"/>
                              </w:rPr>
                              <w:t>t</w:t>
                            </w:r>
                            <w:r>
                              <w:rPr>
                                <w:rFonts w:hint="default" w:ascii="ＭＳ 明朝" w:hAnsi="ＭＳ 明朝" w:eastAsia="ＭＳ 明朝"/>
                                <w:spacing w:val="-10"/>
                                <w:sz w:val="20"/>
                              </w:rPr>
                              <w:t>/</w:t>
                            </w:r>
                            <w:r>
                              <w:rPr>
                                <w:rFonts w:hint="eastAsia" w:ascii="ＭＳ 明朝" w:hAnsi="ＭＳ 明朝" w:eastAsia="ＭＳ 明朝"/>
                                <w:spacing w:val="-10"/>
                                <w:sz w:val="20"/>
                              </w:rPr>
                              <w:t>棟〕</w:t>
                            </w:r>
                          </w:p>
                          <w:p>
                            <w:pPr>
                              <w:pStyle w:val="15"/>
                              <w:spacing w:before="10" w:beforeLines="0" w:beforeAutospacing="0"/>
                              <w:ind w:left="2520" w:firstLine="839" w:firstLineChars="466"/>
                              <w:rPr>
                                <w:rFonts w:hint="default" w:ascii="ＭＳ 明朝" w:hAnsi="ＭＳ 明朝" w:eastAsia="ＭＳ 明朝"/>
                                <w:spacing w:val="-10"/>
                                <w:sz w:val="20"/>
                              </w:rPr>
                            </w:pPr>
                          </w:p>
                          <w:p>
                            <w:pPr>
                              <w:pStyle w:val="15"/>
                              <w:spacing w:before="10" w:beforeLines="0" w:beforeAutospacing="0"/>
                              <w:ind w:firstLine="284" w:firstLineChars="157"/>
                              <w:rPr>
                                <w:rFonts w:hint="default" w:ascii="ＭＳ 明朝" w:hAnsi="ＭＳ 明朝" w:eastAsia="ＭＳ 明朝"/>
                                <w:spacing w:val="-10"/>
                                <w:sz w:val="20"/>
                              </w:rPr>
                            </w:pPr>
                            <w:r>
                              <w:rPr>
                                <w:rFonts w:hint="eastAsia" w:ascii="ＭＳ 明朝" w:hAnsi="ＭＳ 明朝" w:eastAsia="ＭＳ 明朝"/>
                                <w:b w:val="1"/>
                                <w:spacing w:val="-10"/>
                                <w:sz w:val="20"/>
                              </w:rPr>
                              <w:t>・焼失</w:t>
                            </w:r>
                            <w:r>
                              <w:rPr>
                                <w:rFonts w:hint="eastAsia" w:ascii="ＭＳ 明朝" w:hAnsi="ＭＳ 明朝" w:eastAsia="ＭＳ 明朝"/>
                                <w:b w:val="1"/>
                                <w:spacing w:val="-10"/>
                                <w:sz w:val="20"/>
                              </w:rPr>
                              <w:t>(</w:t>
                            </w:r>
                            <w:r>
                              <w:rPr>
                                <w:rFonts w:hint="eastAsia" w:ascii="ＭＳ 明朝" w:hAnsi="ＭＳ 明朝" w:eastAsia="ＭＳ 明朝"/>
                                <w:b w:val="1"/>
                                <w:spacing w:val="-10"/>
                                <w:sz w:val="20"/>
                              </w:rPr>
                              <w:t>木造</w:t>
                            </w:r>
                            <w:r>
                              <w:rPr>
                                <w:rFonts w:hint="default" w:ascii="ＭＳ 明朝" w:hAnsi="ＭＳ 明朝" w:eastAsia="ＭＳ 明朝"/>
                                <w:b w:val="1"/>
                                <w:spacing w:val="-10"/>
                                <w:sz w:val="20"/>
                              </w:rPr>
                              <w:t>)</w:t>
                            </w:r>
                            <w:r>
                              <w:rPr>
                                <w:rFonts w:hint="eastAsia" w:ascii="ＭＳ 明朝" w:hAnsi="ＭＳ 明朝" w:eastAsia="ＭＳ 明朝"/>
                                <w:b w:val="1"/>
                                <w:spacing w:val="-10"/>
                                <w:sz w:val="20"/>
                              </w:rPr>
                              <w:t>による災害廃棄物発生量〔</w:t>
                            </w:r>
                            <w:r>
                              <w:rPr>
                                <w:rFonts w:hint="eastAsia" w:ascii="ＭＳ 明朝" w:hAnsi="ＭＳ 明朝" w:eastAsia="ＭＳ 明朝"/>
                                <w:b w:val="1"/>
                                <w:spacing w:val="-10"/>
                                <w:sz w:val="20"/>
                              </w:rPr>
                              <w:t>t</w:t>
                            </w:r>
                            <w:r>
                              <w:rPr>
                                <w:rFonts w:hint="eastAsia" w:ascii="ＭＳ 明朝" w:hAnsi="ＭＳ 明朝" w:eastAsia="ＭＳ 明朝"/>
                                <w:b w:val="1"/>
                                <w:spacing w:val="-10"/>
                                <w:sz w:val="20"/>
                              </w:rPr>
                              <w:t>〕</w:t>
                            </w:r>
                            <w:r>
                              <w:rPr>
                                <w:rFonts w:hint="eastAsia" w:ascii="ＭＳ 明朝" w:hAnsi="ＭＳ 明朝" w:eastAsia="ＭＳ 明朝"/>
                                <w:spacing w:val="-10"/>
                                <w:sz w:val="20"/>
                              </w:rPr>
                              <w:t>＝焼失</w:t>
                            </w:r>
                            <w:r>
                              <w:rPr>
                                <w:rFonts w:hint="eastAsia" w:ascii="ＭＳ 明朝" w:hAnsi="ＭＳ 明朝" w:eastAsia="ＭＳ 明朝"/>
                                <w:spacing w:val="-10"/>
                                <w:sz w:val="20"/>
                              </w:rPr>
                              <w:t>(</w:t>
                            </w:r>
                            <w:r>
                              <w:rPr>
                                <w:rFonts w:hint="eastAsia" w:ascii="ＭＳ 明朝" w:hAnsi="ＭＳ 明朝" w:eastAsia="ＭＳ 明朝"/>
                                <w:spacing w:val="-10"/>
                                <w:sz w:val="20"/>
                              </w:rPr>
                              <w:t>木造</w:t>
                            </w:r>
                            <w:r>
                              <w:rPr>
                                <w:rFonts w:hint="default" w:ascii="ＭＳ 明朝" w:hAnsi="ＭＳ 明朝" w:eastAsia="ＭＳ 明朝"/>
                                <w:spacing w:val="-10"/>
                                <w:sz w:val="20"/>
                              </w:rPr>
                              <w:t>)</w:t>
                            </w:r>
                            <w:r>
                              <w:rPr>
                                <w:rFonts w:hint="eastAsia" w:ascii="ＭＳ 明朝" w:hAnsi="ＭＳ 明朝" w:eastAsia="ＭＳ 明朝"/>
                                <w:spacing w:val="-10"/>
                                <w:sz w:val="20"/>
                              </w:rPr>
                              <w:t>棟数〔棟〕×</w:t>
                            </w:r>
                            <w:r>
                              <w:rPr>
                                <w:rFonts w:hint="eastAsia" w:ascii="ＭＳ 明朝" w:hAnsi="ＭＳ 明朝" w:eastAsia="ＭＳ 明朝"/>
                                <w:spacing w:val="-10"/>
                                <w:sz w:val="20"/>
                              </w:rPr>
                              <w:t xml:space="preserve"> </w:t>
                            </w:r>
                            <w:r>
                              <w:rPr>
                                <w:rFonts w:hint="default" w:ascii="ＭＳ 明朝" w:hAnsi="ＭＳ 明朝" w:eastAsia="ＭＳ 明朝"/>
                                <w:spacing w:val="-10"/>
                                <w:sz w:val="20"/>
                              </w:rPr>
                              <w:t>78</w:t>
                            </w:r>
                            <w:r>
                              <w:rPr>
                                <w:rFonts w:hint="eastAsia" w:ascii="ＭＳ 明朝" w:hAnsi="ＭＳ 明朝" w:eastAsia="ＭＳ 明朝"/>
                                <w:spacing w:val="-10"/>
                                <w:sz w:val="20"/>
                              </w:rPr>
                              <w:t>〔</w:t>
                            </w:r>
                            <w:r>
                              <w:rPr>
                                <w:rFonts w:hint="eastAsia" w:ascii="ＭＳ 明朝" w:hAnsi="ＭＳ 明朝" w:eastAsia="ＭＳ 明朝"/>
                                <w:spacing w:val="-10"/>
                                <w:sz w:val="20"/>
                              </w:rPr>
                              <w:t>t</w:t>
                            </w:r>
                            <w:r>
                              <w:rPr>
                                <w:rFonts w:hint="default" w:ascii="ＭＳ 明朝" w:hAnsi="ＭＳ 明朝" w:eastAsia="ＭＳ 明朝"/>
                                <w:spacing w:val="-10"/>
                                <w:sz w:val="20"/>
                              </w:rPr>
                              <w:t>/</w:t>
                            </w:r>
                            <w:r>
                              <w:rPr>
                                <w:rFonts w:hint="eastAsia" w:ascii="ＭＳ 明朝" w:hAnsi="ＭＳ 明朝" w:eastAsia="ＭＳ 明朝"/>
                                <w:spacing w:val="-10"/>
                                <w:sz w:val="20"/>
                              </w:rPr>
                              <w:t>棟〕</w:t>
                            </w:r>
                          </w:p>
                          <w:p>
                            <w:pPr>
                              <w:pStyle w:val="15"/>
                              <w:spacing w:before="10" w:beforeLines="0" w:beforeAutospacing="0"/>
                              <w:ind w:firstLine="283" w:firstLineChars="157"/>
                              <w:rPr>
                                <w:rFonts w:hint="default" w:ascii="ＭＳ 明朝" w:hAnsi="ＭＳ 明朝" w:eastAsia="ＭＳ 明朝"/>
                                <w:spacing w:val="-10"/>
                                <w:sz w:val="20"/>
                              </w:rPr>
                            </w:pPr>
                          </w:p>
                          <w:p>
                            <w:pPr>
                              <w:pStyle w:val="15"/>
                              <w:spacing w:before="10" w:beforeLines="0" w:beforeAutospacing="0" w:line="276" w:lineRule="auto"/>
                              <w:ind w:left="227" w:leftChars="103"/>
                              <w:rPr>
                                <w:rFonts w:hint="default" w:ascii="ＭＳ 明朝" w:hAnsi="ＭＳ 明朝" w:eastAsia="ＭＳ 明朝"/>
                                <w:spacing w:val="-10"/>
                                <w:sz w:val="20"/>
                              </w:rPr>
                            </w:pPr>
                            <w:r>
                              <w:rPr>
                                <w:rFonts w:hint="eastAsia" w:ascii="ＭＳ 明朝" w:hAnsi="ＭＳ 明朝" w:eastAsia="ＭＳ 明朝"/>
                                <w:spacing w:val="-10"/>
                                <w:sz w:val="18"/>
                              </w:rPr>
                              <w:t>（平成</w:t>
                            </w:r>
                            <w:r>
                              <w:rPr>
                                <w:rFonts w:hint="eastAsia" w:ascii="ＭＳ 明朝" w:hAnsi="ＭＳ 明朝" w:eastAsia="ＭＳ 明朝"/>
                                <w:spacing w:val="-10"/>
                                <w:sz w:val="18"/>
                              </w:rPr>
                              <w:t>25</w:t>
                            </w:r>
                            <w:r>
                              <w:rPr>
                                <w:rFonts w:hint="eastAsia" w:ascii="ＭＳ 明朝" w:hAnsi="ＭＳ 明朝" w:eastAsia="ＭＳ 明朝"/>
                                <w:spacing w:val="-10"/>
                                <w:sz w:val="18"/>
                              </w:rPr>
                              <w:t>年度沖縄県地震被害想定調査では火災による消失棟数の木造・非木造割合が示されていないため、火災消失棟数を全て「木造家屋」として算出した</w:t>
                            </w:r>
                            <w:r>
                              <w:rPr>
                                <w:rFonts w:hint="eastAsia" w:ascii="ＭＳ 明朝" w:hAnsi="ＭＳ 明朝" w:eastAsia="ＭＳ 明朝"/>
                                <w:spacing w:val="-10"/>
                                <w:sz w:val="20"/>
                              </w:rPr>
                              <w:t>）</w:t>
                            </w:r>
                            <w:bookmarkStart w:id="38" w:name="_Hlk32658579"/>
                          </w:p>
                          <w:p>
                            <w:pPr>
                              <w:pStyle w:val="15"/>
                              <w:spacing w:before="10" w:beforeLines="0" w:beforeAutospacing="0"/>
                              <w:ind w:firstLine="284" w:firstLineChars="157"/>
                              <w:rPr>
                                <w:rFonts w:hint="default" w:ascii="ＭＳ 明朝" w:hAnsi="ＭＳ 明朝" w:eastAsia="ＭＳ 明朝"/>
                                <w:b w:val="1"/>
                                <w:spacing w:val="-10"/>
                                <w:sz w:val="20"/>
                              </w:rPr>
                            </w:pPr>
                            <w:r>
                              <w:rPr>
                                <w:rFonts w:hint="eastAsia" w:ascii="ＭＳ 明朝" w:hAnsi="ＭＳ 明朝" w:eastAsia="ＭＳ 明朝"/>
                                <w:b w:val="1"/>
                                <w:spacing w:val="-10"/>
                                <w:sz w:val="20"/>
                              </w:rPr>
                              <w:t>・床上浸水による災害廃棄物発生量〔</w:t>
                            </w:r>
                            <w:r>
                              <w:rPr>
                                <w:rFonts w:hint="eastAsia" w:ascii="ＭＳ 明朝" w:hAnsi="ＭＳ 明朝" w:eastAsia="ＭＳ 明朝"/>
                                <w:b w:val="1"/>
                                <w:spacing w:val="-10"/>
                                <w:sz w:val="20"/>
                              </w:rPr>
                              <w:t>t</w:t>
                            </w:r>
                            <w:r>
                              <w:rPr>
                                <w:rFonts w:hint="eastAsia" w:ascii="ＭＳ 明朝" w:hAnsi="ＭＳ 明朝" w:eastAsia="ＭＳ 明朝"/>
                                <w:b w:val="1"/>
                                <w:spacing w:val="-10"/>
                                <w:sz w:val="20"/>
                              </w:rPr>
                              <w:t>〕</w:t>
                            </w:r>
                            <w:r>
                              <w:rPr>
                                <w:rFonts w:hint="eastAsia" w:ascii="ＭＳ 明朝" w:hAnsi="ＭＳ 明朝" w:eastAsia="ＭＳ 明朝"/>
                                <w:spacing w:val="-10"/>
                                <w:sz w:val="20"/>
                              </w:rPr>
                              <w:t>＝床上浸水世帯数〔世帯〕×</w:t>
                            </w:r>
                            <w:r>
                              <w:rPr>
                                <w:rFonts w:hint="eastAsia" w:ascii="ＭＳ 明朝" w:hAnsi="ＭＳ 明朝" w:eastAsia="ＭＳ 明朝"/>
                                <w:spacing w:val="-10"/>
                                <w:sz w:val="20"/>
                              </w:rPr>
                              <w:t xml:space="preserve"> 4.6</w:t>
                            </w:r>
                            <w:r>
                              <w:rPr>
                                <w:rFonts w:hint="eastAsia" w:ascii="ＭＳ 明朝" w:hAnsi="ＭＳ 明朝" w:eastAsia="ＭＳ 明朝"/>
                                <w:spacing w:val="-10"/>
                                <w:sz w:val="20"/>
                              </w:rPr>
                              <w:t>〔</w:t>
                            </w:r>
                            <w:r>
                              <w:rPr>
                                <w:rFonts w:hint="eastAsia" w:ascii="ＭＳ 明朝" w:hAnsi="ＭＳ 明朝" w:eastAsia="ＭＳ 明朝"/>
                                <w:spacing w:val="-10"/>
                                <w:sz w:val="20"/>
                              </w:rPr>
                              <w:t>t</w:t>
                            </w:r>
                            <w:r>
                              <w:rPr>
                                <w:rFonts w:hint="default" w:ascii="ＭＳ 明朝" w:hAnsi="ＭＳ 明朝" w:eastAsia="ＭＳ 明朝"/>
                                <w:spacing w:val="-10"/>
                                <w:sz w:val="20"/>
                              </w:rPr>
                              <w:t>/</w:t>
                            </w:r>
                            <w:r>
                              <w:rPr>
                                <w:rFonts w:hint="eastAsia" w:ascii="ＭＳ 明朝" w:hAnsi="ＭＳ 明朝" w:eastAsia="ＭＳ 明朝"/>
                                <w:spacing w:val="-10"/>
                                <w:sz w:val="20"/>
                              </w:rPr>
                              <w:t>世帯〕</w:t>
                            </w:r>
                          </w:p>
                          <w:p>
                            <w:pPr>
                              <w:pStyle w:val="0"/>
                              <w:spacing w:before="10" w:beforeLines="0" w:beforeAutospacing="0"/>
                              <w:ind w:firstLine="284" w:firstLineChars="157"/>
                              <w:rPr>
                                <w:rFonts w:hint="default" w:ascii="ＭＳ 明朝" w:hAnsi="ＭＳ 明朝" w:eastAsia="ＭＳ 明朝"/>
                                <w:b w:val="1"/>
                                <w:spacing w:val="-10"/>
                                <w:sz w:val="20"/>
                              </w:rPr>
                            </w:pPr>
                          </w:p>
                          <w:p>
                            <w:pPr>
                              <w:pStyle w:val="15"/>
                              <w:spacing w:before="10" w:beforeLines="0" w:beforeAutospacing="0"/>
                              <w:ind w:firstLine="284" w:firstLineChars="157"/>
                              <w:rPr>
                                <w:rFonts w:hint="default" w:ascii="ＭＳ 明朝" w:hAnsi="ＭＳ 明朝" w:eastAsia="ＭＳ 明朝"/>
                                <w:b w:val="1"/>
                                <w:spacing w:val="-10"/>
                                <w:sz w:val="20"/>
                              </w:rPr>
                            </w:pPr>
                            <w:r>
                              <w:rPr>
                                <w:rFonts w:hint="eastAsia" w:ascii="ＭＳ 明朝" w:hAnsi="ＭＳ 明朝" w:eastAsia="ＭＳ 明朝"/>
                                <w:b w:val="1"/>
                                <w:spacing w:val="-10"/>
                                <w:sz w:val="20"/>
                              </w:rPr>
                              <w:t>・床下浸水による災害廃棄物発生量〔</w:t>
                            </w:r>
                            <w:r>
                              <w:rPr>
                                <w:rFonts w:hint="eastAsia" w:ascii="ＭＳ 明朝" w:hAnsi="ＭＳ 明朝" w:eastAsia="ＭＳ 明朝"/>
                                <w:b w:val="1"/>
                                <w:spacing w:val="-10"/>
                                <w:sz w:val="20"/>
                              </w:rPr>
                              <w:t>t</w:t>
                            </w:r>
                            <w:r>
                              <w:rPr>
                                <w:rFonts w:hint="eastAsia" w:ascii="ＭＳ 明朝" w:hAnsi="ＭＳ 明朝" w:eastAsia="ＭＳ 明朝"/>
                                <w:b w:val="1"/>
                                <w:spacing w:val="-10"/>
                                <w:sz w:val="20"/>
                              </w:rPr>
                              <w:t>〕</w:t>
                            </w:r>
                            <w:r>
                              <w:rPr>
                                <w:rFonts w:hint="eastAsia" w:ascii="ＭＳ 明朝" w:hAnsi="ＭＳ 明朝" w:eastAsia="ＭＳ 明朝"/>
                                <w:spacing w:val="-10"/>
                                <w:sz w:val="20"/>
                              </w:rPr>
                              <w:t>＝床下浸水世帯数〔世帯〕×</w:t>
                            </w:r>
                            <w:r>
                              <w:rPr>
                                <w:rFonts w:hint="eastAsia" w:ascii="ＭＳ 明朝" w:hAnsi="ＭＳ 明朝" w:eastAsia="ＭＳ 明朝"/>
                                <w:spacing w:val="-10"/>
                                <w:sz w:val="20"/>
                              </w:rPr>
                              <w:t xml:space="preserve"> 0.62</w:t>
                            </w:r>
                            <w:r>
                              <w:rPr>
                                <w:rFonts w:hint="eastAsia" w:ascii="ＭＳ 明朝" w:hAnsi="ＭＳ 明朝" w:eastAsia="ＭＳ 明朝"/>
                                <w:spacing w:val="-10"/>
                                <w:sz w:val="20"/>
                              </w:rPr>
                              <w:t>〔</w:t>
                            </w:r>
                            <w:r>
                              <w:rPr>
                                <w:rFonts w:hint="eastAsia" w:ascii="ＭＳ 明朝" w:hAnsi="ＭＳ 明朝" w:eastAsia="ＭＳ 明朝"/>
                                <w:spacing w:val="-10"/>
                                <w:sz w:val="20"/>
                              </w:rPr>
                              <w:t>t</w:t>
                            </w:r>
                            <w:r>
                              <w:rPr>
                                <w:rFonts w:hint="default" w:ascii="ＭＳ 明朝" w:hAnsi="ＭＳ 明朝" w:eastAsia="ＭＳ 明朝"/>
                                <w:spacing w:val="-10"/>
                                <w:sz w:val="20"/>
                              </w:rPr>
                              <w:t>/</w:t>
                            </w:r>
                            <w:r>
                              <w:rPr>
                                <w:rFonts w:hint="eastAsia" w:ascii="ＭＳ 明朝" w:hAnsi="ＭＳ 明朝" w:eastAsia="ＭＳ 明朝"/>
                                <w:spacing w:val="-10"/>
                                <w:sz w:val="20"/>
                              </w:rPr>
                              <w:t>世帯〕</w:t>
                            </w:r>
                          </w:p>
                          <w:p>
                            <w:pPr>
                              <w:pStyle w:val="15"/>
                              <w:spacing w:before="10" w:beforeLines="0" w:beforeAutospacing="0"/>
                              <w:ind w:firstLine="284" w:firstLineChars="157"/>
                              <w:rPr>
                                <w:rFonts w:hint="default" w:ascii="ＭＳ 明朝" w:hAnsi="ＭＳ 明朝" w:eastAsia="ＭＳ 明朝"/>
                                <w:b w:val="1"/>
                                <w:spacing w:val="-10"/>
                                <w:sz w:val="20"/>
                              </w:rPr>
                            </w:pPr>
                          </w:p>
                          <w:p>
                            <w:pPr>
                              <w:pStyle w:val="15"/>
                              <w:spacing w:before="10" w:beforeLines="0" w:beforeAutospacing="0" w:line="276" w:lineRule="auto"/>
                              <w:ind w:left="227" w:leftChars="103"/>
                              <w:rPr>
                                <w:rFonts w:hint="default" w:ascii="ＭＳ 明朝" w:hAnsi="ＭＳ 明朝" w:eastAsia="ＭＳ 明朝"/>
                                <w:sz w:val="18"/>
                              </w:rPr>
                            </w:pPr>
                            <w:r>
                              <w:rPr>
                                <w:rFonts w:hint="eastAsia" w:ascii="ＭＳ 明朝" w:hAnsi="ＭＳ 明朝" w:eastAsia="ＭＳ 明朝"/>
                                <w:sz w:val="18"/>
                              </w:rPr>
                              <w:t>出典：災害廃棄物対策指針</w:t>
                            </w:r>
                          </w:p>
                          <w:p>
                            <w:pPr>
                              <w:pStyle w:val="15"/>
                              <w:spacing w:before="10" w:beforeLines="0" w:beforeAutospacing="0" w:line="276" w:lineRule="auto"/>
                              <w:ind w:left="227" w:leftChars="103"/>
                              <w:rPr>
                                <w:rFonts w:hint="default" w:ascii="ＭＳ 明朝" w:hAnsi="ＭＳ 明朝" w:eastAsia="ＭＳ 明朝"/>
                                <w:sz w:val="18"/>
                              </w:rPr>
                            </w:pPr>
                            <w:bookmarkEnd w:id="38"/>
                          </w:p>
                          <w:p>
                            <w:pPr>
                              <w:pStyle w:val="15"/>
                              <w:spacing w:line="301" w:lineRule="exact"/>
                              <w:ind w:left="103"/>
                              <w:rPr>
                                <w:rFonts w:hint="default"/>
                                <w:sz w:val="21"/>
                              </w:rPr>
                            </w:pPr>
                            <w:r>
                              <w:rPr>
                                <w:rFonts w:hint="eastAsia"/>
                                <w:sz w:val="21"/>
                              </w:rPr>
                              <w:t>◆津波堆積物の発生量推計の例</w:t>
                            </w:r>
                            <w:r>
                              <w:rPr>
                                <w:rFonts w:hint="eastAsia"/>
                                <w:sz w:val="21"/>
                              </w:rPr>
                              <w:t>(</w:t>
                            </w:r>
                            <w:r>
                              <w:rPr>
                                <w:rFonts w:hint="eastAsia"/>
                                <w:sz w:val="21"/>
                              </w:rPr>
                              <w:t>参考</w:t>
                            </w:r>
                            <w:r>
                              <w:rPr>
                                <w:rFonts w:hint="eastAsia"/>
                                <w:sz w:val="21"/>
                              </w:rPr>
                              <w:t>)</w:t>
                            </w:r>
                          </w:p>
                          <w:p>
                            <w:pPr>
                              <w:pStyle w:val="15"/>
                              <w:rPr>
                                <w:rFonts w:hint="default"/>
                                <w:b w:val="1"/>
                                <w:sz w:val="12"/>
                              </w:rPr>
                            </w:pPr>
                          </w:p>
                          <w:p>
                            <w:pPr>
                              <w:pStyle w:val="15"/>
                              <w:spacing w:before="10" w:beforeLines="0" w:beforeAutospacing="0"/>
                              <w:ind w:firstLine="284" w:firstLineChars="157"/>
                              <w:rPr>
                                <w:rFonts w:hint="default" w:ascii="ＭＳ 明朝" w:hAnsi="ＭＳ 明朝" w:eastAsia="ＭＳ 明朝"/>
                                <w:spacing w:val="-10"/>
                                <w:sz w:val="20"/>
                              </w:rPr>
                            </w:pPr>
                            <w:r>
                              <w:rPr>
                                <w:rFonts w:hint="eastAsia" w:ascii="ＭＳ 明朝" w:hAnsi="ＭＳ 明朝" w:eastAsia="ＭＳ 明朝"/>
                                <w:b w:val="1"/>
                                <w:spacing w:val="-10"/>
                                <w:sz w:val="20"/>
                              </w:rPr>
                              <w:t>・津波堆積物発生量〔</w:t>
                            </w:r>
                            <w:r>
                              <w:rPr>
                                <w:rFonts w:hint="eastAsia" w:ascii="ＭＳ 明朝" w:hAnsi="ＭＳ 明朝" w:eastAsia="ＭＳ 明朝"/>
                                <w:b w:val="1"/>
                                <w:spacing w:val="-10"/>
                                <w:sz w:val="20"/>
                              </w:rPr>
                              <w:t>t</w:t>
                            </w:r>
                            <w:r>
                              <w:rPr>
                                <w:rFonts w:hint="eastAsia" w:ascii="ＭＳ 明朝" w:hAnsi="ＭＳ 明朝" w:eastAsia="ＭＳ 明朝"/>
                                <w:b w:val="1"/>
                                <w:spacing w:val="-10"/>
                                <w:sz w:val="20"/>
                              </w:rPr>
                              <w:t>〕</w:t>
                            </w:r>
                            <w:r>
                              <w:rPr>
                                <w:rFonts w:hint="eastAsia" w:ascii="ＭＳ 明朝" w:hAnsi="ＭＳ 明朝" w:eastAsia="ＭＳ 明朝"/>
                                <w:spacing w:val="-10"/>
                                <w:sz w:val="20"/>
                              </w:rPr>
                              <w:t>＝津波浸水面積〔</w:t>
                            </w:r>
                            <w:r>
                              <w:rPr>
                                <w:rFonts w:hint="eastAsia" w:ascii="ＭＳ 明朝" w:hAnsi="ＭＳ 明朝" w:eastAsia="ＭＳ 明朝"/>
                                <w:spacing w:val="-10"/>
                                <w:sz w:val="20"/>
                              </w:rPr>
                              <w:t>k</w:t>
                            </w:r>
                            <w:r>
                              <w:rPr>
                                <w:rFonts w:hint="default" w:ascii="ＭＳ 明朝" w:hAnsi="ＭＳ 明朝" w:eastAsia="ＭＳ 明朝"/>
                                <w:spacing w:val="-10"/>
                                <w:sz w:val="20"/>
                              </w:rPr>
                              <w:t>m</w:t>
                            </w:r>
                            <w:r>
                              <w:rPr>
                                <w:rFonts w:hint="default" w:ascii="ＭＳ 明朝" w:hAnsi="ＭＳ 明朝" w:eastAsia="ＭＳ 明朝"/>
                                <w:spacing w:val="-10"/>
                                <w:sz w:val="20"/>
                                <w:vertAlign w:val="superscript"/>
                              </w:rPr>
                              <w:t>2</w:t>
                            </w:r>
                            <w:r>
                              <w:rPr>
                                <w:rFonts w:hint="eastAsia" w:ascii="ＭＳ 明朝" w:hAnsi="ＭＳ 明朝" w:eastAsia="ＭＳ 明朝"/>
                                <w:spacing w:val="-10"/>
                                <w:sz w:val="20"/>
                              </w:rPr>
                              <w:t>〕×</w:t>
                            </w:r>
                            <w:r>
                              <w:rPr>
                                <w:rFonts w:hint="eastAsia" w:ascii="ＭＳ 明朝" w:hAnsi="ＭＳ 明朝" w:eastAsia="ＭＳ 明朝"/>
                                <w:spacing w:val="-10"/>
                                <w:sz w:val="20"/>
                              </w:rPr>
                              <w:t>1</w:t>
                            </w:r>
                            <w:r>
                              <w:rPr>
                                <w:rFonts w:hint="default" w:ascii="ＭＳ 明朝" w:hAnsi="ＭＳ 明朝" w:eastAsia="ＭＳ 明朝"/>
                                <w:spacing w:val="-10"/>
                                <w:sz w:val="20"/>
                              </w:rPr>
                              <w:t>0</w:t>
                            </w:r>
                            <w:r>
                              <w:rPr>
                                <w:rFonts w:hint="eastAsia" w:ascii="ＭＳ 明朝" w:hAnsi="ＭＳ 明朝" w:eastAsia="ＭＳ 明朝"/>
                                <w:spacing w:val="-10"/>
                                <w:sz w:val="20"/>
                                <w:vertAlign w:val="superscript"/>
                              </w:rPr>
                              <w:t>６</w:t>
                            </w:r>
                            <w:r>
                              <w:rPr>
                                <w:rFonts w:hint="eastAsia" w:ascii="ＭＳ 明朝" w:hAnsi="ＭＳ 明朝" w:eastAsia="ＭＳ 明朝"/>
                                <w:spacing w:val="-10"/>
                                <w:sz w:val="20"/>
                              </w:rPr>
                              <w:t>×</w:t>
                            </w:r>
                            <w:r>
                              <w:rPr>
                                <w:rFonts w:hint="eastAsia" w:ascii="ＭＳ 明朝" w:hAnsi="ＭＳ 明朝" w:eastAsia="ＭＳ 明朝"/>
                                <w:spacing w:val="-10"/>
                                <w:sz w:val="20"/>
                              </w:rPr>
                              <w:t>0</w:t>
                            </w:r>
                            <w:r>
                              <w:rPr>
                                <w:rFonts w:hint="default" w:ascii="ＭＳ 明朝" w:hAnsi="ＭＳ 明朝" w:eastAsia="ＭＳ 明朝"/>
                                <w:spacing w:val="-10"/>
                                <w:sz w:val="20"/>
                              </w:rPr>
                              <w:t>.024</w:t>
                            </w:r>
                            <w:r>
                              <w:rPr>
                                <w:rFonts w:hint="eastAsia" w:ascii="ＭＳ 明朝" w:hAnsi="ＭＳ 明朝" w:eastAsia="ＭＳ 明朝"/>
                                <w:spacing w:val="-10"/>
                                <w:sz w:val="20"/>
                              </w:rPr>
                              <w:t>〔</w:t>
                            </w:r>
                            <w:r>
                              <w:rPr>
                                <w:rFonts w:hint="eastAsia" w:ascii="ＭＳ 明朝" w:hAnsi="ＭＳ 明朝" w:eastAsia="ＭＳ 明朝"/>
                                <w:spacing w:val="-10"/>
                                <w:sz w:val="20"/>
                              </w:rPr>
                              <w:t>t</w:t>
                            </w:r>
                            <w:r>
                              <w:rPr>
                                <w:rFonts w:hint="default" w:ascii="ＭＳ 明朝" w:hAnsi="ＭＳ 明朝" w:eastAsia="ＭＳ 明朝"/>
                                <w:spacing w:val="-10"/>
                                <w:sz w:val="20"/>
                              </w:rPr>
                              <w:t>/</w:t>
                            </w:r>
                            <w:r>
                              <w:rPr>
                                <w:rFonts w:hint="eastAsia" w:ascii="ＭＳ 明朝" w:hAnsi="ＭＳ 明朝" w:eastAsia="ＭＳ 明朝"/>
                                <w:spacing w:val="-10"/>
                                <w:sz w:val="20"/>
                              </w:rPr>
                              <w:t>m</w:t>
                            </w:r>
                            <w:r>
                              <w:rPr>
                                <w:rFonts w:hint="default" w:ascii="ＭＳ 明朝" w:hAnsi="ＭＳ 明朝" w:eastAsia="ＭＳ 明朝"/>
                                <w:spacing w:val="-10"/>
                                <w:sz w:val="20"/>
                                <w:vertAlign w:val="superscript"/>
                              </w:rPr>
                              <w:t>2</w:t>
                            </w:r>
                            <w:r>
                              <w:rPr>
                                <w:rFonts w:hint="eastAsia" w:ascii="ＭＳ 明朝" w:hAnsi="ＭＳ 明朝" w:eastAsia="ＭＳ 明朝"/>
                                <w:spacing w:val="-10"/>
                                <w:sz w:val="20"/>
                              </w:rPr>
                              <w:t>〕</w:t>
                            </w:r>
                          </w:p>
                          <w:p>
                            <w:pPr>
                              <w:pStyle w:val="15"/>
                              <w:spacing w:before="10" w:beforeLines="0" w:beforeAutospacing="0"/>
                              <w:ind w:firstLine="283" w:firstLineChars="157"/>
                              <w:rPr>
                                <w:rFonts w:hint="default" w:ascii="ＭＳ 明朝" w:hAnsi="ＭＳ 明朝" w:eastAsia="ＭＳ 明朝"/>
                                <w:spacing w:val="-10"/>
                                <w:sz w:val="20"/>
                              </w:rPr>
                            </w:pPr>
                          </w:p>
                          <w:p>
                            <w:pPr>
                              <w:pStyle w:val="15"/>
                              <w:ind w:firstLine="180" w:firstLineChars="100"/>
                              <w:rPr>
                                <w:rFonts w:hint="default" w:ascii="ＭＳ 明朝" w:hAnsi="ＭＳ 明朝" w:eastAsia="ＭＳ 明朝"/>
                                <w:sz w:val="16"/>
                              </w:rPr>
                            </w:pPr>
                            <w:r>
                              <w:rPr>
                                <w:rFonts w:hint="eastAsia" w:ascii="ＭＳ 明朝" w:hAnsi="ＭＳ 明朝" w:eastAsia="ＭＳ 明朝"/>
                                <w:sz w:val="18"/>
                              </w:rPr>
                              <w:t>出典：災害廃棄物対策指針及</w:t>
                            </w:r>
                          </w:p>
                          <w:p>
                            <w:pPr>
                              <w:pStyle w:val="15"/>
                              <w:spacing w:before="10" w:beforeLines="0" w:beforeAutospacing="0" w:line="276" w:lineRule="auto"/>
                              <w:ind w:left="227" w:leftChars="103"/>
                              <w:rPr>
                                <w:rFonts w:hint="default" w:ascii="ＭＳ 明朝" w:hAnsi="ＭＳ 明朝" w:eastAsia="ＭＳ 明朝"/>
                                <w:spacing w:val="-10"/>
                                <w:sz w:val="20"/>
                              </w:rPr>
                            </w:pPr>
                          </w:p>
                        </w:txbxContent>
                      </wps:txbx>
                      <wps:bodyPr rot="0" vertOverflow="overflow" horzOverflow="overflow" wrap="square" lIns="0" tIns="0" rIns="0" bIns="0" anchor="t" anchorCtr="0" upright="1"/>
                    </wps:wsp>
                  </a:graphicData>
                </a:graphic>
              </wp:inline>
            </w:drawing>
          </mc:Choice>
          <mc:Fallback>
            <w:pict>
              <v:shapetype id="_x0000_t202" coordsize="21600,21600" o:spt="202" path="m,l,21600r21600,l21600,xe">
                <v:stroke joinstyle="miter"/>
                <v:path gradientshapeok="t" o:connecttype="rect"/>
              </v:shapetype>
              <v:shape id="テキスト ボックス 3156" style="v-text-anchor:top;height:334.95pt;width:449pt;" o:spid="_x0000_s1104" filled="f" stroked="t" strokecolor="#000000 [3213]" strokeweight="0.48pt" o:spt="202" type="#_x0000_t202">
                <v:fill/>
                <v:stroke miterlimit="8" filltype="solid"/>
                <v:textbox style="layout-flow:horizontal;" inset="0mm,0mm,0mm,0mm">
                  <w:txbxContent>
                    <w:p>
                      <w:pPr>
                        <w:pStyle w:val="15"/>
                        <w:spacing w:line="301" w:lineRule="exact"/>
                        <w:ind w:left="103"/>
                        <w:rPr>
                          <w:rFonts w:hint="default"/>
                          <w:sz w:val="21"/>
                        </w:rPr>
                      </w:pPr>
                      <w:r>
                        <w:rPr>
                          <w:rFonts w:hint="eastAsia"/>
                          <w:sz w:val="21"/>
                        </w:rPr>
                        <w:t>◆災害廃棄物発生量の推計方法の例</w:t>
                      </w:r>
                    </w:p>
                    <w:p>
                      <w:pPr>
                        <w:pStyle w:val="15"/>
                        <w:ind w:left="479"/>
                        <w:rPr>
                          <w:rFonts w:hint="default"/>
                          <w:b w:val="1"/>
                          <w:sz w:val="14"/>
                        </w:rPr>
                      </w:pPr>
                    </w:p>
                    <w:p>
                      <w:pPr>
                        <w:pStyle w:val="15"/>
                        <w:spacing w:before="10" w:beforeLines="0" w:beforeAutospacing="0"/>
                        <w:ind w:firstLine="284" w:firstLineChars="157"/>
                        <w:rPr>
                          <w:rFonts w:hint="default" w:ascii="ＭＳ 明朝" w:hAnsi="ＭＳ 明朝" w:eastAsia="ＭＳ 明朝"/>
                          <w:spacing w:val="-10"/>
                          <w:sz w:val="20"/>
                        </w:rPr>
                      </w:pPr>
                      <w:r>
                        <w:rPr>
                          <w:rFonts w:hint="eastAsia" w:ascii="ＭＳ 明朝" w:hAnsi="ＭＳ 明朝" w:eastAsia="ＭＳ 明朝"/>
                          <w:b w:val="1"/>
                          <w:spacing w:val="-10"/>
                          <w:sz w:val="20"/>
                        </w:rPr>
                        <w:t>・災害廃棄物発生量〔</w:t>
                      </w:r>
                      <w:r>
                        <w:rPr>
                          <w:rFonts w:hint="eastAsia" w:ascii="ＭＳ 明朝" w:hAnsi="ＭＳ 明朝" w:eastAsia="ＭＳ 明朝"/>
                          <w:b w:val="1"/>
                          <w:spacing w:val="-10"/>
                          <w:sz w:val="20"/>
                        </w:rPr>
                        <w:t>t</w:t>
                      </w:r>
                      <w:r>
                        <w:rPr>
                          <w:rFonts w:hint="eastAsia" w:ascii="ＭＳ 明朝" w:hAnsi="ＭＳ 明朝" w:eastAsia="ＭＳ 明朝"/>
                          <w:b w:val="1"/>
                          <w:spacing w:val="-10"/>
                          <w:sz w:val="20"/>
                        </w:rPr>
                        <w:t>〕</w:t>
                      </w:r>
                      <w:r>
                        <w:rPr>
                          <w:rFonts w:hint="eastAsia" w:ascii="ＭＳ 明朝" w:hAnsi="ＭＳ 明朝" w:eastAsia="ＭＳ 明朝"/>
                          <w:spacing w:val="-10"/>
                          <w:sz w:val="20"/>
                        </w:rPr>
                        <w:t>＝全壊による災害廃棄物発生量〔</w:t>
                      </w:r>
                      <w:r>
                        <w:rPr>
                          <w:rFonts w:hint="eastAsia" w:ascii="ＭＳ 明朝" w:hAnsi="ＭＳ 明朝" w:eastAsia="ＭＳ 明朝"/>
                          <w:spacing w:val="-10"/>
                          <w:sz w:val="20"/>
                        </w:rPr>
                        <w:t>t</w:t>
                      </w:r>
                      <w:r>
                        <w:rPr>
                          <w:rFonts w:hint="eastAsia" w:ascii="ＭＳ 明朝" w:hAnsi="ＭＳ 明朝" w:eastAsia="ＭＳ 明朝"/>
                          <w:spacing w:val="-10"/>
                          <w:sz w:val="20"/>
                        </w:rPr>
                        <w:t>〕＋半壊による災害廃棄物発生量〔</w:t>
                      </w:r>
                      <w:r>
                        <w:rPr>
                          <w:rFonts w:hint="eastAsia" w:ascii="ＭＳ 明朝" w:hAnsi="ＭＳ 明朝" w:eastAsia="ＭＳ 明朝"/>
                          <w:spacing w:val="-10"/>
                          <w:sz w:val="20"/>
                        </w:rPr>
                        <w:t>t</w:t>
                      </w:r>
                      <w:r>
                        <w:rPr>
                          <w:rFonts w:hint="eastAsia" w:ascii="ＭＳ 明朝" w:hAnsi="ＭＳ 明朝" w:eastAsia="ＭＳ 明朝"/>
                          <w:spacing w:val="-10"/>
                          <w:sz w:val="20"/>
                        </w:rPr>
                        <w:t>〕</w:t>
                      </w:r>
                    </w:p>
                    <w:p>
                      <w:pPr>
                        <w:pStyle w:val="15"/>
                        <w:spacing w:before="10" w:beforeLines="0" w:beforeAutospacing="0"/>
                        <w:ind w:firstLine="2520" w:firstLineChars="1400"/>
                        <w:rPr>
                          <w:rFonts w:hint="default" w:ascii="ＭＳ 明朝" w:hAnsi="ＭＳ 明朝" w:eastAsia="ＭＳ 明朝"/>
                          <w:spacing w:val="-10"/>
                          <w:sz w:val="20"/>
                        </w:rPr>
                      </w:pPr>
                      <w:r>
                        <w:rPr>
                          <w:rFonts w:hint="eastAsia" w:ascii="ＭＳ 明朝" w:hAnsi="ＭＳ 明朝" w:eastAsia="ＭＳ 明朝"/>
                          <w:spacing w:val="-10"/>
                          <w:sz w:val="20"/>
                        </w:rPr>
                        <w:t>＋焼失</w:t>
                      </w:r>
                      <w:r>
                        <w:rPr>
                          <w:rFonts w:hint="eastAsia" w:ascii="ＭＳ 明朝" w:hAnsi="ＭＳ 明朝" w:eastAsia="ＭＳ 明朝"/>
                          <w:spacing w:val="-10"/>
                          <w:sz w:val="20"/>
                        </w:rPr>
                        <w:t>(</w:t>
                      </w:r>
                      <w:r>
                        <w:rPr>
                          <w:rFonts w:hint="eastAsia" w:ascii="ＭＳ 明朝" w:hAnsi="ＭＳ 明朝" w:eastAsia="ＭＳ 明朝"/>
                          <w:spacing w:val="-10"/>
                          <w:sz w:val="20"/>
                        </w:rPr>
                        <w:t>木造</w:t>
                      </w:r>
                      <w:r>
                        <w:rPr>
                          <w:rFonts w:hint="default" w:ascii="ＭＳ 明朝" w:hAnsi="ＭＳ 明朝" w:eastAsia="ＭＳ 明朝"/>
                          <w:spacing w:val="-10"/>
                          <w:sz w:val="20"/>
                        </w:rPr>
                        <w:t>)</w:t>
                      </w:r>
                      <w:r>
                        <w:rPr>
                          <w:rFonts w:hint="eastAsia" w:ascii="ＭＳ 明朝" w:hAnsi="ＭＳ 明朝" w:eastAsia="ＭＳ 明朝"/>
                          <w:spacing w:val="-10"/>
                          <w:sz w:val="20"/>
                        </w:rPr>
                        <w:t>による災害廃棄物発生量〔</w:t>
                      </w:r>
                      <w:r>
                        <w:rPr>
                          <w:rFonts w:hint="eastAsia" w:ascii="ＭＳ 明朝" w:hAnsi="ＭＳ 明朝" w:eastAsia="ＭＳ 明朝"/>
                          <w:spacing w:val="-10"/>
                          <w:sz w:val="20"/>
                        </w:rPr>
                        <w:t>t</w:t>
                      </w:r>
                      <w:r>
                        <w:rPr>
                          <w:rFonts w:hint="eastAsia" w:ascii="ＭＳ 明朝" w:hAnsi="ＭＳ 明朝" w:eastAsia="ＭＳ 明朝"/>
                          <w:spacing w:val="-10"/>
                          <w:sz w:val="20"/>
                        </w:rPr>
                        <w:t>〕</w:t>
                      </w:r>
                    </w:p>
                    <w:p>
                      <w:pPr>
                        <w:pStyle w:val="15"/>
                        <w:spacing w:before="10" w:beforeLines="0" w:beforeAutospacing="0"/>
                        <w:ind w:firstLine="283" w:firstLineChars="157"/>
                        <w:rPr>
                          <w:rFonts w:hint="default" w:ascii="ＭＳ 明朝" w:hAnsi="ＭＳ 明朝" w:eastAsia="ＭＳ 明朝"/>
                          <w:spacing w:val="-10"/>
                          <w:sz w:val="20"/>
                        </w:rPr>
                      </w:pPr>
                    </w:p>
                    <w:p>
                      <w:pPr>
                        <w:pStyle w:val="15"/>
                        <w:spacing w:before="10" w:beforeLines="0" w:beforeAutospacing="0"/>
                        <w:ind w:firstLine="284" w:firstLineChars="157"/>
                        <w:rPr>
                          <w:rFonts w:hint="default" w:ascii="ＭＳ 明朝" w:hAnsi="ＭＳ 明朝" w:eastAsia="ＭＳ 明朝"/>
                          <w:spacing w:val="-10"/>
                          <w:sz w:val="20"/>
                        </w:rPr>
                      </w:pPr>
                      <w:r>
                        <w:rPr>
                          <w:rFonts w:hint="eastAsia" w:ascii="ＭＳ 明朝" w:hAnsi="ＭＳ 明朝" w:eastAsia="ＭＳ 明朝"/>
                          <w:b w:val="1"/>
                          <w:spacing w:val="-10"/>
                          <w:sz w:val="20"/>
                        </w:rPr>
                        <w:t>・全壊による災害廃棄物発生量〔</w:t>
                      </w:r>
                      <w:r>
                        <w:rPr>
                          <w:rFonts w:hint="eastAsia" w:ascii="ＭＳ 明朝" w:hAnsi="ＭＳ 明朝" w:eastAsia="ＭＳ 明朝"/>
                          <w:b w:val="1"/>
                          <w:spacing w:val="-10"/>
                          <w:sz w:val="20"/>
                        </w:rPr>
                        <w:t>t</w:t>
                      </w:r>
                      <w:r>
                        <w:rPr>
                          <w:rFonts w:hint="eastAsia" w:ascii="ＭＳ 明朝" w:hAnsi="ＭＳ 明朝" w:eastAsia="ＭＳ 明朝"/>
                          <w:b w:val="1"/>
                          <w:spacing w:val="-10"/>
                          <w:sz w:val="20"/>
                        </w:rPr>
                        <w:t>〕</w:t>
                      </w:r>
                      <w:r>
                        <w:rPr>
                          <w:rFonts w:hint="eastAsia" w:ascii="ＭＳ 明朝" w:hAnsi="ＭＳ 明朝" w:eastAsia="ＭＳ 明朝"/>
                          <w:spacing w:val="-10"/>
                          <w:sz w:val="20"/>
                        </w:rPr>
                        <w:t>＝全壊棟数〔棟〕×</w:t>
                      </w:r>
                      <w:r>
                        <w:rPr>
                          <w:rFonts w:hint="eastAsia" w:ascii="ＭＳ 明朝" w:hAnsi="ＭＳ 明朝" w:eastAsia="ＭＳ 明朝"/>
                          <w:spacing w:val="-10"/>
                          <w:sz w:val="20"/>
                        </w:rPr>
                        <w:t xml:space="preserve"> 1</w:t>
                      </w:r>
                      <w:r>
                        <w:rPr>
                          <w:rFonts w:hint="default" w:ascii="ＭＳ 明朝" w:hAnsi="ＭＳ 明朝" w:eastAsia="ＭＳ 明朝"/>
                          <w:spacing w:val="-10"/>
                          <w:sz w:val="20"/>
                        </w:rPr>
                        <w:t>17</w:t>
                      </w:r>
                      <w:r>
                        <w:rPr>
                          <w:rFonts w:hint="eastAsia" w:ascii="ＭＳ 明朝" w:hAnsi="ＭＳ 明朝" w:eastAsia="ＭＳ 明朝"/>
                          <w:spacing w:val="-10"/>
                          <w:sz w:val="20"/>
                        </w:rPr>
                        <w:t>〔</w:t>
                      </w:r>
                      <w:r>
                        <w:rPr>
                          <w:rFonts w:hint="eastAsia" w:ascii="ＭＳ 明朝" w:hAnsi="ＭＳ 明朝" w:eastAsia="ＭＳ 明朝"/>
                          <w:spacing w:val="-10"/>
                          <w:sz w:val="20"/>
                        </w:rPr>
                        <w:t>t</w:t>
                      </w:r>
                      <w:r>
                        <w:rPr>
                          <w:rFonts w:hint="default" w:ascii="ＭＳ 明朝" w:hAnsi="ＭＳ 明朝" w:eastAsia="ＭＳ 明朝"/>
                          <w:spacing w:val="-10"/>
                          <w:sz w:val="20"/>
                        </w:rPr>
                        <w:t>/</w:t>
                      </w:r>
                      <w:r>
                        <w:rPr>
                          <w:rFonts w:hint="eastAsia" w:ascii="ＭＳ 明朝" w:hAnsi="ＭＳ 明朝" w:eastAsia="ＭＳ 明朝"/>
                          <w:spacing w:val="-10"/>
                          <w:sz w:val="20"/>
                        </w:rPr>
                        <w:t>棟〕</w:t>
                      </w:r>
                    </w:p>
                    <w:p>
                      <w:pPr>
                        <w:pStyle w:val="15"/>
                        <w:spacing w:before="10" w:beforeLines="0" w:beforeAutospacing="0"/>
                        <w:ind w:left="2520" w:firstLine="839" w:firstLineChars="466"/>
                        <w:rPr>
                          <w:rFonts w:hint="default" w:ascii="ＭＳ 明朝" w:hAnsi="ＭＳ 明朝" w:eastAsia="ＭＳ 明朝"/>
                          <w:spacing w:val="-10"/>
                          <w:sz w:val="20"/>
                        </w:rPr>
                      </w:pPr>
                    </w:p>
                    <w:p>
                      <w:pPr>
                        <w:pStyle w:val="15"/>
                        <w:spacing w:before="10" w:beforeLines="0" w:beforeAutospacing="0"/>
                        <w:ind w:firstLine="284" w:firstLineChars="157"/>
                        <w:rPr>
                          <w:rFonts w:hint="default" w:ascii="ＭＳ 明朝" w:hAnsi="ＭＳ 明朝" w:eastAsia="ＭＳ 明朝"/>
                          <w:spacing w:val="-10"/>
                          <w:sz w:val="20"/>
                        </w:rPr>
                      </w:pPr>
                      <w:r>
                        <w:rPr>
                          <w:rFonts w:hint="eastAsia" w:ascii="ＭＳ 明朝" w:hAnsi="ＭＳ 明朝" w:eastAsia="ＭＳ 明朝"/>
                          <w:b w:val="1"/>
                          <w:spacing w:val="-10"/>
                          <w:sz w:val="20"/>
                        </w:rPr>
                        <w:t>・半壊による災害廃棄物発生量〔</w:t>
                      </w:r>
                      <w:r>
                        <w:rPr>
                          <w:rFonts w:hint="eastAsia" w:ascii="ＭＳ 明朝" w:hAnsi="ＭＳ 明朝" w:eastAsia="ＭＳ 明朝"/>
                          <w:b w:val="1"/>
                          <w:spacing w:val="-10"/>
                          <w:sz w:val="20"/>
                        </w:rPr>
                        <w:t>t</w:t>
                      </w:r>
                      <w:r>
                        <w:rPr>
                          <w:rFonts w:hint="eastAsia" w:ascii="ＭＳ 明朝" w:hAnsi="ＭＳ 明朝" w:eastAsia="ＭＳ 明朝"/>
                          <w:b w:val="1"/>
                          <w:spacing w:val="-10"/>
                          <w:sz w:val="20"/>
                        </w:rPr>
                        <w:t>〕</w:t>
                      </w:r>
                      <w:r>
                        <w:rPr>
                          <w:rFonts w:hint="eastAsia" w:ascii="ＭＳ 明朝" w:hAnsi="ＭＳ 明朝" w:eastAsia="ＭＳ 明朝"/>
                          <w:spacing w:val="-10"/>
                          <w:sz w:val="20"/>
                        </w:rPr>
                        <w:t>＝半壊棟数〔棟〕×</w:t>
                      </w:r>
                      <w:r>
                        <w:rPr>
                          <w:rFonts w:hint="eastAsia" w:ascii="ＭＳ 明朝" w:hAnsi="ＭＳ 明朝" w:eastAsia="ＭＳ 明朝"/>
                          <w:spacing w:val="-10"/>
                          <w:sz w:val="20"/>
                        </w:rPr>
                        <w:t xml:space="preserve"> 2</w:t>
                      </w:r>
                      <w:r>
                        <w:rPr>
                          <w:rFonts w:hint="default" w:ascii="ＭＳ 明朝" w:hAnsi="ＭＳ 明朝" w:eastAsia="ＭＳ 明朝"/>
                          <w:spacing w:val="-10"/>
                          <w:sz w:val="20"/>
                        </w:rPr>
                        <w:t>3</w:t>
                      </w:r>
                      <w:r>
                        <w:rPr>
                          <w:rFonts w:hint="eastAsia" w:ascii="ＭＳ 明朝" w:hAnsi="ＭＳ 明朝" w:eastAsia="ＭＳ 明朝"/>
                          <w:spacing w:val="-10"/>
                          <w:sz w:val="20"/>
                        </w:rPr>
                        <w:t>〔</w:t>
                      </w:r>
                      <w:r>
                        <w:rPr>
                          <w:rFonts w:hint="eastAsia" w:ascii="ＭＳ 明朝" w:hAnsi="ＭＳ 明朝" w:eastAsia="ＭＳ 明朝"/>
                          <w:spacing w:val="-10"/>
                          <w:sz w:val="20"/>
                        </w:rPr>
                        <w:t>t</w:t>
                      </w:r>
                      <w:r>
                        <w:rPr>
                          <w:rFonts w:hint="default" w:ascii="ＭＳ 明朝" w:hAnsi="ＭＳ 明朝" w:eastAsia="ＭＳ 明朝"/>
                          <w:spacing w:val="-10"/>
                          <w:sz w:val="20"/>
                        </w:rPr>
                        <w:t>/</w:t>
                      </w:r>
                      <w:r>
                        <w:rPr>
                          <w:rFonts w:hint="eastAsia" w:ascii="ＭＳ 明朝" w:hAnsi="ＭＳ 明朝" w:eastAsia="ＭＳ 明朝"/>
                          <w:spacing w:val="-10"/>
                          <w:sz w:val="20"/>
                        </w:rPr>
                        <w:t>棟〕</w:t>
                      </w:r>
                    </w:p>
                    <w:p>
                      <w:pPr>
                        <w:pStyle w:val="15"/>
                        <w:spacing w:before="10" w:beforeLines="0" w:beforeAutospacing="0"/>
                        <w:ind w:left="2520" w:firstLine="839" w:firstLineChars="466"/>
                        <w:rPr>
                          <w:rFonts w:hint="default" w:ascii="ＭＳ 明朝" w:hAnsi="ＭＳ 明朝" w:eastAsia="ＭＳ 明朝"/>
                          <w:spacing w:val="-10"/>
                          <w:sz w:val="20"/>
                        </w:rPr>
                      </w:pPr>
                    </w:p>
                    <w:p>
                      <w:pPr>
                        <w:pStyle w:val="15"/>
                        <w:spacing w:before="10" w:beforeLines="0" w:beforeAutospacing="0"/>
                        <w:ind w:firstLine="284" w:firstLineChars="157"/>
                        <w:rPr>
                          <w:rFonts w:hint="default" w:ascii="ＭＳ 明朝" w:hAnsi="ＭＳ 明朝" w:eastAsia="ＭＳ 明朝"/>
                          <w:spacing w:val="-10"/>
                          <w:sz w:val="20"/>
                        </w:rPr>
                      </w:pPr>
                      <w:r>
                        <w:rPr>
                          <w:rFonts w:hint="eastAsia" w:ascii="ＭＳ 明朝" w:hAnsi="ＭＳ 明朝" w:eastAsia="ＭＳ 明朝"/>
                          <w:b w:val="1"/>
                          <w:spacing w:val="-10"/>
                          <w:sz w:val="20"/>
                        </w:rPr>
                        <w:t>・焼失</w:t>
                      </w:r>
                      <w:r>
                        <w:rPr>
                          <w:rFonts w:hint="eastAsia" w:ascii="ＭＳ 明朝" w:hAnsi="ＭＳ 明朝" w:eastAsia="ＭＳ 明朝"/>
                          <w:b w:val="1"/>
                          <w:spacing w:val="-10"/>
                          <w:sz w:val="20"/>
                        </w:rPr>
                        <w:t>(</w:t>
                      </w:r>
                      <w:r>
                        <w:rPr>
                          <w:rFonts w:hint="eastAsia" w:ascii="ＭＳ 明朝" w:hAnsi="ＭＳ 明朝" w:eastAsia="ＭＳ 明朝"/>
                          <w:b w:val="1"/>
                          <w:spacing w:val="-10"/>
                          <w:sz w:val="20"/>
                        </w:rPr>
                        <w:t>木造</w:t>
                      </w:r>
                      <w:r>
                        <w:rPr>
                          <w:rFonts w:hint="default" w:ascii="ＭＳ 明朝" w:hAnsi="ＭＳ 明朝" w:eastAsia="ＭＳ 明朝"/>
                          <w:b w:val="1"/>
                          <w:spacing w:val="-10"/>
                          <w:sz w:val="20"/>
                        </w:rPr>
                        <w:t>)</w:t>
                      </w:r>
                      <w:r>
                        <w:rPr>
                          <w:rFonts w:hint="eastAsia" w:ascii="ＭＳ 明朝" w:hAnsi="ＭＳ 明朝" w:eastAsia="ＭＳ 明朝"/>
                          <w:b w:val="1"/>
                          <w:spacing w:val="-10"/>
                          <w:sz w:val="20"/>
                        </w:rPr>
                        <w:t>による災害廃棄物発生量〔</w:t>
                      </w:r>
                      <w:r>
                        <w:rPr>
                          <w:rFonts w:hint="eastAsia" w:ascii="ＭＳ 明朝" w:hAnsi="ＭＳ 明朝" w:eastAsia="ＭＳ 明朝"/>
                          <w:b w:val="1"/>
                          <w:spacing w:val="-10"/>
                          <w:sz w:val="20"/>
                        </w:rPr>
                        <w:t>t</w:t>
                      </w:r>
                      <w:r>
                        <w:rPr>
                          <w:rFonts w:hint="eastAsia" w:ascii="ＭＳ 明朝" w:hAnsi="ＭＳ 明朝" w:eastAsia="ＭＳ 明朝"/>
                          <w:b w:val="1"/>
                          <w:spacing w:val="-10"/>
                          <w:sz w:val="20"/>
                        </w:rPr>
                        <w:t>〕</w:t>
                      </w:r>
                      <w:r>
                        <w:rPr>
                          <w:rFonts w:hint="eastAsia" w:ascii="ＭＳ 明朝" w:hAnsi="ＭＳ 明朝" w:eastAsia="ＭＳ 明朝"/>
                          <w:spacing w:val="-10"/>
                          <w:sz w:val="20"/>
                        </w:rPr>
                        <w:t>＝焼失</w:t>
                      </w:r>
                      <w:r>
                        <w:rPr>
                          <w:rFonts w:hint="eastAsia" w:ascii="ＭＳ 明朝" w:hAnsi="ＭＳ 明朝" w:eastAsia="ＭＳ 明朝"/>
                          <w:spacing w:val="-10"/>
                          <w:sz w:val="20"/>
                        </w:rPr>
                        <w:t>(</w:t>
                      </w:r>
                      <w:r>
                        <w:rPr>
                          <w:rFonts w:hint="eastAsia" w:ascii="ＭＳ 明朝" w:hAnsi="ＭＳ 明朝" w:eastAsia="ＭＳ 明朝"/>
                          <w:spacing w:val="-10"/>
                          <w:sz w:val="20"/>
                        </w:rPr>
                        <w:t>木造</w:t>
                      </w:r>
                      <w:r>
                        <w:rPr>
                          <w:rFonts w:hint="default" w:ascii="ＭＳ 明朝" w:hAnsi="ＭＳ 明朝" w:eastAsia="ＭＳ 明朝"/>
                          <w:spacing w:val="-10"/>
                          <w:sz w:val="20"/>
                        </w:rPr>
                        <w:t>)</w:t>
                      </w:r>
                      <w:r>
                        <w:rPr>
                          <w:rFonts w:hint="eastAsia" w:ascii="ＭＳ 明朝" w:hAnsi="ＭＳ 明朝" w:eastAsia="ＭＳ 明朝"/>
                          <w:spacing w:val="-10"/>
                          <w:sz w:val="20"/>
                        </w:rPr>
                        <w:t>棟数〔棟〕×</w:t>
                      </w:r>
                      <w:r>
                        <w:rPr>
                          <w:rFonts w:hint="eastAsia" w:ascii="ＭＳ 明朝" w:hAnsi="ＭＳ 明朝" w:eastAsia="ＭＳ 明朝"/>
                          <w:spacing w:val="-10"/>
                          <w:sz w:val="20"/>
                        </w:rPr>
                        <w:t xml:space="preserve"> </w:t>
                      </w:r>
                      <w:r>
                        <w:rPr>
                          <w:rFonts w:hint="default" w:ascii="ＭＳ 明朝" w:hAnsi="ＭＳ 明朝" w:eastAsia="ＭＳ 明朝"/>
                          <w:spacing w:val="-10"/>
                          <w:sz w:val="20"/>
                        </w:rPr>
                        <w:t>78</w:t>
                      </w:r>
                      <w:r>
                        <w:rPr>
                          <w:rFonts w:hint="eastAsia" w:ascii="ＭＳ 明朝" w:hAnsi="ＭＳ 明朝" w:eastAsia="ＭＳ 明朝"/>
                          <w:spacing w:val="-10"/>
                          <w:sz w:val="20"/>
                        </w:rPr>
                        <w:t>〔</w:t>
                      </w:r>
                      <w:r>
                        <w:rPr>
                          <w:rFonts w:hint="eastAsia" w:ascii="ＭＳ 明朝" w:hAnsi="ＭＳ 明朝" w:eastAsia="ＭＳ 明朝"/>
                          <w:spacing w:val="-10"/>
                          <w:sz w:val="20"/>
                        </w:rPr>
                        <w:t>t</w:t>
                      </w:r>
                      <w:r>
                        <w:rPr>
                          <w:rFonts w:hint="default" w:ascii="ＭＳ 明朝" w:hAnsi="ＭＳ 明朝" w:eastAsia="ＭＳ 明朝"/>
                          <w:spacing w:val="-10"/>
                          <w:sz w:val="20"/>
                        </w:rPr>
                        <w:t>/</w:t>
                      </w:r>
                      <w:r>
                        <w:rPr>
                          <w:rFonts w:hint="eastAsia" w:ascii="ＭＳ 明朝" w:hAnsi="ＭＳ 明朝" w:eastAsia="ＭＳ 明朝"/>
                          <w:spacing w:val="-10"/>
                          <w:sz w:val="20"/>
                        </w:rPr>
                        <w:t>棟〕</w:t>
                      </w:r>
                    </w:p>
                    <w:p>
                      <w:pPr>
                        <w:pStyle w:val="15"/>
                        <w:spacing w:before="10" w:beforeLines="0" w:beforeAutospacing="0"/>
                        <w:ind w:firstLine="283" w:firstLineChars="157"/>
                        <w:rPr>
                          <w:rFonts w:hint="default" w:ascii="ＭＳ 明朝" w:hAnsi="ＭＳ 明朝" w:eastAsia="ＭＳ 明朝"/>
                          <w:spacing w:val="-10"/>
                          <w:sz w:val="20"/>
                        </w:rPr>
                      </w:pPr>
                    </w:p>
                    <w:p>
                      <w:pPr>
                        <w:pStyle w:val="15"/>
                        <w:spacing w:before="10" w:beforeLines="0" w:beforeAutospacing="0" w:line="276" w:lineRule="auto"/>
                        <w:ind w:left="227" w:leftChars="103"/>
                        <w:rPr>
                          <w:rFonts w:hint="default" w:ascii="ＭＳ 明朝" w:hAnsi="ＭＳ 明朝" w:eastAsia="ＭＳ 明朝"/>
                          <w:spacing w:val="-10"/>
                          <w:sz w:val="20"/>
                        </w:rPr>
                      </w:pPr>
                      <w:r>
                        <w:rPr>
                          <w:rFonts w:hint="eastAsia" w:ascii="ＭＳ 明朝" w:hAnsi="ＭＳ 明朝" w:eastAsia="ＭＳ 明朝"/>
                          <w:spacing w:val="-10"/>
                          <w:sz w:val="18"/>
                        </w:rPr>
                        <w:t>（平成</w:t>
                      </w:r>
                      <w:r>
                        <w:rPr>
                          <w:rFonts w:hint="eastAsia" w:ascii="ＭＳ 明朝" w:hAnsi="ＭＳ 明朝" w:eastAsia="ＭＳ 明朝"/>
                          <w:spacing w:val="-10"/>
                          <w:sz w:val="18"/>
                        </w:rPr>
                        <w:t>25</w:t>
                      </w:r>
                      <w:r>
                        <w:rPr>
                          <w:rFonts w:hint="eastAsia" w:ascii="ＭＳ 明朝" w:hAnsi="ＭＳ 明朝" w:eastAsia="ＭＳ 明朝"/>
                          <w:spacing w:val="-10"/>
                          <w:sz w:val="18"/>
                        </w:rPr>
                        <w:t>年度沖縄県地震被害想定調査では火災による消失棟数の木造・非木造割合が示されていないため、火災消失棟数を全て「木造家屋」として算出した</w:t>
                      </w:r>
                      <w:r>
                        <w:rPr>
                          <w:rFonts w:hint="eastAsia" w:ascii="ＭＳ 明朝" w:hAnsi="ＭＳ 明朝" w:eastAsia="ＭＳ 明朝"/>
                          <w:spacing w:val="-10"/>
                          <w:sz w:val="20"/>
                        </w:rPr>
                        <w:t>）</w:t>
                      </w:r>
                      <w:bookmarkStart w:id="39" w:name="_Hlk32658579"/>
                    </w:p>
                    <w:p>
                      <w:pPr>
                        <w:pStyle w:val="15"/>
                        <w:spacing w:before="10" w:beforeLines="0" w:beforeAutospacing="0"/>
                        <w:ind w:firstLine="284" w:firstLineChars="157"/>
                        <w:rPr>
                          <w:rFonts w:hint="default" w:ascii="ＭＳ 明朝" w:hAnsi="ＭＳ 明朝" w:eastAsia="ＭＳ 明朝"/>
                          <w:b w:val="1"/>
                          <w:spacing w:val="-10"/>
                          <w:sz w:val="20"/>
                        </w:rPr>
                      </w:pPr>
                      <w:r>
                        <w:rPr>
                          <w:rFonts w:hint="eastAsia" w:ascii="ＭＳ 明朝" w:hAnsi="ＭＳ 明朝" w:eastAsia="ＭＳ 明朝"/>
                          <w:b w:val="1"/>
                          <w:spacing w:val="-10"/>
                          <w:sz w:val="20"/>
                        </w:rPr>
                        <w:t>・床上浸水による災害廃棄物発生量〔</w:t>
                      </w:r>
                      <w:r>
                        <w:rPr>
                          <w:rFonts w:hint="eastAsia" w:ascii="ＭＳ 明朝" w:hAnsi="ＭＳ 明朝" w:eastAsia="ＭＳ 明朝"/>
                          <w:b w:val="1"/>
                          <w:spacing w:val="-10"/>
                          <w:sz w:val="20"/>
                        </w:rPr>
                        <w:t>t</w:t>
                      </w:r>
                      <w:r>
                        <w:rPr>
                          <w:rFonts w:hint="eastAsia" w:ascii="ＭＳ 明朝" w:hAnsi="ＭＳ 明朝" w:eastAsia="ＭＳ 明朝"/>
                          <w:b w:val="1"/>
                          <w:spacing w:val="-10"/>
                          <w:sz w:val="20"/>
                        </w:rPr>
                        <w:t>〕</w:t>
                      </w:r>
                      <w:r>
                        <w:rPr>
                          <w:rFonts w:hint="eastAsia" w:ascii="ＭＳ 明朝" w:hAnsi="ＭＳ 明朝" w:eastAsia="ＭＳ 明朝"/>
                          <w:spacing w:val="-10"/>
                          <w:sz w:val="20"/>
                        </w:rPr>
                        <w:t>＝床上浸水世帯数〔世帯〕×</w:t>
                      </w:r>
                      <w:r>
                        <w:rPr>
                          <w:rFonts w:hint="eastAsia" w:ascii="ＭＳ 明朝" w:hAnsi="ＭＳ 明朝" w:eastAsia="ＭＳ 明朝"/>
                          <w:spacing w:val="-10"/>
                          <w:sz w:val="20"/>
                        </w:rPr>
                        <w:t xml:space="preserve"> 4.6</w:t>
                      </w:r>
                      <w:r>
                        <w:rPr>
                          <w:rFonts w:hint="eastAsia" w:ascii="ＭＳ 明朝" w:hAnsi="ＭＳ 明朝" w:eastAsia="ＭＳ 明朝"/>
                          <w:spacing w:val="-10"/>
                          <w:sz w:val="20"/>
                        </w:rPr>
                        <w:t>〔</w:t>
                      </w:r>
                      <w:r>
                        <w:rPr>
                          <w:rFonts w:hint="eastAsia" w:ascii="ＭＳ 明朝" w:hAnsi="ＭＳ 明朝" w:eastAsia="ＭＳ 明朝"/>
                          <w:spacing w:val="-10"/>
                          <w:sz w:val="20"/>
                        </w:rPr>
                        <w:t>t</w:t>
                      </w:r>
                      <w:r>
                        <w:rPr>
                          <w:rFonts w:hint="default" w:ascii="ＭＳ 明朝" w:hAnsi="ＭＳ 明朝" w:eastAsia="ＭＳ 明朝"/>
                          <w:spacing w:val="-10"/>
                          <w:sz w:val="20"/>
                        </w:rPr>
                        <w:t>/</w:t>
                      </w:r>
                      <w:r>
                        <w:rPr>
                          <w:rFonts w:hint="eastAsia" w:ascii="ＭＳ 明朝" w:hAnsi="ＭＳ 明朝" w:eastAsia="ＭＳ 明朝"/>
                          <w:spacing w:val="-10"/>
                          <w:sz w:val="20"/>
                        </w:rPr>
                        <w:t>世帯〕</w:t>
                      </w:r>
                    </w:p>
                    <w:p>
                      <w:pPr>
                        <w:pStyle w:val="0"/>
                        <w:spacing w:before="10" w:beforeLines="0" w:beforeAutospacing="0"/>
                        <w:ind w:firstLine="284" w:firstLineChars="157"/>
                        <w:rPr>
                          <w:rFonts w:hint="default" w:ascii="ＭＳ 明朝" w:hAnsi="ＭＳ 明朝" w:eastAsia="ＭＳ 明朝"/>
                          <w:b w:val="1"/>
                          <w:spacing w:val="-10"/>
                          <w:sz w:val="20"/>
                        </w:rPr>
                      </w:pPr>
                    </w:p>
                    <w:p>
                      <w:pPr>
                        <w:pStyle w:val="15"/>
                        <w:spacing w:before="10" w:beforeLines="0" w:beforeAutospacing="0"/>
                        <w:ind w:firstLine="284" w:firstLineChars="157"/>
                        <w:rPr>
                          <w:rFonts w:hint="default" w:ascii="ＭＳ 明朝" w:hAnsi="ＭＳ 明朝" w:eastAsia="ＭＳ 明朝"/>
                          <w:b w:val="1"/>
                          <w:spacing w:val="-10"/>
                          <w:sz w:val="20"/>
                        </w:rPr>
                      </w:pPr>
                      <w:r>
                        <w:rPr>
                          <w:rFonts w:hint="eastAsia" w:ascii="ＭＳ 明朝" w:hAnsi="ＭＳ 明朝" w:eastAsia="ＭＳ 明朝"/>
                          <w:b w:val="1"/>
                          <w:spacing w:val="-10"/>
                          <w:sz w:val="20"/>
                        </w:rPr>
                        <w:t>・床下浸水による災害廃棄物発生量〔</w:t>
                      </w:r>
                      <w:r>
                        <w:rPr>
                          <w:rFonts w:hint="eastAsia" w:ascii="ＭＳ 明朝" w:hAnsi="ＭＳ 明朝" w:eastAsia="ＭＳ 明朝"/>
                          <w:b w:val="1"/>
                          <w:spacing w:val="-10"/>
                          <w:sz w:val="20"/>
                        </w:rPr>
                        <w:t>t</w:t>
                      </w:r>
                      <w:r>
                        <w:rPr>
                          <w:rFonts w:hint="eastAsia" w:ascii="ＭＳ 明朝" w:hAnsi="ＭＳ 明朝" w:eastAsia="ＭＳ 明朝"/>
                          <w:b w:val="1"/>
                          <w:spacing w:val="-10"/>
                          <w:sz w:val="20"/>
                        </w:rPr>
                        <w:t>〕</w:t>
                      </w:r>
                      <w:r>
                        <w:rPr>
                          <w:rFonts w:hint="eastAsia" w:ascii="ＭＳ 明朝" w:hAnsi="ＭＳ 明朝" w:eastAsia="ＭＳ 明朝"/>
                          <w:spacing w:val="-10"/>
                          <w:sz w:val="20"/>
                        </w:rPr>
                        <w:t>＝床下浸水世帯数〔世帯〕×</w:t>
                      </w:r>
                      <w:r>
                        <w:rPr>
                          <w:rFonts w:hint="eastAsia" w:ascii="ＭＳ 明朝" w:hAnsi="ＭＳ 明朝" w:eastAsia="ＭＳ 明朝"/>
                          <w:spacing w:val="-10"/>
                          <w:sz w:val="20"/>
                        </w:rPr>
                        <w:t xml:space="preserve"> 0.62</w:t>
                      </w:r>
                      <w:r>
                        <w:rPr>
                          <w:rFonts w:hint="eastAsia" w:ascii="ＭＳ 明朝" w:hAnsi="ＭＳ 明朝" w:eastAsia="ＭＳ 明朝"/>
                          <w:spacing w:val="-10"/>
                          <w:sz w:val="20"/>
                        </w:rPr>
                        <w:t>〔</w:t>
                      </w:r>
                      <w:r>
                        <w:rPr>
                          <w:rFonts w:hint="eastAsia" w:ascii="ＭＳ 明朝" w:hAnsi="ＭＳ 明朝" w:eastAsia="ＭＳ 明朝"/>
                          <w:spacing w:val="-10"/>
                          <w:sz w:val="20"/>
                        </w:rPr>
                        <w:t>t</w:t>
                      </w:r>
                      <w:r>
                        <w:rPr>
                          <w:rFonts w:hint="default" w:ascii="ＭＳ 明朝" w:hAnsi="ＭＳ 明朝" w:eastAsia="ＭＳ 明朝"/>
                          <w:spacing w:val="-10"/>
                          <w:sz w:val="20"/>
                        </w:rPr>
                        <w:t>/</w:t>
                      </w:r>
                      <w:r>
                        <w:rPr>
                          <w:rFonts w:hint="eastAsia" w:ascii="ＭＳ 明朝" w:hAnsi="ＭＳ 明朝" w:eastAsia="ＭＳ 明朝"/>
                          <w:spacing w:val="-10"/>
                          <w:sz w:val="20"/>
                        </w:rPr>
                        <w:t>世帯〕</w:t>
                      </w:r>
                    </w:p>
                    <w:p>
                      <w:pPr>
                        <w:pStyle w:val="15"/>
                        <w:spacing w:before="10" w:beforeLines="0" w:beforeAutospacing="0"/>
                        <w:ind w:firstLine="284" w:firstLineChars="157"/>
                        <w:rPr>
                          <w:rFonts w:hint="default" w:ascii="ＭＳ 明朝" w:hAnsi="ＭＳ 明朝" w:eastAsia="ＭＳ 明朝"/>
                          <w:b w:val="1"/>
                          <w:spacing w:val="-10"/>
                          <w:sz w:val="20"/>
                        </w:rPr>
                      </w:pPr>
                    </w:p>
                    <w:p>
                      <w:pPr>
                        <w:pStyle w:val="15"/>
                        <w:spacing w:before="10" w:beforeLines="0" w:beforeAutospacing="0" w:line="276" w:lineRule="auto"/>
                        <w:ind w:left="227" w:leftChars="103"/>
                        <w:rPr>
                          <w:rFonts w:hint="default" w:ascii="ＭＳ 明朝" w:hAnsi="ＭＳ 明朝" w:eastAsia="ＭＳ 明朝"/>
                          <w:sz w:val="18"/>
                        </w:rPr>
                      </w:pPr>
                      <w:r>
                        <w:rPr>
                          <w:rFonts w:hint="eastAsia" w:ascii="ＭＳ 明朝" w:hAnsi="ＭＳ 明朝" w:eastAsia="ＭＳ 明朝"/>
                          <w:sz w:val="18"/>
                        </w:rPr>
                        <w:t>出典：災害廃棄物対策指針</w:t>
                      </w:r>
                    </w:p>
                    <w:p>
                      <w:pPr>
                        <w:pStyle w:val="15"/>
                        <w:spacing w:before="10" w:beforeLines="0" w:beforeAutospacing="0" w:line="276" w:lineRule="auto"/>
                        <w:ind w:left="227" w:leftChars="103"/>
                        <w:rPr>
                          <w:rFonts w:hint="default" w:ascii="ＭＳ 明朝" w:hAnsi="ＭＳ 明朝" w:eastAsia="ＭＳ 明朝"/>
                          <w:sz w:val="18"/>
                        </w:rPr>
                      </w:pPr>
                      <w:bookmarkEnd w:id="39"/>
                    </w:p>
                    <w:p>
                      <w:pPr>
                        <w:pStyle w:val="15"/>
                        <w:spacing w:line="301" w:lineRule="exact"/>
                        <w:ind w:left="103"/>
                        <w:rPr>
                          <w:rFonts w:hint="default"/>
                          <w:sz w:val="21"/>
                        </w:rPr>
                      </w:pPr>
                      <w:r>
                        <w:rPr>
                          <w:rFonts w:hint="eastAsia"/>
                          <w:sz w:val="21"/>
                        </w:rPr>
                        <w:t>◆津波堆積物の発生量推計の例</w:t>
                      </w:r>
                      <w:r>
                        <w:rPr>
                          <w:rFonts w:hint="eastAsia"/>
                          <w:sz w:val="21"/>
                        </w:rPr>
                        <w:t>(</w:t>
                      </w:r>
                      <w:r>
                        <w:rPr>
                          <w:rFonts w:hint="eastAsia"/>
                          <w:sz w:val="21"/>
                        </w:rPr>
                        <w:t>参考</w:t>
                      </w:r>
                      <w:r>
                        <w:rPr>
                          <w:rFonts w:hint="eastAsia"/>
                          <w:sz w:val="21"/>
                        </w:rPr>
                        <w:t>)</w:t>
                      </w:r>
                    </w:p>
                    <w:p>
                      <w:pPr>
                        <w:pStyle w:val="15"/>
                        <w:rPr>
                          <w:rFonts w:hint="default"/>
                          <w:b w:val="1"/>
                          <w:sz w:val="12"/>
                        </w:rPr>
                      </w:pPr>
                    </w:p>
                    <w:p>
                      <w:pPr>
                        <w:pStyle w:val="15"/>
                        <w:spacing w:before="10" w:beforeLines="0" w:beforeAutospacing="0"/>
                        <w:ind w:firstLine="284" w:firstLineChars="157"/>
                        <w:rPr>
                          <w:rFonts w:hint="default" w:ascii="ＭＳ 明朝" w:hAnsi="ＭＳ 明朝" w:eastAsia="ＭＳ 明朝"/>
                          <w:spacing w:val="-10"/>
                          <w:sz w:val="20"/>
                        </w:rPr>
                      </w:pPr>
                      <w:r>
                        <w:rPr>
                          <w:rFonts w:hint="eastAsia" w:ascii="ＭＳ 明朝" w:hAnsi="ＭＳ 明朝" w:eastAsia="ＭＳ 明朝"/>
                          <w:b w:val="1"/>
                          <w:spacing w:val="-10"/>
                          <w:sz w:val="20"/>
                        </w:rPr>
                        <w:t>・津波堆積物発生量〔</w:t>
                      </w:r>
                      <w:r>
                        <w:rPr>
                          <w:rFonts w:hint="eastAsia" w:ascii="ＭＳ 明朝" w:hAnsi="ＭＳ 明朝" w:eastAsia="ＭＳ 明朝"/>
                          <w:b w:val="1"/>
                          <w:spacing w:val="-10"/>
                          <w:sz w:val="20"/>
                        </w:rPr>
                        <w:t>t</w:t>
                      </w:r>
                      <w:r>
                        <w:rPr>
                          <w:rFonts w:hint="eastAsia" w:ascii="ＭＳ 明朝" w:hAnsi="ＭＳ 明朝" w:eastAsia="ＭＳ 明朝"/>
                          <w:b w:val="1"/>
                          <w:spacing w:val="-10"/>
                          <w:sz w:val="20"/>
                        </w:rPr>
                        <w:t>〕</w:t>
                      </w:r>
                      <w:r>
                        <w:rPr>
                          <w:rFonts w:hint="eastAsia" w:ascii="ＭＳ 明朝" w:hAnsi="ＭＳ 明朝" w:eastAsia="ＭＳ 明朝"/>
                          <w:spacing w:val="-10"/>
                          <w:sz w:val="20"/>
                        </w:rPr>
                        <w:t>＝津波浸水面積〔</w:t>
                      </w:r>
                      <w:r>
                        <w:rPr>
                          <w:rFonts w:hint="eastAsia" w:ascii="ＭＳ 明朝" w:hAnsi="ＭＳ 明朝" w:eastAsia="ＭＳ 明朝"/>
                          <w:spacing w:val="-10"/>
                          <w:sz w:val="20"/>
                        </w:rPr>
                        <w:t>k</w:t>
                      </w:r>
                      <w:r>
                        <w:rPr>
                          <w:rFonts w:hint="default" w:ascii="ＭＳ 明朝" w:hAnsi="ＭＳ 明朝" w:eastAsia="ＭＳ 明朝"/>
                          <w:spacing w:val="-10"/>
                          <w:sz w:val="20"/>
                        </w:rPr>
                        <w:t>m</w:t>
                      </w:r>
                      <w:r>
                        <w:rPr>
                          <w:rFonts w:hint="default" w:ascii="ＭＳ 明朝" w:hAnsi="ＭＳ 明朝" w:eastAsia="ＭＳ 明朝"/>
                          <w:spacing w:val="-10"/>
                          <w:sz w:val="20"/>
                          <w:vertAlign w:val="superscript"/>
                        </w:rPr>
                        <w:t>2</w:t>
                      </w:r>
                      <w:r>
                        <w:rPr>
                          <w:rFonts w:hint="eastAsia" w:ascii="ＭＳ 明朝" w:hAnsi="ＭＳ 明朝" w:eastAsia="ＭＳ 明朝"/>
                          <w:spacing w:val="-10"/>
                          <w:sz w:val="20"/>
                        </w:rPr>
                        <w:t>〕×</w:t>
                      </w:r>
                      <w:r>
                        <w:rPr>
                          <w:rFonts w:hint="eastAsia" w:ascii="ＭＳ 明朝" w:hAnsi="ＭＳ 明朝" w:eastAsia="ＭＳ 明朝"/>
                          <w:spacing w:val="-10"/>
                          <w:sz w:val="20"/>
                        </w:rPr>
                        <w:t>1</w:t>
                      </w:r>
                      <w:r>
                        <w:rPr>
                          <w:rFonts w:hint="default" w:ascii="ＭＳ 明朝" w:hAnsi="ＭＳ 明朝" w:eastAsia="ＭＳ 明朝"/>
                          <w:spacing w:val="-10"/>
                          <w:sz w:val="20"/>
                        </w:rPr>
                        <w:t>0</w:t>
                      </w:r>
                      <w:r>
                        <w:rPr>
                          <w:rFonts w:hint="eastAsia" w:ascii="ＭＳ 明朝" w:hAnsi="ＭＳ 明朝" w:eastAsia="ＭＳ 明朝"/>
                          <w:spacing w:val="-10"/>
                          <w:sz w:val="20"/>
                          <w:vertAlign w:val="superscript"/>
                        </w:rPr>
                        <w:t>６</w:t>
                      </w:r>
                      <w:r>
                        <w:rPr>
                          <w:rFonts w:hint="eastAsia" w:ascii="ＭＳ 明朝" w:hAnsi="ＭＳ 明朝" w:eastAsia="ＭＳ 明朝"/>
                          <w:spacing w:val="-10"/>
                          <w:sz w:val="20"/>
                        </w:rPr>
                        <w:t>×</w:t>
                      </w:r>
                      <w:r>
                        <w:rPr>
                          <w:rFonts w:hint="eastAsia" w:ascii="ＭＳ 明朝" w:hAnsi="ＭＳ 明朝" w:eastAsia="ＭＳ 明朝"/>
                          <w:spacing w:val="-10"/>
                          <w:sz w:val="20"/>
                        </w:rPr>
                        <w:t>0</w:t>
                      </w:r>
                      <w:r>
                        <w:rPr>
                          <w:rFonts w:hint="default" w:ascii="ＭＳ 明朝" w:hAnsi="ＭＳ 明朝" w:eastAsia="ＭＳ 明朝"/>
                          <w:spacing w:val="-10"/>
                          <w:sz w:val="20"/>
                        </w:rPr>
                        <w:t>.024</w:t>
                      </w:r>
                      <w:r>
                        <w:rPr>
                          <w:rFonts w:hint="eastAsia" w:ascii="ＭＳ 明朝" w:hAnsi="ＭＳ 明朝" w:eastAsia="ＭＳ 明朝"/>
                          <w:spacing w:val="-10"/>
                          <w:sz w:val="20"/>
                        </w:rPr>
                        <w:t>〔</w:t>
                      </w:r>
                      <w:r>
                        <w:rPr>
                          <w:rFonts w:hint="eastAsia" w:ascii="ＭＳ 明朝" w:hAnsi="ＭＳ 明朝" w:eastAsia="ＭＳ 明朝"/>
                          <w:spacing w:val="-10"/>
                          <w:sz w:val="20"/>
                        </w:rPr>
                        <w:t>t</w:t>
                      </w:r>
                      <w:r>
                        <w:rPr>
                          <w:rFonts w:hint="default" w:ascii="ＭＳ 明朝" w:hAnsi="ＭＳ 明朝" w:eastAsia="ＭＳ 明朝"/>
                          <w:spacing w:val="-10"/>
                          <w:sz w:val="20"/>
                        </w:rPr>
                        <w:t>/</w:t>
                      </w:r>
                      <w:r>
                        <w:rPr>
                          <w:rFonts w:hint="eastAsia" w:ascii="ＭＳ 明朝" w:hAnsi="ＭＳ 明朝" w:eastAsia="ＭＳ 明朝"/>
                          <w:spacing w:val="-10"/>
                          <w:sz w:val="20"/>
                        </w:rPr>
                        <w:t>m</w:t>
                      </w:r>
                      <w:r>
                        <w:rPr>
                          <w:rFonts w:hint="default" w:ascii="ＭＳ 明朝" w:hAnsi="ＭＳ 明朝" w:eastAsia="ＭＳ 明朝"/>
                          <w:spacing w:val="-10"/>
                          <w:sz w:val="20"/>
                          <w:vertAlign w:val="superscript"/>
                        </w:rPr>
                        <w:t>2</w:t>
                      </w:r>
                      <w:r>
                        <w:rPr>
                          <w:rFonts w:hint="eastAsia" w:ascii="ＭＳ 明朝" w:hAnsi="ＭＳ 明朝" w:eastAsia="ＭＳ 明朝"/>
                          <w:spacing w:val="-10"/>
                          <w:sz w:val="20"/>
                        </w:rPr>
                        <w:t>〕</w:t>
                      </w:r>
                    </w:p>
                    <w:p>
                      <w:pPr>
                        <w:pStyle w:val="15"/>
                        <w:spacing w:before="10" w:beforeLines="0" w:beforeAutospacing="0"/>
                        <w:ind w:firstLine="283" w:firstLineChars="157"/>
                        <w:rPr>
                          <w:rFonts w:hint="default" w:ascii="ＭＳ 明朝" w:hAnsi="ＭＳ 明朝" w:eastAsia="ＭＳ 明朝"/>
                          <w:spacing w:val="-10"/>
                          <w:sz w:val="20"/>
                        </w:rPr>
                      </w:pPr>
                    </w:p>
                    <w:p>
                      <w:pPr>
                        <w:pStyle w:val="15"/>
                        <w:ind w:firstLine="180" w:firstLineChars="100"/>
                        <w:rPr>
                          <w:rFonts w:hint="default" w:ascii="ＭＳ 明朝" w:hAnsi="ＭＳ 明朝" w:eastAsia="ＭＳ 明朝"/>
                          <w:sz w:val="16"/>
                        </w:rPr>
                      </w:pPr>
                      <w:r>
                        <w:rPr>
                          <w:rFonts w:hint="eastAsia" w:ascii="ＭＳ 明朝" w:hAnsi="ＭＳ 明朝" w:eastAsia="ＭＳ 明朝"/>
                          <w:sz w:val="18"/>
                        </w:rPr>
                        <w:t>出典：災害廃棄物対策指針及</w:t>
                      </w:r>
                    </w:p>
                    <w:p>
                      <w:pPr>
                        <w:pStyle w:val="15"/>
                        <w:spacing w:before="10" w:beforeLines="0" w:beforeAutospacing="0" w:line="276" w:lineRule="auto"/>
                        <w:ind w:left="227" w:leftChars="103"/>
                        <w:rPr>
                          <w:rFonts w:hint="default" w:ascii="ＭＳ 明朝" w:hAnsi="ＭＳ 明朝" w:eastAsia="ＭＳ 明朝"/>
                          <w:spacing w:val="-10"/>
                          <w:sz w:val="20"/>
                        </w:rPr>
                      </w:pPr>
                    </w:p>
                  </w:txbxContent>
                </v:textbox>
                <v:imagedata o:title=""/>
                <w10:anchorlock/>
              </v:shape>
            </w:pict>
          </mc:Fallback>
        </mc:AlternateContent>
      </w:r>
    </w:p>
    <w:p>
      <w:pPr>
        <w:pStyle w:val="0"/>
        <w:widowControl w:val="1"/>
        <w:autoSpaceDE w:val="1"/>
        <w:autoSpaceDN w:val="1"/>
        <w:rPr>
          <w:rFonts w:hint="default" w:ascii="ＭＳ 明朝" w:hAnsi="ＭＳ 明朝" w:eastAsia="ＭＳ 明朝"/>
          <w:sz w:val="21"/>
        </w:rPr>
      </w:pPr>
      <w:r>
        <w:rPr>
          <w:rFonts w:hint="default" w:ascii="ＭＳ 明朝" w:hAnsi="ＭＳ 明朝" w:eastAsia="ＭＳ 明朝"/>
          <w:sz w:val="21"/>
        </w:rPr>
        <w:br w:type="page"/>
      </w:r>
    </w:p>
    <w:p>
      <w:pPr>
        <w:pStyle w:val="33"/>
        <w:jc w:val="center"/>
        <w:rPr>
          <w:rFonts w:hint="default" w:ascii="ＭＳ ゴシック" w:hAnsi="ＭＳ ゴシック"/>
        </w:rPr>
      </w:pPr>
      <w:r>
        <w:rPr>
          <w:rFonts w:hint="eastAsia" w:ascii="ＭＳ ゴシック" w:hAnsi="ＭＳ ゴシック"/>
        </w:rPr>
        <w:t>表１５　沖縄本島南部スラブ内地震での災害廃棄物発生量</w:t>
      </w:r>
    </w:p>
    <w:tbl>
      <w:tblPr>
        <w:tblStyle w:val="55"/>
        <w:tblW w:w="9305" w:type="dxa"/>
        <w:tblInd w:w="-5" w:type="dxa"/>
        <w:tblLayout w:type="fixed"/>
        <w:tblLook w:firstRow="1" w:lastRow="0" w:firstColumn="1" w:lastColumn="0" w:noHBand="0" w:noVBand="1" w:val="04A0"/>
      </w:tblPr>
      <w:tblGrid>
        <w:gridCol w:w="1701"/>
        <w:gridCol w:w="1701"/>
        <w:gridCol w:w="2835"/>
        <w:gridCol w:w="3068"/>
      </w:tblGrid>
      <w:tr>
        <w:trPr/>
        <w:tc>
          <w:tcPr>
            <w:tcW w:w="1701" w:type="dxa"/>
            <w:shd w:val="clear" w:color="auto" w:themeFill="background1" w:themeFillTint="FF" w:themeFillShade="D9"/>
            <w:vAlign w:val="top"/>
          </w:tcPr>
          <w:p>
            <w:pPr>
              <w:pStyle w:val="0"/>
              <w:jc w:val="center"/>
              <w:rPr>
                <w:rFonts w:hint="default" w:ascii="HGPｺﾞｼｯｸM" w:hAnsi="HGPｺﾞｼｯｸM" w:eastAsia="HGPｺﾞｼｯｸM"/>
                <w:sz w:val="20"/>
              </w:rPr>
            </w:pPr>
            <w:r>
              <w:rPr>
                <w:rFonts w:hint="eastAsia" w:ascii="HGPｺﾞｼｯｸM" w:hAnsi="HGPｺﾞｼｯｸM" w:eastAsia="HGPｺﾞｼｯｸM"/>
                <w:sz w:val="20"/>
              </w:rPr>
              <w:t>被災状況</w:t>
            </w:r>
          </w:p>
        </w:tc>
        <w:tc>
          <w:tcPr>
            <w:tcW w:w="1701" w:type="dxa"/>
            <w:shd w:val="clear" w:color="auto" w:themeFill="background1" w:themeFillTint="FF" w:themeFillShade="D9"/>
            <w:vAlign w:val="top"/>
          </w:tcPr>
          <w:p>
            <w:pPr>
              <w:pStyle w:val="0"/>
              <w:jc w:val="center"/>
              <w:rPr>
                <w:rFonts w:hint="default" w:ascii="HGPｺﾞｼｯｸM" w:hAnsi="HGPｺﾞｼｯｸM" w:eastAsia="HGPｺﾞｼｯｸM"/>
                <w:sz w:val="20"/>
              </w:rPr>
            </w:pPr>
            <w:r>
              <w:rPr>
                <w:rFonts w:hint="eastAsia" w:ascii="HGPｺﾞｼｯｸM" w:hAnsi="HGPｺﾞｼｯｸM" w:eastAsia="HGPｺﾞｼｯｸM"/>
                <w:sz w:val="20"/>
              </w:rPr>
              <w:t>被災棟数</w:t>
            </w:r>
          </w:p>
        </w:tc>
        <w:tc>
          <w:tcPr>
            <w:tcW w:w="2835" w:type="dxa"/>
            <w:shd w:val="clear" w:color="auto" w:themeFill="background1" w:themeFillTint="FF" w:themeFillShade="D9"/>
            <w:vAlign w:val="top"/>
          </w:tcPr>
          <w:p>
            <w:pPr>
              <w:pStyle w:val="0"/>
              <w:jc w:val="center"/>
              <w:rPr>
                <w:rFonts w:hint="default" w:ascii="HGPｺﾞｼｯｸM" w:hAnsi="HGPｺﾞｼｯｸM" w:eastAsia="HGPｺﾞｼｯｸM"/>
                <w:sz w:val="20"/>
              </w:rPr>
            </w:pPr>
            <w:r>
              <w:rPr>
                <w:rFonts w:hint="eastAsia" w:ascii="HGPｺﾞｼｯｸM" w:hAnsi="HGPｺﾞｼｯｸM" w:eastAsia="HGPｺﾞｼｯｸM"/>
                <w:sz w:val="20"/>
              </w:rPr>
              <w:t>発生原単位（</w:t>
            </w:r>
            <w:r>
              <w:rPr>
                <w:rFonts w:hint="eastAsia" w:ascii="HGPｺﾞｼｯｸM" w:hAnsi="HGPｺﾞｼｯｸM" w:eastAsia="HGPｺﾞｼｯｸM"/>
                <w:sz w:val="20"/>
              </w:rPr>
              <w:t>t/</w:t>
            </w:r>
            <w:r>
              <w:rPr>
                <w:rFonts w:hint="eastAsia" w:ascii="HGPｺﾞｼｯｸM" w:hAnsi="HGPｺﾞｼｯｸM" w:eastAsia="HGPｺﾞｼｯｸM"/>
                <w:sz w:val="20"/>
              </w:rPr>
              <w:t>棟）</w:t>
            </w:r>
          </w:p>
        </w:tc>
        <w:tc>
          <w:tcPr>
            <w:tcW w:w="3068" w:type="dxa"/>
            <w:shd w:val="clear" w:color="auto" w:themeFill="background1" w:themeFillTint="FF" w:themeFillShade="D9"/>
            <w:vAlign w:val="top"/>
          </w:tcPr>
          <w:p>
            <w:pPr>
              <w:pStyle w:val="0"/>
              <w:jc w:val="center"/>
              <w:rPr>
                <w:rFonts w:hint="default" w:ascii="HGPｺﾞｼｯｸM" w:hAnsi="HGPｺﾞｼｯｸM" w:eastAsia="HGPｺﾞｼｯｸM"/>
                <w:sz w:val="20"/>
              </w:rPr>
            </w:pPr>
            <w:r>
              <w:rPr>
                <w:rFonts w:hint="eastAsia" w:ascii="HGPｺﾞｼｯｸM" w:hAnsi="HGPｺﾞｼｯｸM" w:eastAsia="HGPｺﾞｼｯｸM"/>
                <w:sz w:val="20"/>
              </w:rPr>
              <w:t>災害廃棄物発生量（</w:t>
            </w:r>
            <w:r>
              <w:rPr>
                <w:rFonts w:hint="eastAsia" w:ascii="HGPｺﾞｼｯｸM" w:hAnsi="HGPｺﾞｼｯｸM" w:eastAsia="HGPｺﾞｼｯｸM"/>
                <w:sz w:val="20"/>
              </w:rPr>
              <w:t>t</w:t>
            </w:r>
            <w:r>
              <w:rPr>
                <w:rFonts w:hint="eastAsia" w:ascii="HGPｺﾞｼｯｸM" w:hAnsi="HGPｺﾞｼｯｸM" w:eastAsia="HGPｺﾞｼｯｸM"/>
                <w:sz w:val="20"/>
              </w:rPr>
              <w:t>）</w:t>
            </w:r>
          </w:p>
        </w:tc>
      </w:tr>
      <w:tr>
        <w:trPr/>
        <w:tc>
          <w:tcPr>
            <w:tcW w:w="1701" w:type="dxa"/>
            <w:vAlign w:val="top"/>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全壊</w:t>
            </w:r>
          </w:p>
        </w:tc>
        <w:tc>
          <w:tcPr>
            <w:tcW w:w="1701" w:type="dxa"/>
            <w:vAlign w:val="top"/>
          </w:tcPr>
          <w:p>
            <w:pPr>
              <w:pStyle w:val="0"/>
              <w:widowControl w:val="1"/>
              <w:jc w:val="center"/>
              <w:rPr>
                <w:rFonts w:hint="default" w:ascii="HGPｺﾞｼｯｸM" w:hAnsi="HGPｺﾞｼｯｸM" w:eastAsia="HGPｺﾞｼｯｸM"/>
                <w:sz w:val="20"/>
              </w:rPr>
            </w:pPr>
            <w:r>
              <w:rPr>
                <w:rFonts w:hint="default" w:ascii="HGPｺﾞｼｯｸM" w:hAnsi="HGPｺﾞｼｯｸM" w:eastAsia="HGPｺﾞｼｯｸM"/>
                <w:sz w:val="20"/>
              </w:rPr>
              <w:t>1,0</w:t>
            </w:r>
            <w:r>
              <w:rPr>
                <w:rFonts w:hint="eastAsia" w:ascii="HGPｺﾞｼｯｸM" w:hAnsi="HGPｺﾞｼｯｸM" w:eastAsia="HGPｺﾞｼｯｸM"/>
                <w:sz w:val="20"/>
              </w:rPr>
              <w:t>87</w:t>
            </w:r>
          </w:p>
        </w:tc>
        <w:tc>
          <w:tcPr>
            <w:tcW w:w="2835" w:type="dxa"/>
            <w:vAlign w:val="top"/>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117</w:t>
            </w:r>
          </w:p>
        </w:tc>
        <w:tc>
          <w:tcPr>
            <w:tcW w:w="3068" w:type="dxa"/>
            <w:vAlign w:val="top"/>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1</w:t>
            </w:r>
            <w:r>
              <w:rPr>
                <w:rFonts w:hint="default" w:ascii="HGPｺﾞｼｯｸM" w:hAnsi="HGPｺﾞｼｯｸM" w:eastAsia="HGPｺﾞｼｯｸM"/>
                <w:sz w:val="20"/>
              </w:rPr>
              <w:t>27,179</w:t>
            </w:r>
          </w:p>
        </w:tc>
      </w:tr>
      <w:tr>
        <w:trPr/>
        <w:tc>
          <w:tcPr>
            <w:tcW w:w="1701" w:type="dxa"/>
            <w:vAlign w:val="top"/>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半壊</w:t>
            </w:r>
          </w:p>
        </w:tc>
        <w:tc>
          <w:tcPr>
            <w:tcW w:w="1701" w:type="dxa"/>
            <w:vAlign w:val="top"/>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1</w:t>
            </w:r>
            <w:r>
              <w:rPr>
                <w:rFonts w:hint="default" w:ascii="HGPｺﾞｼｯｸM" w:hAnsi="HGPｺﾞｼｯｸM" w:eastAsia="HGPｺﾞｼｯｸM"/>
                <w:sz w:val="20"/>
              </w:rPr>
              <w:t>,784</w:t>
            </w:r>
          </w:p>
        </w:tc>
        <w:tc>
          <w:tcPr>
            <w:tcW w:w="2835" w:type="dxa"/>
            <w:vAlign w:val="top"/>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23</w:t>
            </w:r>
          </w:p>
        </w:tc>
        <w:tc>
          <w:tcPr>
            <w:tcW w:w="3068" w:type="dxa"/>
            <w:vAlign w:val="top"/>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4</w:t>
            </w:r>
            <w:r>
              <w:rPr>
                <w:rFonts w:hint="default" w:ascii="HGPｺﾞｼｯｸM" w:hAnsi="HGPｺﾞｼｯｸM" w:eastAsia="HGPｺﾞｼｯｸM"/>
                <w:sz w:val="20"/>
              </w:rPr>
              <w:t>1,032</w:t>
            </w:r>
          </w:p>
        </w:tc>
      </w:tr>
      <w:tr>
        <w:trPr/>
        <w:tc>
          <w:tcPr>
            <w:tcW w:w="1701" w:type="dxa"/>
            <w:vAlign w:val="top"/>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焼失</w:t>
            </w:r>
          </w:p>
        </w:tc>
        <w:tc>
          <w:tcPr>
            <w:tcW w:w="1701" w:type="dxa"/>
            <w:vAlign w:val="top"/>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5</w:t>
            </w:r>
          </w:p>
        </w:tc>
        <w:tc>
          <w:tcPr>
            <w:tcW w:w="2835" w:type="dxa"/>
            <w:vAlign w:val="top"/>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78</w:t>
            </w:r>
          </w:p>
        </w:tc>
        <w:tc>
          <w:tcPr>
            <w:tcW w:w="3068" w:type="dxa"/>
            <w:vAlign w:val="top"/>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3</w:t>
            </w:r>
            <w:r>
              <w:rPr>
                <w:rFonts w:hint="default" w:ascii="HGPｺﾞｼｯｸM" w:hAnsi="HGPｺﾞｼｯｸM" w:eastAsia="HGPｺﾞｼｯｸM"/>
                <w:sz w:val="20"/>
              </w:rPr>
              <w:t>90</w:t>
            </w:r>
          </w:p>
        </w:tc>
      </w:tr>
      <w:tr>
        <w:trPr/>
        <w:tc>
          <w:tcPr>
            <w:tcW w:w="1701" w:type="dxa"/>
            <w:vAlign w:val="top"/>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合計</w:t>
            </w:r>
          </w:p>
        </w:tc>
        <w:tc>
          <w:tcPr>
            <w:tcW w:w="1701" w:type="dxa"/>
            <w:vAlign w:val="top"/>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w:t>
            </w:r>
          </w:p>
        </w:tc>
        <w:tc>
          <w:tcPr>
            <w:tcW w:w="2835" w:type="dxa"/>
            <w:vAlign w:val="top"/>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w:t>
            </w:r>
          </w:p>
        </w:tc>
        <w:tc>
          <w:tcPr>
            <w:tcW w:w="3068" w:type="dxa"/>
            <w:vAlign w:val="top"/>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1</w:t>
            </w:r>
            <w:r>
              <w:rPr>
                <w:rFonts w:hint="default" w:ascii="HGPｺﾞｼｯｸM" w:hAnsi="HGPｺﾞｼｯｸM" w:eastAsia="HGPｺﾞｼｯｸM"/>
                <w:sz w:val="20"/>
              </w:rPr>
              <w:t>68,601</w:t>
            </w:r>
          </w:p>
        </w:tc>
      </w:tr>
    </w:tbl>
    <w:p>
      <w:pPr>
        <w:pStyle w:val="0"/>
        <w:tabs>
          <w:tab w:val="left" w:leader="none" w:pos="2114"/>
        </w:tabs>
        <w:spacing w:before="10" w:beforeLines="0" w:beforeAutospacing="0" w:line="276" w:lineRule="auto"/>
        <w:rPr>
          <w:rFonts w:hint="default" w:ascii="ＭＳ 明朝" w:hAnsi="ＭＳ 明朝" w:eastAsia="ＭＳ 明朝"/>
          <w:sz w:val="21"/>
        </w:rPr>
      </w:pPr>
    </w:p>
    <w:p>
      <w:pPr>
        <w:pStyle w:val="0"/>
        <w:spacing w:line="300" w:lineRule="exact"/>
        <w:ind w:left="-21" w:firstLine="21" w:firstLineChars="10"/>
        <w:jc w:val="center"/>
        <w:rPr>
          <w:rFonts w:hint="default" w:ascii="HGPｺﾞｼｯｸM" w:hAnsi="HGPｺﾞｼｯｸM" w:eastAsia="HGPｺﾞｼｯｸM"/>
          <w:sz w:val="21"/>
        </w:rPr>
      </w:pPr>
      <w:r>
        <w:rPr>
          <w:rFonts w:hint="default"/>
          <w:sz w:val="21"/>
        </w:rPr>
        <w:t>表</w:t>
      </w:r>
      <w:r>
        <w:rPr>
          <w:rFonts w:hint="eastAsia"/>
          <w:sz w:val="21"/>
        </w:rPr>
        <w:t>１６　</w:t>
      </w:r>
      <w:r>
        <w:rPr>
          <w:rFonts w:hint="eastAsia"/>
        </w:rPr>
        <w:t>想定風水害における災害廃棄物発生量推計</w:t>
      </w:r>
    </w:p>
    <w:tbl>
      <w:tblPr>
        <w:tblStyle w:val="11"/>
        <w:tblW w:w="9300" w:type="dxa"/>
        <w:jc w:val="center"/>
        <w:tblInd w:w="0" w:type="dxa"/>
        <w:tblLayout w:type="fixed"/>
        <w:tblCellMar>
          <w:left w:w="99" w:type="dxa"/>
          <w:right w:w="99" w:type="dxa"/>
        </w:tblCellMar>
        <w:tblLook w:firstRow="1" w:lastRow="0" w:firstColumn="1" w:lastColumn="0" w:noHBand="0" w:noVBand="1" w:val="04A0"/>
      </w:tblPr>
      <w:tblGrid>
        <w:gridCol w:w="2605"/>
        <w:gridCol w:w="2210"/>
        <w:gridCol w:w="2526"/>
        <w:gridCol w:w="1959"/>
      </w:tblGrid>
      <w:tr>
        <w:trPr>
          <w:trHeight w:val="778" w:hRule="atLeast"/>
        </w:trPr>
        <w:tc>
          <w:tcPr>
            <w:tcW w:w="2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D9D9"/>
            <w:vAlign w:val="center"/>
          </w:tcPr>
          <w:p>
            <w:pPr>
              <w:pStyle w:val="0"/>
              <w:jc w:val="center"/>
              <w:rPr>
                <w:rFonts w:hint="default" w:ascii="HGPｺﾞｼｯｸM" w:hAnsi="HGPｺﾞｼｯｸM" w:eastAsia="HGPｺﾞｼｯｸM"/>
                <w:sz w:val="21"/>
              </w:rPr>
            </w:pPr>
            <w:bookmarkStart w:id="40" w:name="_Hlk61855247"/>
            <w:bookmarkStart w:id="41" w:name="_Hlk61906593"/>
            <w:r>
              <w:rPr>
                <w:rFonts w:hint="eastAsia" w:ascii="HGPｺﾞｼｯｸM" w:hAnsi="HGPｺﾞｼｯｸM" w:eastAsia="HGPｺﾞｼｯｸM"/>
                <w:sz w:val="21"/>
              </w:rPr>
              <w:t>被災状況</w:t>
            </w:r>
            <w:bookmarkEnd w:id="40"/>
            <w:bookmarkEnd w:id="41"/>
          </w:p>
        </w:tc>
        <w:tc>
          <w:tcPr>
            <w:tcW w:w="221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9D9D9"/>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被害棟数</w:t>
            </w:r>
            <w:r>
              <w:rPr>
                <w:rFonts w:hint="eastAsia" w:ascii="HGPｺﾞｼｯｸM" w:hAnsi="HGPｺﾞｼｯｸM" w:eastAsia="HGPｺﾞｼｯｸM"/>
                <w:sz w:val="21"/>
              </w:rPr>
              <w:t>/</w:t>
            </w:r>
            <w:r>
              <w:rPr>
                <w:rFonts w:hint="eastAsia" w:ascii="HGPｺﾞｼｯｸM" w:hAnsi="HGPｺﾞｼｯｸM" w:eastAsia="HGPｺﾞｼｯｸM"/>
                <w:sz w:val="21"/>
              </w:rPr>
              <w:t>世帯数</w:t>
            </w:r>
          </w:p>
        </w:tc>
        <w:tc>
          <w:tcPr>
            <w:tcW w:w="2526"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D9D9D9"/>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発生原単位（</w:t>
            </w:r>
            <w:r>
              <w:rPr>
                <w:rFonts w:hint="eastAsia" w:ascii="HGPｺﾞｼｯｸM" w:hAnsi="HGPｺﾞｼｯｸM" w:eastAsia="HGPｺﾞｼｯｸM"/>
                <w:sz w:val="21"/>
              </w:rPr>
              <w:t>t/</w:t>
            </w:r>
            <w:r>
              <w:rPr>
                <w:rFonts w:hint="eastAsia" w:ascii="HGPｺﾞｼｯｸM" w:hAnsi="HGPｺﾞｼｯｸM" w:eastAsia="HGPｺﾞｼｯｸM"/>
                <w:sz w:val="21"/>
              </w:rPr>
              <w:t>棟、ｔ</w:t>
            </w:r>
            <w:r>
              <w:rPr>
                <w:rFonts w:hint="eastAsia" w:ascii="HGPｺﾞｼｯｸM" w:hAnsi="HGPｺﾞｼｯｸM" w:eastAsia="HGPｺﾞｼｯｸM"/>
                <w:sz w:val="21"/>
              </w:rPr>
              <w:t>/</w:t>
            </w:r>
            <w:r>
              <w:rPr>
                <w:rFonts w:hint="eastAsia" w:ascii="HGPｺﾞｼｯｸM" w:hAnsi="HGPｺﾞｼｯｸM" w:eastAsia="HGPｺﾞｼｯｸM"/>
                <w:sz w:val="21"/>
              </w:rPr>
              <w:t>世帯）</w:t>
            </w:r>
          </w:p>
        </w:tc>
        <w:tc>
          <w:tcPr>
            <w:tcW w:w="1959" w:type="dxa"/>
            <w:tcBorders>
              <w:top w:val="single" w:color="auto" w:sz="4" w:space="0"/>
              <w:left w:val="nil"/>
              <w:bottom w:val="none" w:color="auto" w:sz="0" w:space="0"/>
              <w:right w:val="single" w:color="auto" w:sz="4" w:space="0"/>
              <w:tl2br w:val="none" w:color="auto" w:sz="0" w:space="0"/>
              <w:tr2bl w:val="none" w:color="auto" w:sz="0" w:space="0"/>
            </w:tcBorders>
            <w:shd w:val="clear" w:color="auto" w:fill="D9D9D9"/>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災害廃棄物発生量推計</w:t>
            </w:r>
            <w:r>
              <w:rPr>
                <w:rFonts w:hint="eastAsia" w:ascii="HGPｺﾞｼｯｸM" w:hAnsi="HGPｺﾞｼｯｸM" w:eastAsia="HGPｺﾞｼｯｸM"/>
                <w:sz w:val="21"/>
              </w:rPr>
              <w:t>(t)</w:t>
            </w:r>
          </w:p>
        </w:tc>
      </w:tr>
      <w:tr>
        <w:trPr>
          <w:trHeight w:val="240" w:hRule="atLeast"/>
        </w:trPr>
        <w:tc>
          <w:tcPr>
            <w:tcW w:w="260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全壊</w:t>
            </w:r>
          </w:p>
        </w:tc>
        <w:tc>
          <w:tcPr>
            <w:tcW w:w="221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0</w:t>
            </w:r>
            <w:r>
              <w:rPr>
                <w:rFonts w:hint="eastAsia" w:ascii="HGPｺﾞｼｯｸM" w:hAnsi="HGPｺﾞｼｯｸM" w:eastAsia="HGPｺﾞｼｯｸM"/>
                <w:sz w:val="21"/>
              </w:rPr>
              <w:t>棟</w:t>
            </w:r>
          </w:p>
        </w:tc>
        <w:tc>
          <w:tcPr>
            <w:tcW w:w="252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117t/</w:t>
            </w:r>
            <w:r>
              <w:rPr>
                <w:rFonts w:hint="eastAsia" w:ascii="HGPｺﾞｼｯｸM" w:hAnsi="HGPｺﾞｼｯｸM" w:eastAsia="HGPｺﾞｼｯｸM"/>
                <w:sz w:val="21"/>
              </w:rPr>
              <w:t>棟</w:t>
            </w:r>
          </w:p>
        </w:tc>
        <w:tc>
          <w:tcPr>
            <w:tcW w:w="195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 xml:space="preserve">0 </w:t>
            </w:r>
          </w:p>
        </w:tc>
      </w:tr>
      <w:tr>
        <w:trPr>
          <w:trHeight w:val="240" w:hRule="atLeast"/>
        </w:trPr>
        <w:tc>
          <w:tcPr>
            <w:tcW w:w="2605"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半壊</w:t>
            </w:r>
          </w:p>
        </w:tc>
        <w:tc>
          <w:tcPr>
            <w:tcW w:w="221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0</w:t>
            </w:r>
            <w:r>
              <w:rPr>
                <w:rFonts w:hint="eastAsia" w:ascii="HGPｺﾞｼｯｸM" w:hAnsi="HGPｺﾞｼｯｸM" w:eastAsia="HGPｺﾞｼｯｸM"/>
                <w:sz w:val="21"/>
              </w:rPr>
              <w:t>棟</w:t>
            </w:r>
          </w:p>
        </w:tc>
        <w:tc>
          <w:tcPr>
            <w:tcW w:w="2526"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23t/</w:t>
            </w:r>
            <w:r>
              <w:rPr>
                <w:rFonts w:hint="eastAsia" w:ascii="HGPｺﾞｼｯｸM" w:hAnsi="HGPｺﾞｼｯｸM" w:eastAsia="HGPｺﾞｼｯｸM"/>
                <w:sz w:val="21"/>
              </w:rPr>
              <w:t>棟</w:t>
            </w:r>
          </w:p>
        </w:tc>
        <w:tc>
          <w:tcPr>
            <w:tcW w:w="195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0</w:t>
            </w:r>
          </w:p>
        </w:tc>
      </w:tr>
      <w:tr>
        <w:trPr>
          <w:trHeight w:val="240" w:hRule="atLeast"/>
        </w:trPr>
        <w:tc>
          <w:tcPr>
            <w:tcW w:w="2605"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床上浸水</w:t>
            </w:r>
          </w:p>
        </w:tc>
        <w:tc>
          <w:tcPr>
            <w:tcW w:w="221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1,490</w:t>
            </w:r>
            <w:r>
              <w:rPr>
                <w:rFonts w:hint="eastAsia" w:ascii="HGPｺﾞｼｯｸM" w:hAnsi="HGPｺﾞｼｯｸM" w:eastAsia="HGPｺﾞｼｯｸM"/>
                <w:sz w:val="21"/>
              </w:rPr>
              <w:t>棟</w:t>
            </w:r>
          </w:p>
        </w:tc>
        <w:tc>
          <w:tcPr>
            <w:tcW w:w="2526"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4.6t/</w:t>
            </w:r>
            <w:r>
              <w:rPr>
                <w:rFonts w:hint="eastAsia" w:ascii="HGPｺﾞｼｯｸM" w:hAnsi="HGPｺﾞｼｯｸM" w:eastAsia="HGPｺﾞｼｯｸM"/>
                <w:sz w:val="21"/>
              </w:rPr>
              <w:t>棟</w:t>
            </w:r>
          </w:p>
        </w:tc>
        <w:tc>
          <w:tcPr>
            <w:tcW w:w="195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 xml:space="preserve"> 6,854</w:t>
            </w:r>
          </w:p>
        </w:tc>
      </w:tr>
      <w:tr>
        <w:trPr>
          <w:trHeight w:val="240" w:hRule="atLeast"/>
        </w:trPr>
        <w:tc>
          <w:tcPr>
            <w:tcW w:w="2605"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床下浸水</w:t>
            </w:r>
          </w:p>
        </w:tc>
        <w:tc>
          <w:tcPr>
            <w:tcW w:w="2210"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0</w:t>
            </w:r>
            <w:r>
              <w:rPr>
                <w:rFonts w:hint="eastAsia" w:ascii="HGPｺﾞｼｯｸM" w:hAnsi="HGPｺﾞｼｯｸM" w:eastAsia="HGPｺﾞｼｯｸM"/>
                <w:sz w:val="21"/>
              </w:rPr>
              <w:t>棟</w:t>
            </w:r>
          </w:p>
        </w:tc>
        <w:tc>
          <w:tcPr>
            <w:tcW w:w="2526"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0.62t/</w:t>
            </w:r>
            <w:r>
              <w:rPr>
                <w:rFonts w:hint="eastAsia" w:ascii="HGPｺﾞｼｯｸM" w:hAnsi="HGPｺﾞｼｯｸM" w:eastAsia="HGPｺﾞｼｯｸM"/>
                <w:sz w:val="21"/>
              </w:rPr>
              <w:t>棟</w:t>
            </w:r>
          </w:p>
        </w:tc>
        <w:tc>
          <w:tcPr>
            <w:tcW w:w="1959"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 xml:space="preserve">0 </w:t>
            </w:r>
          </w:p>
        </w:tc>
      </w:tr>
      <w:tr>
        <w:trPr>
          <w:trHeight w:val="240" w:hRule="atLeast"/>
        </w:trPr>
        <w:tc>
          <w:tcPr>
            <w:tcW w:w="7341" w:type="dxa"/>
            <w:gridSpan w:val="3"/>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発生量計</w:t>
            </w:r>
            <w:r>
              <w:rPr>
                <w:rFonts w:hint="eastAsia" w:ascii="HGPｺﾞｼｯｸM" w:hAnsi="HGPｺﾞｼｯｸM" w:eastAsia="HGPｺﾞｼｯｸM"/>
                <w:sz w:val="21"/>
              </w:rPr>
              <w:t>(t)</w:t>
            </w:r>
          </w:p>
        </w:tc>
        <w:tc>
          <w:tcPr>
            <w:tcW w:w="1959" w:type="dxa"/>
            <w:tcBorders>
              <w:top w:val="doub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1"/>
              </w:rPr>
            </w:pPr>
            <w:r>
              <w:rPr>
                <w:rFonts w:hint="eastAsia" w:ascii="HGPｺﾞｼｯｸM" w:hAnsi="HGPｺﾞｼｯｸM" w:eastAsia="HGPｺﾞｼｯｸM"/>
                <w:sz w:val="21"/>
              </w:rPr>
              <w:t>6,854</w:t>
            </w:r>
          </w:p>
        </w:tc>
      </w:tr>
    </w:tbl>
    <w:p>
      <w:pPr>
        <w:pStyle w:val="33"/>
        <w:jc w:val="center"/>
        <w:rPr>
          <w:rFonts w:hint="default" w:ascii="ＭＳ ゴシック" w:hAnsi="ＭＳ ゴシック"/>
        </w:rPr>
      </w:pPr>
    </w:p>
    <w:p>
      <w:pPr>
        <w:pStyle w:val="33"/>
        <w:jc w:val="center"/>
        <w:rPr>
          <w:rFonts w:hint="default" w:ascii="ＭＳ ゴシック" w:hAnsi="ＭＳ ゴシック"/>
        </w:rPr>
      </w:pPr>
      <w:r>
        <w:rPr>
          <w:rFonts w:hint="eastAsia" w:ascii="ＭＳ ゴシック" w:hAnsi="ＭＳ ゴシック"/>
        </w:rPr>
        <w:t>表１７　災害廃棄物の種類別割合</w:t>
      </w:r>
    </w:p>
    <w:tbl>
      <w:tblPr>
        <w:tblStyle w:val="11"/>
        <w:tblW w:w="8088" w:type="dxa"/>
        <w:jc w:val="center"/>
        <w:tblInd w:w="0" w:type="dxa"/>
        <w:tblLayout w:type="fixed"/>
        <w:tblCellMar>
          <w:left w:w="99" w:type="dxa"/>
          <w:right w:w="99" w:type="dxa"/>
        </w:tblCellMar>
        <w:tblLook w:firstRow="1" w:lastRow="0" w:firstColumn="1" w:lastColumn="0" w:noHBand="0" w:noVBand="1" w:val="04A0"/>
      </w:tblPr>
      <w:tblGrid>
        <w:gridCol w:w="2547"/>
        <w:gridCol w:w="3040"/>
        <w:gridCol w:w="2501"/>
      </w:tblGrid>
      <w:tr>
        <w:trPr>
          <w:trHeight w:val="580" w:hRule="atLeast"/>
        </w:trPr>
        <w:tc>
          <w:tcPr>
            <w:tcW w:w="25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D9D9"/>
            <w:vAlign w:val="center"/>
          </w:tcPr>
          <w:p>
            <w:pPr>
              <w:pStyle w:val="0"/>
              <w:jc w:val="center"/>
              <w:rPr>
                <w:rFonts w:hint="default"/>
              </w:rPr>
            </w:pPr>
            <w:r>
              <w:rPr>
                <w:rFonts w:hint="eastAsia"/>
              </w:rPr>
              <w:t>種別</w:t>
            </w:r>
          </w:p>
        </w:tc>
        <w:tc>
          <w:tcPr>
            <w:tcW w:w="3040" w:type="dxa"/>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D9D9D9"/>
            <w:vAlign w:val="top"/>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東日本大震災（岩手県、宮城県）における災害廃棄物の組成</w:t>
            </w:r>
          </w:p>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（地震災害に適用）</w:t>
            </w:r>
          </w:p>
        </w:tc>
        <w:tc>
          <w:tcPr>
            <w:tcW w:w="25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D9D9"/>
            <w:vAlign w:val="center"/>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平成</w:t>
            </w:r>
            <w:r>
              <w:rPr>
                <w:rFonts w:hint="eastAsia" w:ascii="HGPｺﾞｼｯｸM" w:hAnsi="HGPｺﾞｼｯｸM" w:eastAsia="HGPｺﾞｼｯｸM"/>
                <w:sz w:val="20"/>
              </w:rPr>
              <w:t>27</w:t>
            </w:r>
            <w:r>
              <w:rPr>
                <w:rFonts w:hint="eastAsia" w:ascii="HGPｺﾞｼｯｸM" w:hAnsi="HGPｺﾞｼｯｸM" w:eastAsia="HGPｺﾞｼｯｸM"/>
                <w:sz w:val="20"/>
              </w:rPr>
              <w:t>年関東・東北豪雨における災害廃棄物の組成</w:t>
            </w:r>
          </w:p>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（風水害に適用）</w:t>
            </w:r>
          </w:p>
        </w:tc>
      </w:tr>
      <w:tr>
        <w:trPr>
          <w:trHeight w:val="240" w:hRule="atLeast"/>
        </w:trPr>
        <w:tc>
          <w:tcPr>
            <w:tcW w:w="25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可燃物</w:t>
            </w:r>
          </w:p>
        </w:tc>
        <w:tc>
          <w:tcPr>
            <w:tcW w:w="3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jc w:val="right"/>
              <w:rPr>
                <w:rFonts w:hint="default" w:ascii="HGPｺﾞｼｯｸM" w:hAnsi="HGPｺﾞｼｯｸM" w:eastAsia="HGPｺﾞｼｯｸM"/>
                <w:sz w:val="20"/>
              </w:rPr>
            </w:pPr>
            <w:r>
              <w:rPr>
                <w:rFonts w:hint="eastAsia" w:ascii="HGPｺﾞｼｯｸM" w:hAnsi="HGPｺﾞｼｯｸM" w:eastAsia="HGPｺﾞｼｯｸM"/>
                <w:sz w:val="20"/>
              </w:rPr>
              <w:t>16%</w:t>
            </w:r>
          </w:p>
        </w:tc>
        <w:tc>
          <w:tcPr>
            <w:tcW w:w="25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PｺﾞｼｯｸM" w:hAnsi="HGPｺﾞｼｯｸM" w:eastAsia="HGPｺﾞｼｯｸM"/>
                <w:sz w:val="20"/>
              </w:rPr>
            </w:pPr>
            <w:r>
              <w:rPr>
                <w:rFonts w:hint="eastAsia" w:ascii="HGPｺﾞｼｯｸM" w:hAnsi="HGPｺﾞｼｯｸM" w:eastAsia="HGPｺﾞｼｯｸM"/>
                <w:sz w:val="20"/>
              </w:rPr>
              <w:t>4.4%</w:t>
            </w:r>
          </w:p>
        </w:tc>
      </w:tr>
      <w:tr>
        <w:trPr>
          <w:trHeight w:val="240" w:hRule="atLeast"/>
        </w:trPr>
        <w:tc>
          <w:tcPr>
            <w:tcW w:w="254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不燃物</w:t>
            </w:r>
          </w:p>
        </w:tc>
        <w:tc>
          <w:tcPr>
            <w:tcW w:w="3040"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jc w:val="right"/>
              <w:rPr>
                <w:rFonts w:hint="default" w:ascii="HGPｺﾞｼｯｸM" w:hAnsi="HGPｺﾞｼｯｸM" w:eastAsia="HGPｺﾞｼｯｸM"/>
                <w:sz w:val="20"/>
              </w:rPr>
            </w:pPr>
            <w:r>
              <w:rPr>
                <w:rFonts w:hint="eastAsia" w:ascii="HGPｺﾞｼｯｸM" w:hAnsi="HGPｺﾞｼｯｸM" w:eastAsia="HGPｺﾞｼｯｸM"/>
                <w:sz w:val="20"/>
              </w:rPr>
              <w:t>34%</w:t>
            </w:r>
          </w:p>
        </w:tc>
        <w:tc>
          <w:tcPr>
            <w:tcW w:w="250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PｺﾞｼｯｸM" w:hAnsi="HGPｺﾞｼｯｸM" w:eastAsia="HGPｺﾞｼｯｸM"/>
                <w:sz w:val="20"/>
              </w:rPr>
            </w:pPr>
            <w:r>
              <w:rPr>
                <w:rFonts w:hint="eastAsia" w:ascii="HGPｺﾞｼｯｸM" w:hAnsi="HGPｺﾞｼｯｸM" w:eastAsia="HGPｺﾞｼｯｸM"/>
                <w:sz w:val="20"/>
              </w:rPr>
              <w:t>71%</w:t>
            </w:r>
          </w:p>
        </w:tc>
      </w:tr>
      <w:tr>
        <w:trPr>
          <w:trHeight w:val="85" w:hRule="atLeast"/>
        </w:trPr>
        <w:tc>
          <w:tcPr>
            <w:tcW w:w="254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コンクリートがら</w:t>
            </w:r>
          </w:p>
        </w:tc>
        <w:tc>
          <w:tcPr>
            <w:tcW w:w="3040"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jc w:val="right"/>
              <w:rPr>
                <w:rFonts w:hint="default" w:ascii="HGPｺﾞｼｯｸM" w:hAnsi="HGPｺﾞｼｯｸM" w:eastAsia="HGPｺﾞｼｯｸM"/>
                <w:sz w:val="20"/>
              </w:rPr>
            </w:pPr>
            <w:r>
              <w:rPr>
                <w:rFonts w:hint="eastAsia" w:ascii="HGPｺﾞｼｯｸM" w:hAnsi="HGPｺﾞｼｯｸM" w:eastAsia="HGPｺﾞｼｯｸM"/>
                <w:sz w:val="20"/>
              </w:rPr>
              <w:t>43%</w:t>
            </w:r>
          </w:p>
        </w:tc>
        <w:tc>
          <w:tcPr>
            <w:tcW w:w="250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PｺﾞｼｯｸM" w:hAnsi="HGPｺﾞｼｯｸM" w:eastAsia="HGPｺﾞｼｯｸM"/>
                <w:sz w:val="20"/>
              </w:rPr>
            </w:pPr>
            <w:r>
              <w:rPr>
                <w:rFonts w:hint="eastAsia" w:ascii="HGPｺﾞｼｯｸM" w:hAnsi="HGPｺﾞｼｯｸM" w:eastAsia="HGPｺﾞｼｯｸM"/>
                <w:sz w:val="20"/>
              </w:rPr>
              <w:t>9.9%</w:t>
            </w:r>
          </w:p>
        </w:tc>
      </w:tr>
      <w:tr>
        <w:trPr>
          <w:trHeight w:val="240" w:hRule="atLeast"/>
        </w:trPr>
        <w:tc>
          <w:tcPr>
            <w:tcW w:w="254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金属</w:t>
            </w:r>
          </w:p>
        </w:tc>
        <w:tc>
          <w:tcPr>
            <w:tcW w:w="3040"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jc w:val="right"/>
              <w:rPr>
                <w:rFonts w:hint="default" w:ascii="HGPｺﾞｼｯｸM" w:hAnsi="HGPｺﾞｼｯｸM" w:eastAsia="HGPｺﾞｼｯｸM"/>
                <w:sz w:val="20"/>
              </w:rPr>
            </w:pPr>
            <w:r>
              <w:rPr>
                <w:rFonts w:hint="eastAsia" w:ascii="HGPｺﾞｼｯｸM" w:hAnsi="HGPｺﾞｼｯｸM" w:eastAsia="HGPｺﾞｼｯｸM"/>
                <w:sz w:val="20"/>
              </w:rPr>
              <w:t>3%</w:t>
            </w:r>
          </w:p>
        </w:tc>
        <w:tc>
          <w:tcPr>
            <w:tcW w:w="250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PｺﾞｼｯｸM" w:hAnsi="HGPｺﾞｼｯｸM" w:eastAsia="HGPｺﾞｼｯｸM"/>
                <w:sz w:val="20"/>
              </w:rPr>
            </w:pPr>
            <w:r>
              <w:rPr>
                <w:rFonts w:hint="eastAsia" w:ascii="HGPｺﾞｼｯｸM" w:hAnsi="HGPｺﾞｼｯｸM" w:eastAsia="HGPｺﾞｼｯｸM"/>
                <w:sz w:val="20"/>
              </w:rPr>
              <w:t>0.6%</w:t>
            </w:r>
          </w:p>
        </w:tc>
      </w:tr>
      <w:tr>
        <w:trPr>
          <w:trHeight w:val="240" w:hRule="atLeast"/>
        </w:trPr>
        <w:tc>
          <w:tcPr>
            <w:tcW w:w="2547"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柱角材</w:t>
            </w:r>
          </w:p>
        </w:tc>
        <w:tc>
          <w:tcPr>
            <w:tcW w:w="3040" w:type="dxa"/>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jc w:val="right"/>
              <w:rPr>
                <w:rFonts w:hint="default" w:ascii="HGPｺﾞｼｯｸM" w:hAnsi="HGPｺﾞｼｯｸM" w:eastAsia="HGPｺﾞｼｯｸM"/>
                <w:sz w:val="20"/>
              </w:rPr>
            </w:pPr>
            <w:r>
              <w:rPr>
                <w:rFonts w:hint="eastAsia" w:ascii="HGPｺﾞｼｯｸM" w:hAnsi="HGPｺﾞｼｯｸM" w:eastAsia="HGPｺﾞｼｯｸM"/>
                <w:sz w:val="20"/>
              </w:rPr>
              <w:t>4%</w:t>
            </w:r>
          </w:p>
        </w:tc>
        <w:tc>
          <w:tcPr>
            <w:tcW w:w="2501" w:type="dxa"/>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PｺﾞｼｯｸM" w:hAnsi="HGPｺﾞｼｯｸM" w:eastAsia="HGPｺﾞｼｯｸM"/>
                <w:sz w:val="20"/>
              </w:rPr>
            </w:pPr>
            <w:r>
              <w:rPr>
                <w:rFonts w:hint="eastAsia" w:ascii="HGPｺﾞｼｯｸM" w:hAnsi="HGPｺﾞｼｯｸM" w:eastAsia="HGPｺﾞｼｯｸM"/>
                <w:sz w:val="20"/>
              </w:rPr>
              <w:t>2.1%</w:t>
            </w:r>
          </w:p>
        </w:tc>
      </w:tr>
      <w:tr>
        <w:trPr>
          <w:trHeight w:val="240" w:hRule="atLeast"/>
        </w:trPr>
        <w:tc>
          <w:tcPr>
            <w:tcW w:w="254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center"/>
              <w:rPr>
                <w:rFonts w:hint="default" w:ascii="HGPｺﾞｼｯｸM" w:hAnsi="HGPｺﾞｼｯｸM" w:eastAsia="HGPｺﾞｼｯｸM"/>
                <w:sz w:val="20"/>
              </w:rPr>
            </w:pPr>
            <w:r>
              <w:rPr>
                <w:rFonts w:hint="eastAsia" w:ascii="HGPｺﾞｼｯｸM" w:hAnsi="HGPｺﾞｼｯｸM" w:eastAsia="HGPｺﾞｼｯｸM"/>
                <w:sz w:val="20"/>
              </w:rPr>
              <w:t>土砂（土砂混じり廃棄物）</w:t>
            </w:r>
          </w:p>
        </w:tc>
        <w:tc>
          <w:tcPr>
            <w:tcW w:w="304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widowControl w:val="1"/>
              <w:jc w:val="right"/>
              <w:rPr>
                <w:rFonts w:hint="default" w:ascii="HGPｺﾞｼｯｸM" w:hAnsi="HGPｺﾞｼｯｸM" w:eastAsia="HGPｺﾞｼｯｸM"/>
                <w:sz w:val="20"/>
              </w:rPr>
            </w:pPr>
            <w:r>
              <w:rPr>
                <w:rFonts w:hint="eastAsia" w:ascii="HGPｺﾞｼｯｸM" w:hAnsi="HGPｺﾞｼｯｸM" w:eastAsia="HGPｺﾞｼｯｸM"/>
                <w:sz w:val="20"/>
              </w:rPr>
              <w:t>0%</w:t>
            </w:r>
          </w:p>
        </w:tc>
        <w:tc>
          <w:tcPr>
            <w:tcW w:w="25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right"/>
              <w:rPr>
                <w:rFonts w:hint="default" w:ascii="HGPｺﾞｼｯｸM" w:hAnsi="HGPｺﾞｼｯｸM" w:eastAsia="HGPｺﾞｼｯｸM"/>
                <w:sz w:val="20"/>
              </w:rPr>
            </w:pPr>
            <w:r>
              <w:rPr>
                <w:rFonts w:hint="eastAsia" w:ascii="HGPｺﾞｼｯｸM" w:hAnsi="HGPｺﾞｼｯｸM" w:eastAsia="HGPｺﾞｼｯｸM"/>
                <w:sz w:val="20"/>
              </w:rPr>
              <w:t>12%</w:t>
            </w:r>
          </w:p>
        </w:tc>
      </w:tr>
    </w:tbl>
    <w:p>
      <w:pPr>
        <w:pStyle w:val="47"/>
        <w:rPr>
          <w:rFonts w:hint="default"/>
        </w:rPr>
      </w:pPr>
      <w:r>
        <w:rPr>
          <w:rFonts w:hint="eastAsia"/>
        </w:rPr>
        <w:t>災害廃棄物対策指針（平成</w:t>
      </w:r>
      <w:r>
        <w:rPr>
          <w:rFonts w:hint="eastAsia"/>
        </w:rPr>
        <w:t>30</w:t>
      </w:r>
      <w:r>
        <w:rPr>
          <w:rFonts w:hint="eastAsia"/>
        </w:rPr>
        <w:t>年</w:t>
      </w:r>
      <w:r>
        <w:rPr>
          <w:rFonts w:hint="default"/>
        </w:rPr>
        <w:t>3</w:t>
      </w:r>
      <w:r>
        <w:rPr>
          <w:rFonts w:hint="eastAsia"/>
        </w:rPr>
        <w:t>月</w:t>
      </w:r>
      <w:r>
        <w:rPr>
          <w:rFonts w:hint="eastAsia"/>
        </w:rPr>
        <w:t xml:space="preserve"> </w:t>
      </w:r>
      <w:r>
        <w:rPr>
          <w:rFonts w:hint="eastAsia"/>
        </w:rPr>
        <w:t>環境省大臣官房廃棄物・リサイクル部）技術資料【技</w:t>
      </w:r>
      <w:r>
        <w:rPr>
          <w:rFonts w:hint="eastAsia"/>
        </w:rPr>
        <w:t>14-2</w:t>
      </w:r>
      <w:r>
        <w:rPr>
          <w:rFonts w:hint="eastAsia"/>
        </w:rPr>
        <w:t>】をもとに作成</w:t>
      </w:r>
    </w:p>
    <w:p>
      <w:pPr>
        <w:pStyle w:val="0"/>
        <w:tabs>
          <w:tab w:val="left" w:leader="none" w:pos="2114"/>
        </w:tabs>
        <w:spacing w:before="10" w:beforeLines="0" w:beforeAutospacing="0" w:line="276" w:lineRule="auto"/>
        <w:rPr>
          <w:rFonts w:hint="default" w:ascii="ＭＳ 明朝" w:hAnsi="ＭＳ 明朝" w:eastAsia="ＭＳ 明朝"/>
          <w:sz w:val="18"/>
        </w:rPr>
      </w:pPr>
      <w:r>
        <w:rPr>
          <w:rFonts w:hint="eastAsia" w:ascii="ＭＳ 明朝" w:hAnsi="ＭＳ 明朝" w:eastAsia="ＭＳ 明朝"/>
          <w:sz w:val="18"/>
        </w:rPr>
        <w:t>※種別「その他」については、不燃物とした。</w:t>
      </w:r>
    </w:p>
    <w:p>
      <w:pPr>
        <w:pStyle w:val="0"/>
        <w:autoSpaceDE w:val="1"/>
        <w:autoSpaceDN w:val="1"/>
        <w:jc w:val="center"/>
        <w:rPr>
          <w:rFonts w:hint="default"/>
          <w:kern w:val="2"/>
          <w:sz w:val="21"/>
        </w:rPr>
      </w:pPr>
    </w:p>
    <w:p>
      <w:pPr>
        <w:pStyle w:val="0"/>
        <w:tabs>
          <w:tab w:val="left" w:leader="none" w:pos="888"/>
        </w:tabs>
        <w:spacing w:before="1" w:beforeLines="0" w:beforeAutospacing="0" w:after="43" w:afterLines="0" w:afterAutospacing="0"/>
        <w:ind w:right="360"/>
        <w:jc w:val="center"/>
        <w:rPr>
          <w:rFonts w:hint="default"/>
          <w:sz w:val="21"/>
        </w:rPr>
      </w:pPr>
      <w:r>
        <w:rPr>
          <w:rFonts w:hint="eastAsia"/>
          <w:sz w:val="21"/>
        </w:rPr>
        <w:t>表１８　災害廃棄物の種類別発生量</w:t>
      </w:r>
    </w:p>
    <w:tbl>
      <w:tblPr>
        <w:tblStyle w:val="68"/>
        <w:tblW w:w="930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113" w:type="dxa"/>
        </w:tblCellMar>
        <w:tblLook w:firstRow="1" w:lastRow="1" w:firstColumn="1" w:lastColumn="1" w:noHBand="0" w:noVBand="0" w:val="01E0"/>
      </w:tblPr>
      <w:tblGrid>
        <w:gridCol w:w="181"/>
        <w:gridCol w:w="2938"/>
        <w:gridCol w:w="2410"/>
        <w:gridCol w:w="850"/>
        <w:gridCol w:w="1985"/>
        <w:gridCol w:w="941"/>
      </w:tblGrid>
      <w:tr>
        <w:trPr>
          <w:trHeight w:val="340" w:hRule="exact"/>
        </w:trPr>
        <w:tc>
          <w:tcPr>
            <w:tcW w:w="3119" w:type="dxa"/>
            <w:gridSpan w:val="2"/>
            <w:vMerge w:val="restart"/>
            <w:tcBorders>
              <w:top w:val="single" w:color="000000" w:sz="4" w:space="0"/>
              <w:left w:val="single" w:color="auto" w:sz="4" w:space="0"/>
              <w:bottom w:val="none" w:color="auto" w:sz="0"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ind w:right="19"/>
              <w:jc w:val="center"/>
              <w:rPr>
                <w:rFonts w:hint="default" w:ascii="HGPｺﾞｼｯｸM" w:hAnsi="HGPｺﾞｼｯｸM" w:eastAsia="HGPｺﾞｼｯｸM"/>
                <w:sz w:val="21"/>
              </w:rPr>
            </w:pPr>
            <w:r>
              <w:rPr>
                <w:rFonts w:hint="eastAsia" w:ascii="HGPｺﾞｼｯｸM" w:hAnsi="HGPｺﾞｼｯｸM" w:eastAsia="HGPｺﾞｼｯｸM"/>
                <w:sz w:val="21"/>
              </w:rPr>
              <w:t>項　　　　目</w:t>
            </w:r>
          </w:p>
        </w:tc>
        <w:tc>
          <w:tcPr>
            <w:tcW w:w="24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ind w:left="-21" w:firstLine="21" w:firstLineChars="10"/>
              <w:jc w:val="center"/>
              <w:rPr>
                <w:rFonts w:hint="default" w:ascii="HGPｺﾞｼｯｸM" w:hAnsi="HGPｺﾞｼｯｸM" w:eastAsia="HGPｺﾞｼｯｸM"/>
                <w:sz w:val="21"/>
              </w:rPr>
            </w:pPr>
            <w:r>
              <w:rPr>
                <w:rFonts w:hint="eastAsia" w:ascii="HGPｺﾞｼｯｸM" w:hAnsi="HGPｺﾞｼｯｸM" w:eastAsia="HGPｺﾞｼｯｸM"/>
                <w:sz w:val="21"/>
              </w:rPr>
              <w:t>沖縄本島南部スラブ内</w:t>
            </w:r>
          </w:p>
        </w:tc>
        <w:tc>
          <w:tcPr>
            <w:tcW w:w="850" w:type="dxa"/>
            <w:vMerge w:val="restart"/>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ind w:left="-21" w:firstLine="18" w:firstLineChars="10"/>
              <w:jc w:val="center"/>
              <w:rPr>
                <w:rFonts w:hint="default" w:ascii="HGPｺﾞｼｯｸM" w:hAnsi="HGPｺﾞｼｯｸM" w:eastAsia="HGPｺﾞｼｯｸM"/>
                <w:sz w:val="21"/>
              </w:rPr>
            </w:pPr>
            <w:r>
              <w:rPr>
                <w:rFonts w:hint="eastAsia" w:ascii="HGPｺﾞｼｯｸM" w:hAnsi="HGPｺﾞｼｯｸM" w:eastAsia="HGPｺﾞｼｯｸM"/>
                <w:sz w:val="18"/>
              </w:rPr>
              <w:t>組成割合</w:t>
            </w:r>
            <w:r>
              <w:rPr>
                <w:rFonts w:hint="eastAsia" w:ascii="HGPｺﾞｼｯｸM" w:hAnsi="HGPｺﾞｼｯｸM" w:eastAsia="HGPｺﾞｼｯｸM"/>
                <w:sz w:val="21"/>
              </w:rPr>
              <w:t>(%)</w:t>
            </w:r>
          </w:p>
        </w:tc>
        <w:tc>
          <w:tcPr>
            <w:tcW w:w="198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ind w:left="-21" w:firstLine="21" w:firstLineChars="10"/>
              <w:jc w:val="center"/>
              <w:rPr>
                <w:rFonts w:hint="default" w:ascii="HGPｺﾞｼｯｸM" w:hAnsi="HGPｺﾞｼｯｸM" w:eastAsia="HGPｺﾞｼｯｸM"/>
                <w:sz w:val="21"/>
              </w:rPr>
            </w:pPr>
            <w:r>
              <w:rPr>
                <w:rFonts w:hint="eastAsia" w:ascii="HGPｺﾞｼｯｸM" w:hAnsi="HGPｺﾞｼｯｸM" w:eastAsia="HGPｺﾞｼｯｸM"/>
                <w:sz w:val="21"/>
              </w:rPr>
              <w:t>想定風水害</w:t>
            </w:r>
          </w:p>
        </w:tc>
        <w:tc>
          <w:tcPr>
            <w:tcW w:w="941" w:type="dxa"/>
            <w:vMerge w:val="restart"/>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ind w:left="-21" w:firstLine="18" w:firstLineChars="10"/>
              <w:jc w:val="center"/>
              <w:rPr>
                <w:rFonts w:hint="default" w:ascii="HGPｺﾞｼｯｸM" w:hAnsi="HGPｺﾞｼｯｸM" w:eastAsia="HGPｺﾞｼｯｸM"/>
                <w:sz w:val="21"/>
              </w:rPr>
            </w:pPr>
            <w:r>
              <w:rPr>
                <w:rFonts w:hint="eastAsia" w:ascii="HGPｺﾞｼｯｸM" w:hAnsi="HGPｺﾞｼｯｸM" w:eastAsia="HGPｺﾞｼｯｸM"/>
                <w:sz w:val="18"/>
              </w:rPr>
              <w:t>組成割合</w:t>
            </w:r>
            <w:r>
              <w:rPr>
                <w:rFonts w:hint="eastAsia" w:ascii="HGPｺﾞｼｯｸM" w:hAnsi="HGPｺﾞｼｯｸM" w:eastAsia="HGPｺﾞｼｯｸM"/>
                <w:sz w:val="21"/>
              </w:rPr>
              <w:t>(%)</w:t>
            </w:r>
          </w:p>
        </w:tc>
      </w:tr>
      <w:tr>
        <w:trPr>
          <w:trHeight w:val="340" w:hRule="exact"/>
        </w:trPr>
        <w:tc>
          <w:tcPr>
            <w:tcW w:w="3119" w:type="dxa"/>
            <w:gridSpan w:val="2"/>
            <w:vMerge w:val="continue"/>
            <w:tcBorders>
              <w:top w:val="none" w:color="auto" w:sz="0" w:space="0"/>
              <w:left w:val="single" w:color="auto" w:sz="4" w:space="0"/>
              <w:bottom w:val="single" w:color="000000" w:sz="4" w:space="0"/>
              <w:right w:val="single" w:color="000000" w:sz="4" w:space="0"/>
              <w:tl2br w:val="none" w:color="auto" w:sz="0" w:space="0"/>
              <w:tr2bl w:val="none" w:color="auto" w:sz="0" w:space="0"/>
            </w:tcBorders>
            <w:vAlign w:val="center"/>
          </w:tcPr>
          <w:p>
            <w:pPr>
              <w:pStyle w:val="0"/>
              <w:tabs>
                <w:tab w:val="left" w:leader="none" w:pos="986"/>
                <w:tab w:val="left" w:leader="none" w:pos="1855"/>
              </w:tabs>
              <w:spacing w:line="300" w:lineRule="exact"/>
              <w:ind w:left="103"/>
              <w:jc w:val="center"/>
              <w:rPr>
                <w:rFonts w:hint="default" w:ascii="HGPｺﾞｼｯｸM" w:hAnsi="HGPｺﾞｼｯｸM" w:eastAsia="HGPｺﾞｼｯｸM"/>
                <w:sz w:val="21"/>
              </w:rPr>
            </w:pPr>
          </w:p>
        </w:tc>
        <w:tc>
          <w:tcPr>
            <w:tcW w:w="24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ind w:firstLine="105" w:firstLineChars="50"/>
              <w:jc w:val="center"/>
              <w:rPr>
                <w:rFonts w:hint="default" w:ascii="HGPｺﾞｼｯｸM" w:hAnsi="HGPｺﾞｼｯｸM" w:eastAsia="HGPｺﾞｼｯｸM"/>
                <w:sz w:val="21"/>
              </w:rPr>
            </w:pPr>
            <w:r>
              <w:rPr>
                <w:rFonts w:hint="eastAsia" w:ascii="HGPｺﾞｼｯｸM" w:hAnsi="HGPｺﾞｼｯｸM" w:eastAsia="HGPｺﾞｼｯｸM"/>
                <w:sz w:val="21"/>
              </w:rPr>
              <w:t>発生量</w:t>
            </w:r>
            <w:r>
              <w:rPr>
                <w:rFonts w:hint="eastAsia" w:ascii="HGPｺﾞｼｯｸM" w:hAnsi="HGPｺﾞｼｯｸM" w:eastAsia="HGPｺﾞｼｯｸM"/>
                <w:sz w:val="21"/>
              </w:rPr>
              <w:t>(t)</w:t>
            </w:r>
          </w:p>
        </w:tc>
        <w:tc>
          <w:tcPr>
            <w:tcW w:w="850" w:type="dxa"/>
            <w:vMerge w:val="continue"/>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top"/>
          </w:tcPr>
          <w:p>
            <w:pPr>
              <w:pStyle w:val="0"/>
              <w:ind w:firstLine="105" w:firstLineChars="50"/>
              <w:jc w:val="center"/>
              <w:rPr>
                <w:rFonts w:hint="default" w:ascii="HGPｺﾞｼｯｸM" w:hAnsi="HGPｺﾞｼｯｸM" w:eastAsia="HGPｺﾞｼｯｸM"/>
                <w:sz w:val="21"/>
              </w:rPr>
            </w:pPr>
          </w:p>
        </w:tc>
        <w:tc>
          <w:tcPr>
            <w:tcW w:w="198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top"/>
          </w:tcPr>
          <w:p>
            <w:pPr>
              <w:pStyle w:val="0"/>
              <w:ind w:firstLine="105" w:firstLineChars="50"/>
              <w:jc w:val="center"/>
              <w:rPr>
                <w:rFonts w:hint="default" w:ascii="HGPｺﾞｼｯｸM" w:hAnsi="HGPｺﾞｼｯｸM" w:eastAsia="HGPｺﾞｼｯｸM"/>
                <w:sz w:val="21"/>
              </w:rPr>
            </w:pPr>
            <w:r>
              <w:rPr>
                <w:rFonts w:hint="eastAsia" w:ascii="HGPｺﾞｼｯｸM" w:hAnsi="HGPｺﾞｼｯｸM" w:eastAsia="HGPｺﾞｼｯｸM"/>
                <w:sz w:val="21"/>
              </w:rPr>
              <w:t>発生量</w:t>
            </w:r>
            <w:r>
              <w:rPr>
                <w:rFonts w:hint="eastAsia" w:ascii="HGPｺﾞｼｯｸM" w:hAnsi="HGPｺﾞｼｯｸM" w:eastAsia="HGPｺﾞｼｯｸM"/>
                <w:sz w:val="21"/>
              </w:rPr>
              <w:t>(t)</w:t>
            </w:r>
          </w:p>
        </w:tc>
        <w:tc>
          <w:tcPr>
            <w:tcW w:w="941" w:type="dxa"/>
            <w:vMerge w:val="continue"/>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top"/>
          </w:tcPr>
          <w:p>
            <w:pPr>
              <w:pStyle w:val="0"/>
              <w:ind w:firstLine="105" w:firstLineChars="50"/>
              <w:jc w:val="center"/>
              <w:rPr>
                <w:rFonts w:hint="default" w:ascii="HGPｺﾞｼｯｸM" w:hAnsi="HGPｺﾞｼｯｸM" w:eastAsia="HGPｺﾞｼｯｸM"/>
                <w:sz w:val="21"/>
              </w:rPr>
            </w:pPr>
          </w:p>
        </w:tc>
      </w:tr>
      <w:tr>
        <w:trPr>
          <w:trHeight w:val="401" w:hRule="exact"/>
        </w:trPr>
        <w:tc>
          <w:tcPr>
            <w:tcW w:w="3119" w:type="dxa"/>
            <w:gridSpan w:val="2"/>
            <w:tcBorders>
              <w:top w:val="single" w:color="000000" w:sz="4" w:space="0"/>
              <w:left w:val="single" w:color="auto" w:sz="4" w:space="0"/>
              <w:bottom w:val="nil"/>
              <w:right w:val="single" w:color="000000" w:sz="4" w:space="0"/>
              <w:tl2br w:val="none" w:color="auto" w:sz="0" w:space="0"/>
              <w:tr2bl w:val="none" w:color="auto" w:sz="0" w:space="0"/>
            </w:tcBorders>
            <w:vAlign w:val="center"/>
          </w:tcPr>
          <w:p>
            <w:pPr>
              <w:pStyle w:val="0"/>
              <w:tabs>
                <w:tab w:val="left" w:leader="none" w:pos="360"/>
                <w:tab w:val="left" w:leader="none" w:pos="1855"/>
              </w:tabs>
              <w:spacing w:line="300" w:lineRule="exact"/>
              <w:ind w:firstLine="240" w:firstLineChars="100"/>
              <w:jc w:val="both"/>
              <w:rPr>
                <w:rFonts w:hint="default" w:ascii="HGPｺﾞｼｯｸM" w:hAnsi="HGPｺﾞｼｯｸM" w:eastAsia="HGPｺﾞｼｯｸM"/>
                <w:sz w:val="21"/>
              </w:rPr>
            </w:pPr>
            <w:r>
              <w:rPr>
                <w:rFonts w:hint="eastAsia" w:ascii="HGPｺﾞｼｯｸM" w:hAnsi="HGPｺﾞｼｯｸM" w:eastAsia="HGPｺﾞｼｯｸM"/>
                <w:sz w:val="24"/>
              </w:rPr>
              <w:t>災害廃棄物（合計値）</w:t>
            </w:r>
          </w:p>
        </w:tc>
        <w:tc>
          <w:tcPr>
            <w:tcW w:w="2410" w:type="dxa"/>
            <w:tcBorders>
              <w:top w:val="single" w:color="000000" w:sz="4" w:space="0"/>
              <w:left w:val="single" w:color="000000" w:sz="4" w:space="0"/>
              <w:bottom w:val="single" w:color="auto" w:sz="4" w:space="0"/>
              <w:right w:val="single" w:color="000000" w:sz="4" w:space="0"/>
              <w:tl2br w:val="none" w:color="auto" w:sz="0" w:space="0"/>
              <w:tr2bl w:val="none" w:color="auto" w:sz="0" w:space="0"/>
            </w:tcBorders>
            <w:vAlign w:val="center"/>
          </w:tcPr>
          <w:p>
            <w:pPr>
              <w:pStyle w:val="0"/>
              <w:ind w:right="700" w:rightChars="318"/>
              <w:jc w:val="right"/>
              <w:rPr>
                <w:rFonts w:hint="default" w:ascii="HGPｺﾞｼｯｸM" w:hAnsi="HGPｺﾞｼｯｸM" w:eastAsia="HGPｺﾞｼｯｸM"/>
                <w:sz w:val="21"/>
              </w:rPr>
            </w:pPr>
            <w:r>
              <w:rPr>
                <w:rFonts w:hint="eastAsia" w:ascii="HGPｺﾞｼｯｸM" w:hAnsi="HGPｺﾞｼｯｸM" w:eastAsia="HGPｺﾞｼｯｸM"/>
                <w:sz w:val="21"/>
              </w:rPr>
              <w:t>1</w:t>
            </w:r>
            <w:r>
              <w:rPr>
                <w:rFonts w:hint="default" w:ascii="HGPｺﾞｼｯｸM" w:hAnsi="HGPｺﾞｼｯｸM" w:eastAsia="HGPｺﾞｼｯｸM"/>
                <w:sz w:val="21"/>
              </w:rPr>
              <w:t>68,601</w:t>
            </w:r>
          </w:p>
        </w:tc>
        <w:tc>
          <w:tcPr>
            <w:tcW w:w="850" w:type="dxa"/>
            <w:tcBorders>
              <w:top w:val="single" w:color="000000" w:sz="4" w:space="0"/>
              <w:left w:val="single" w:color="000000" w:sz="4" w:space="0"/>
              <w:bottom w:val="single" w:color="auto" w:sz="4" w:space="0"/>
              <w:right w:val="single" w:color="000000" w:sz="4" w:space="0"/>
              <w:tl2br w:val="none" w:color="auto" w:sz="0" w:space="0"/>
              <w:tr2bl w:val="none" w:color="auto" w:sz="0" w:space="0"/>
            </w:tcBorders>
            <w:vAlign w:val="center"/>
          </w:tcPr>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w:t>
            </w:r>
          </w:p>
        </w:tc>
        <w:tc>
          <w:tcPr>
            <w:tcW w:w="1985" w:type="dxa"/>
            <w:tcBorders>
              <w:top w:val="single" w:color="000000" w:sz="4" w:space="0"/>
              <w:left w:val="single" w:color="000000" w:sz="4" w:space="0"/>
              <w:bottom w:val="single" w:color="auto" w:sz="4" w:space="0"/>
              <w:right w:val="single" w:color="000000" w:sz="4" w:space="0"/>
              <w:tl2br w:val="none" w:color="auto" w:sz="0" w:space="0"/>
              <w:tr2bl w:val="none" w:color="auto" w:sz="0" w:space="0"/>
            </w:tcBorders>
            <w:vAlign w:val="center"/>
          </w:tcPr>
          <w:p>
            <w:pPr>
              <w:pStyle w:val="0"/>
              <w:ind w:right="557" w:rightChars="253"/>
              <w:jc w:val="right"/>
              <w:rPr>
                <w:rFonts w:hint="default" w:ascii="HGPｺﾞｼｯｸM" w:hAnsi="HGPｺﾞｼｯｸM" w:eastAsia="HGPｺﾞｼｯｸM"/>
                <w:sz w:val="21"/>
              </w:rPr>
            </w:pPr>
            <w:r>
              <w:rPr>
                <w:rFonts w:hint="eastAsia" w:ascii="HGPｺﾞｼｯｸM" w:hAnsi="HGPｺﾞｼｯｸM" w:eastAsia="HGPｺﾞｼｯｸM"/>
                <w:sz w:val="21"/>
              </w:rPr>
              <w:t>6,854</w:t>
            </w:r>
          </w:p>
        </w:tc>
        <w:tc>
          <w:tcPr>
            <w:tcW w:w="941" w:type="dxa"/>
            <w:tcBorders>
              <w:top w:val="single" w:color="000000" w:sz="4" w:space="0"/>
              <w:left w:val="single" w:color="000000" w:sz="4" w:space="0"/>
              <w:bottom w:val="single" w:color="auto" w:sz="4" w:space="0"/>
              <w:right w:val="single" w:color="000000" w:sz="4" w:space="0"/>
              <w:tl2br w:val="none" w:color="auto" w:sz="0" w:space="0"/>
              <w:tr2bl w:val="none" w:color="auto" w:sz="0" w:space="0"/>
            </w:tcBorders>
            <w:vAlign w:val="top"/>
          </w:tcPr>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w:t>
            </w:r>
          </w:p>
        </w:tc>
      </w:tr>
      <w:tr>
        <w:trPr>
          <w:trHeight w:val="343" w:hRule="atLeast"/>
        </w:trPr>
        <w:tc>
          <w:tcPr>
            <w:tcW w:w="181" w:type="dxa"/>
            <w:tcBorders>
              <w:top w:val="nil"/>
              <w:left w:val="single" w:color="auto" w:sz="4" w:space="0"/>
              <w:bottom w:val="nil"/>
              <w:right w:val="single" w:color="auto" w:sz="4" w:space="0"/>
              <w:tl2br w:val="none" w:color="auto" w:sz="0" w:space="0"/>
              <w:tr2bl w:val="none" w:color="auto" w:sz="0" w:space="0"/>
            </w:tcBorders>
            <w:vAlign w:val="center"/>
          </w:tcPr>
          <w:p>
            <w:pPr>
              <w:pStyle w:val="0"/>
              <w:tabs>
                <w:tab w:val="left" w:leader="none" w:pos="360"/>
                <w:tab w:val="left" w:leader="none" w:pos="1855"/>
              </w:tabs>
              <w:spacing w:line="300" w:lineRule="exact"/>
              <w:jc w:val="both"/>
              <w:rPr>
                <w:rFonts w:hint="default" w:ascii="HGPｺﾞｼｯｸM" w:hAnsi="HGPｺﾞｼｯｸM" w:eastAsia="HGPｺﾞｼｯｸM"/>
                <w:sz w:val="21"/>
              </w:rPr>
            </w:pPr>
          </w:p>
        </w:tc>
        <w:tc>
          <w:tcPr>
            <w:tcW w:w="2938" w:type="dxa"/>
            <w:tcBorders>
              <w:top w:val="single" w:color="auto"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tabs>
                <w:tab w:val="left" w:leader="none" w:pos="360"/>
                <w:tab w:val="left" w:leader="none" w:pos="1855"/>
              </w:tabs>
              <w:spacing w:line="300" w:lineRule="exact"/>
              <w:jc w:val="both"/>
              <w:rPr>
                <w:rFonts w:hint="default" w:ascii="HGPｺﾞｼｯｸM" w:hAnsi="HGPｺﾞｼｯｸM" w:eastAsia="HGPｺﾞｼｯｸM"/>
                <w:sz w:val="21"/>
              </w:rPr>
            </w:pPr>
            <w:r>
              <w:rPr>
                <w:rFonts w:hint="eastAsia" w:ascii="HGPｺﾞｼｯｸM" w:hAnsi="HGPｺﾞｼｯｸM" w:eastAsia="HGPｺﾞｼｯｸM"/>
                <w:sz w:val="21"/>
              </w:rPr>
              <w:t>可燃物</w:t>
            </w:r>
            <w:r>
              <w:rPr>
                <w:rFonts w:hint="eastAsia" w:ascii="HGPｺﾞｼｯｸM" w:hAnsi="HGPｺﾞｼｯｸM" w:eastAsia="HGPｺﾞｼｯｸM"/>
                <w:sz w:val="21"/>
              </w:rPr>
              <w:t xml:space="preserve"> </w:t>
            </w:r>
          </w:p>
        </w:tc>
        <w:tc>
          <w:tcPr>
            <w:tcW w:w="2410"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ind w:right="700" w:rightChars="318"/>
              <w:jc w:val="right"/>
              <w:rPr>
                <w:rFonts w:hint="default" w:ascii="HGPｺﾞｼｯｸM" w:hAnsi="HGPｺﾞｼｯｸM" w:eastAsia="HGPｺﾞｼｯｸM"/>
                <w:sz w:val="21"/>
              </w:rPr>
            </w:pPr>
            <w:r>
              <w:rPr>
                <w:rFonts w:hint="default" w:ascii="HGPｺﾞｼｯｸM" w:hAnsi="HGPｺﾞｼｯｸM" w:eastAsia="HGPｺﾞｼｯｸM"/>
                <w:sz w:val="21"/>
              </w:rPr>
              <w:t xml:space="preserve">26,914 </w:t>
            </w:r>
          </w:p>
        </w:tc>
        <w:tc>
          <w:tcPr>
            <w:tcW w:w="850"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16%</w:t>
            </w:r>
          </w:p>
        </w:tc>
        <w:tc>
          <w:tcPr>
            <w:tcW w:w="1985"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ind w:right="557" w:rightChars="253"/>
              <w:jc w:val="right"/>
              <w:rPr>
                <w:rFonts w:hint="default" w:ascii="HGPｺﾞｼｯｸM" w:hAnsi="HGPｺﾞｼｯｸM" w:eastAsia="HGPｺﾞｼｯｸM"/>
                <w:sz w:val="21"/>
              </w:rPr>
            </w:pPr>
            <w:r>
              <w:rPr>
                <w:rFonts w:hint="eastAsia" w:ascii="HGPｺﾞｼｯｸM" w:hAnsi="HGPｺﾞｼｯｸM" w:eastAsia="HGPｺﾞｼｯｸM"/>
                <w:color w:val="000000"/>
              </w:rPr>
              <w:t xml:space="preserve">302 </w:t>
            </w:r>
          </w:p>
        </w:tc>
        <w:tc>
          <w:tcPr>
            <w:tcW w:w="941" w:type="dxa"/>
            <w:tcBorders>
              <w:top w:val="single" w:color="auto"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4.4%</w:t>
            </w:r>
          </w:p>
        </w:tc>
      </w:tr>
      <w:tr>
        <w:trPr>
          <w:trHeight w:val="340" w:hRule="exact"/>
        </w:trPr>
        <w:tc>
          <w:tcPr>
            <w:tcW w:w="181" w:type="dxa"/>
            <w:tcBorders>
              <w:top w:val="nil"/>
              <w:left w:val="single" w:color="auto" w:sz="4" w:space="0"/>
              <w:bottom w:val="nil"/>
              <w:right w:val="single" w:color="auto" w:sz="4" w:space="0"/>
              <w:tl2br w:val="none" w:color="auto" w:sz="0" w:space="0"/>
              <w:tr2bl w:val="none" w:color="auto" w:sz="0" w:space="0"/>
            </w:tcBorders>
            <w:vAlign w:val="center"/>
          </w:tcPr>
          <w:p>
            <w:pPr>
              <w:pStyle w:val="0"/>
              <w:tabs>
                <w:tab w:val="left" w:leader="none" w:pos="986"/>
                <w:tab w:val="left" w:leader="none" w:pos="1855"/>
              </w:tabs>
              <w:spacing w:line="300" w:lineRule="exact"/>
              <w:jc w:val="both"/>
              <w:rPr>
                <w:rFonts w:hint="default" w:ascii="HGPｺﾞｼｯｸM" w:hAnsi="HGPｺﾞｼｯｸM" w:eastAsia="HGPｺﾞｼｯｸM"/>
                <w:sz w:val="21"/>
              </w:rPr>
            </w:pPr>
          </w:p>
        </w:tc>
        <w:tc>
          <w:tcPr>
            <w:tcW w:w="293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tabs>
                <w:tab w:val="left" w:leader="none" w:pos="986"/>
                <w:tab w:val="left" w:leader="none" w:pos="1855"/>
              </w:tabs>
              <w:spacing w:line="300" w:lineRule="exact"/>
              <w:jc w:val="both"/>
              <w:rPr>
                <w:rFonts w:hint="default" w:ascii="HGPｺﾞｼｯｸM" w:hAnsi="HGPｺﾞｼｯｸM" w:eastAsia="HGPｺﾞｼｯｸM"/>
                <w:sz w:val="21"/>
              </w:rPr>
            </w:pPr>
            <w:r>
              <w:rPr>
                <w:rFonts w:hint="eastAsia" w:ascii="HGPｺﾞｼｯｸM" w:hAnsi="HGPｺﾞｼｯｸM" w:eastAsia="HGPｺﾞｼｯｸM"/>
                <w:sz w:val="21"/>
              </w:rPr>
              <w:t>不燃物</w:t>
            </w:r>
            <w:r>
              <w:rPr>
                <w:rFonts w:hint="eastAsia" w:ascii="HGPｺﾞｼｯｸM" w:hAnsi="HGPｺﾞｼｯｸM" w:eastAsia="HGPｺﾞｼｯｸM"/>
                <w:sz w:val="21"/>
              </w:rPr>
              <w:t xml:space="preserve"> </w:t>
            </w:r>
          </w:p>
        </w:tc>
        <w:tc>
          <w:tcPr>
            <w:tcW w:w="24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ind w:right="700" w:rightChars="318"/>
              <w:jc w:val="right"/>
              <w:rPr>
                <w:rFonts w:hint="default" w:ascii="HGPｺﾞｼｯｸM" w:hAnsi="HGPｺﾞｼｯｸM" w:eastAsia="HGPｺﾞｼｯｸM"/>
                <w:sz w:val="21"/>
              </w:rPr>
            </w:pPr>
            <w:r>
              <w:rPr>
                <w:rFonts w:hint="default" w:ascii="HGPｺﾞｼｯｸM" w:hAnsi="HGPｺﾞｼｯｸM" w:eastAsia="HGPｺﾞｼｯｸM"/>
                <w:sz w:val="21"/>
              </w:rPr>
              <w:t xml:space="preserve">57,445 </w:t>
            </w:r>
          </w:p>
        </w:tc>
        <w:tc>
          <w:tcPr>
            <w:tcW w:w="85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34%</w:t>
            </w:r>
          </w:p>
        </w:tc>
        <w:tc>
          <w:tcPr>
            <w:tcW w:w="198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ind w:right="557" w:rightChars="253"/>
              <w:jc w:val="right"/>
              <w:rPr>
                <w:rFonts w:hint="default" w:ascii="HGPｺﾞｼｯｸM" w:hAnsi="HGPｺﾞｼｯｸM" w:eastAsia="HGPｺﾞｼｯｸM"/>
                <w:sz w:val="21"/>
              </w:rPr>
            </w:pPr>
            <w:r>
              <w:rPr>
                <w:rFonts w:hint="eastAsia" w:ascii="HGPｺﾞｼｯｸM" w:hAnsi="HGPｺﾞｼｯｸM" w:eastAsia="HGPｺﾞｼｯｸM"/>
                <w:color w:val="000000"/>
              </w:rPr>
              <w:t xml:space="preserve">4,866 </w:t>
            </w:r>
          </w:p>
        </w:tc>
        <w:tc>
          <w:tcPr>
            <w:tcW w:w="94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71%</w:t>
            </w:r>
          </w:p>
        </w:tc>
      </w:tr>
      <w:tr>
        <w:trPr>
          <w:trHeight w:val="340" w:hRule="exact"/>
        </w:trPr>
        <w:tc>
          <w:tcPr>
            <w:tcW w:w="181" w:type="dxa"/>
            <w:tcBorders>
              <w:top w:val="nil"/>
              <w:left w:val="single" w:color="auto" w:sz="4" w:space="0"/>
              <w:bottom w:val="nil"/>
              <w:right w:val="single" w:color="auto" w:sz="4" w:space="0"/>
              <w:tl2br w:val="none" w:color="auto" w:sz="0" w:space="0"/>
              <w:tr2bl w:val="none" w:color="auto" w:sz="0" w:space="0"/>
            </w:tcBorders>
            <w:vAlign w:val="center"/>
          </w:tcPr>
          <w:p>
            <w:pPr>
              <w:pStyle w:val="0"/>
              <w:spacing w:line="300" w:lineRule="exact"/>
              <w:jc w:val="both"/>
              <w:rPr>
                <w:rFonts w:hint="default" w:ascii="HGPｺﾞｼｯｸM" w:hAnsi="HGPｺﾞｼｯｸM" w:eastAsia="HGPｺﾞｼｯｸM"/>
                <w:sz w:val="21"/>
              </w:rPr>
            </w:pPr>
          </w:p>
        </w:tc>
        <w:tc>
          <w:tcPr>
            <w:tcW w:w="293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spacing w:line="300" w:lineRule="exact"/>
              <w:jc w:val="both"/>
              <w:rPr>
                <w:rFonts w:hint="default" w:ascii="HGPｺﾞｼｯｸM" w:hAnsi="HGPｺﾞｼｯｸM" w:eastAsia="HGPｺﾞｼｯｸM"/>
                <w:sz w:val="21"/>
              </w:rPr>
            </w:pPr>
            <w:r>
              <w:rPr>
                <w:rFonts w:hint="eastAsia" w:ascii="HGPｺﾞｼｯｸM" w:hAnsi="HGPｺﾞｼｯｸM" w:eastAsia="HGPｺﾞｼｯｸM"/>
                <w:sz w:val="21"/>
              </w:rPr>
              <w:t>コンクリートがら</w:t>
            </w:r>
            <w:r>
              <w:rPr>
                <w:rFonts w:hint="eastAsia" w:ascii="HGPｺﾞｼｯｸM" w:hAnsi="HGPｺﾞｼｯｸM" w:eastAsia="HGPｺﾞｼｯｸM"/>
                <w:sz w:val="21"/>
              </w:rPr>
              <w:t xml:space="preserve"> </w:t>
            </w:r>
          </w:p>
        </w:tc>
        <w:tc>
          <w:tcPr>
            <w:tcW w:w="24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ind w:right="700" w:rightChars="318"/>
              <w:jc w:val="right"/>
              <w:rPr>
                <w:rFonts w:hint="default" w:ascii="HGPｺﾞｼｯｸM" w:hAnsi="HGPｺﾞｼｯｸM" w:eastAsia="HGPｺﾞｼｯｸM"/>
                <w:sz w:val="21"/>
              </w:rPr>
            </w:pPr>
            <w:r>
              <w:rPr>
                <w:rFonts w:hint="default" w:ascii="HGPｺﾞｼｯｸM" w:hAnsi="HGPｺﾞｼｯｸM" w:eastAsia="HGPｺﾞｼｯｸM"/>
                <w:sz w:val="21"/>
              </w:rPr>
              <w:t xml:space="preserve">72,452 </w:t>
            </w:r>
          </w:p>
        </w:tc>
        <w:tc>
          <w:tcPr>
            <w:tcW w:w="85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43%</w:t>
            </w:r>
          </w:p>
        </w:tc>
        <w:tc>
          <w:tcPr>
            <w:tcW w:w="198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ind w:right="557" w:rightChars="253"/>
              <w:jc w:val="right"/>
              <w:rPr>
                <w:rFonts w:hint="default" w:ascii="HGPｺﾞｼｯｸM" w:hAnsi="HGPｺﾞｼｯｸM" w:eastAsia="HGPｺﾞｼｯｸM"/>
                <w:sz w:val="21"/>
              </w:rPr>
            </w:pPr>
            <w:r>
              <w:rPr>
                <w:rFonts w:hint="eastAsia" w:ascii="HGPｺﾞｼｯｸM" w:hAnsi="HGPｺﾞｼｯｸM" w:eastAsia="HGPｺﾞｼｯｸM"/>
                <w:color w:val="000000"/>
              </w:rPr>
              <w:t xml:space="preserve">679 </w:t>
            </w:r>
          </w:p>
        </w:tc>
        <w:tc>
          <w:tcPr>
            <w:tcW w:w="94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9.9%</w:t>
            </w:r>
          </w:p>
        </w:tc>
      </w:tr>
      <w:tr>
        <w:trPr>
          <w:trHeight w:val="340" w:hRule="exact"/>
        </w:trPr>
        <w:tc>
          <w:tcPr>
            <w:tcW w:w="181" w:type="dxa"/>
            <w:tcBorders>
              <w:top w:val="nil"/>
              <w:left w:val="single" w:color="auto" w:sz="4" w:space="0"/>
              <w:bottom w:val="nil"/>
              <w:right w:val="single" w:color="auto" w:sz="4" w:space="0"/>
              <w:tl2br w:val="none" w:color="auto" w:sz="0" w:space="0"/>
              <w:tr2bl w:val="none" w:color="auto" w:sz="0" w:space="0"/>
            </w:tcBorders>
            <w:vAlign w:val="center"/>
          </w:tcPr>
          <w:p>
            <w:pPr>
              <w:pStyle w:val="0"/>
              <w:tabs>
                <w:tab w:val="left" w:leader="none" w:pos="1890"/>
                <w:tab w:val="left" w:leader="none" w:pos="1950"/>
                <w:tab w:val="left" w:leader="none" w:pos="2040"/>
              </w:tabs>
              <w:spacing w:line="301" w:lineRule="exact"/>
              <w:jc w:val="both"/>
              <w:rPr>
                <w:rFonts w:hint="default" w:ascii="HGPｺﾞｼｯｸM" w:hAnsi="HGPｺﾞｼｯｸM" w:eastAsia="HGPｺﾞｼｯｸM"/>
                <w:sz w:val="21"/>
              </w:rPr>
            </w:pPr>
          </w:p>
        </w:tc>
        <w:tc>
          <w:tcPr>
            <w:tcW w:w="293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tabs>
                <w:tab w:val="left" w:leader="none" w:pos="1890"/>
                <w:tab w:val="left" w:leader="none" w:pos="1950"/>
                <w:tab w:val="left" w:leader="none" w:pos="2040"/>
              </w:tabs>
              <w:spacing w:line="301" w:lineRule="exact"/>
              <w:jc w:val="both"/>
              <w:rPr>
                <w:rFonts w:hint="default" w:ascii="HGPｺﾞｼｯｸM" w:hAnsi="HGPｺﾞｼｯｸM" w:eastAsia="HGPｺﾞｼｯｸM"/>
                <w:sz w:val="21"/>
              </w:rPr>
            </w:pPr>
            <w:r>
              <w:rPr>
                <w:rFonts w:hint="eastAsia" w:ascii="HGPｺﾞｼｯｸM" w:hAnsi="HGPｺﾞｼｯｸM" w:eastAsia="HGPｺﾞｼｯｸM"/>
                <w:sz w:val="21"/>
              </w:rPr>
              <w:t>金属</w:t>
            </w:r>
            <w:r>
              <w:rPr>
                <w:rFonts w:hint="eastAsia" w:ascii="HGPｺﾞｼｯｸM" w:hAnsi="HGPｺﾞｼｯｸM" w:eastAsia="HGPｺﾞｼｯｸM"/>
                <w:sz w:val="21"/>
              </w:rPr>
              <w:t xml:space="preserve"> </w:t>
            </w:r>
          </w:p>
        </w:tc>
        <w:tc>
          <w:tcPr>
            <w:tcW w:w="24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ind w:right="700" w:rightChars="318"/>
              <w:jc w:val="right"/>
              <w:rPr>
                <w:rFonts w:hint="default" w:ascii="HGPｺﾞｼｯｸM" w:hAnsi="HGPｺﾞｼｯｸM" w:eastAsia="HGPｺﾞｼｯｸM"/>
                <w:sz w:val="21"/>
              </w:rPr>
            </w:pPr>
            <w:r>
              <w:rPr>
                <w:rFonts w:hint="default" w:ascii="HGPｺﾞｼｯｸM" w:hAnsi="HGPｺﾞｼｯｸM" w:eastAsia="HGPｺﾞｼｯｸM"/>
                <w:sz w:val="21"/>
              </w:rPr>
              <w:t xml:space="preserve">5,062 </w:t>
            </w:r>
          </w:p>
        </w:tc>
        <w:tc>
          <w:tcPr>
            <w:tcW w:w="85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3%</w:t>
            </w:r>
          </w:p>
        </w:tc>
        <w:tc>
          <w:tcPr>
            <w:tcW w:w="198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ind w:right="557" w:rightChars="253"/>
              <w:jc w:val="right"/>
              <w:rPr>
                <w:rFonts w:hint="default" w:ascii="HGPｺﾞｼｯｸM" w:hAnsi="HGPｺﾞｼｯｸM" w:eastAsia="HGPｺﾞｼｯｸM"/>
                <w:sz w:val="21"/>
              </w:rPr>
            </w:pPr>
            <w:r>
              <w:rPr>
                <w:rFonts w:hint="eastAsia" w:ascii="HGPｺﾞｼｯｸM" w:hAnsi="HGPｺﾞｼｯｸM" w:eastAsia="HGPｺﾞｼｯｸM"/>
                <w:color w:val="000000"/>
              </w:rPr>
              <w:t xml:space="preserve">41 </w:t>
            </w:r>
          </w:p>
        </w:tc>
        <w:tc>
          <w:tcPr>
            <w:tcW w:w="94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0.6%</w:t>
            </w:r>
          </w:p>
        </w:tc>
      </w:tr>
      <w:tr>
        <w:trPr>
          <w:trHeight w:val="341" w:hRule="exact"/>
        </w:trPr>
        <w:tc>
          <w:tcPr>
            <w:tcW w:w="181" w:type="dxa"/>
            <w:vMerge w:val="restart"/>
            <w:tcBorders>
              <w:top w:val="nil"/>
              <w:left w:val="single" w:color="auto" w:sz="4" w:space="0"/>
              <w:bottom w:val="none" w:color="auto" w:sz="0" w:space="0"/>
              <w:right w:val="single" w:color="auto" w:sz="4" w:space="0"/>
              <w:tl2br w:val="none" w:color="auto" w:sz="0" w:space="0"/>
              <w:tr2bl w:val="none" w:color="auto" w:sz="0" w:space="0"/>
            </w:tcBorders>
            <w:vAlign w:val="center"/>
          </w:tcPr>
          <w:p>
            <w:pPr>
              <w:pStyle w:val="0"/>
              <w:tabs>
                <w:tab w:val="left" w:leader="none" w:pos="1855"/>
              </w:tabs>
              <w:spacing w:line="303" w:lineRule="exact"/>
              <w:jc w:val="both"/>
              <w:rPr>
                <w:rFonts w:hint="default" w:ascii="HGPｺﾞｼｯｸM" w:hAnsi="HGPｺﾞｼｯｸM" w:eastAsia="HGPｺﾞｼｯｸM"/>
                <w:sz w:val="21"/>
              </w:rPr>
            </w:pPr>
          </w:p>
        </w:tc>
        <w:tc>
          <w:tcPr>
            <w:tcW w:w="293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tabs>
                <w:tab w:val="left" w:leader="none" w:pos="1855"/>
              </w:tabs>
              <w:spacing w:line="303" w:lineRule="exact"/>
              <w:jc w:val="both"/>
              <w:rPr>
                <w:rFonts w:hint="default" w:ascii="HGPｺﾞｼｯｸM" w:hAnsi="HGPｺﾞｼｯｸM" w:eastAsia="HGPｺﾞｼｯｸM"/>
                <w:sz w:val="21"/>
              </w:rPr>
            </w:pPr>
            <w:r>
              <w:rPr>
                <w:rFonts w:hint="eastAsia" w:ascii="HGPｺﾞｼｯｸM" w:hAnsi="HGPｺﾞｼｯｸM" w:eastAsia="HGPｺﾞｼｯｸM"/>
                <w:sz w:val="21"/>
              </w:rPr>
              <w:t>柱角材</w:t>
            </w:r>
            <w:r>
              <w:rPr>
                <w:rFonts w:hint="eastAsia" w:ascii="HGPｺﾞｼｯｸM" w:hAnsi="HGPｺﾞｼｯｸM" w:eastAsia="HGPｺﾞｼｯｸM"/>
                <w:sz w:val="21"/>
              </w:rPr>
              <w:t xml:space="preserve"> </w:t>
            </w:r>
          </w:p>
        </w:tc>
        <w:tc>
          <w:tcPr>
            <w:tcW w:w="24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ind w:right="700" w:rightChars="318"/>
              <w:jc w:val="right"/>
              <w:rPr>
                <w:rFonts w:hint="default" w:ascii="HGPｺﾞｼｯｸM" w:hAnsi="HGPｺﾞｼｯｸM" w:eastAsia="HGPｺﾞｼｯｸM"/>
                <w:sz w:val="21"/>
              </w:rPr>
            </w:pPr>
            <w:r>
              <w:rPr>
                <w:rFonts w:hint="default" w:ascii="HGPｺﾞｼｯｸM" w:hAnsi="HGPｺﾞｼｯｸM" w:eastAsia="HGPｺﾞｼｯｸM"/>
                <w:sz w:val="21"/>
              </w:rPr>
              <w:t xml:space="preserve">6,728 </w:t>
            </w:r>
          </w:p>
        </w:tc>
        <w:tc>
          <w:tcPr>
            <w:tcW w:w="85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4%</w:t>
            </w:r>
          </w:p>
        </w:tc>
        <w:tc>
          <w:tcPr>
            <w:tcW w:w="198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ind w:right="557" w:rightChars="253"/>
              <w:jc w:val="right"/>
              <w:rPr>
                <w:rFonts w:hint="default" w:ascii="HGPｺﾞｼｯｸM" w:hAnsi="HGPｺﾞｼｯｸM" w:eastAsia="HGPｺﾞｼｯｸM"/>
                <w:sz w:val="21"/>
              </w:rPr>
            </w:pPr>
            <w:r>
              <w:rPr>
                <w:rFonts w:hint="eastAsia" w:ascii="HGPｺﾞｼｯｸM" w:hAnsi="HGPｺﾞｼｯｸM" w:eastAsia="HGPｺﾞｼｯｸM"/>
                <w:color w:val="000000"/>
              </w:rPr>
              <w:t xml:space="preserve">144 </w:t>
            </w:r>
          </w:p>
        </w:tc>
        <w:tc>
          <w:tcPr>
            <w:tcW w:w="94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2.1%</w:t>
            </w:r>
          </w:p>
        </w:tc>
      </w:tr>
      <w:tr>
        <w:trPr>
          <w:trHeight w:val="341" w:hRule="exact"/>
        </w:trPr>
        <w:tc>
          <w:tcPr>
            <w:tcW w:w="181" w:type="dxa"/>
            <w:vMerge w:val="continue"/>
            <w:tcBorders>
              <w:top w:val="none" w:color="auto" w:sz="0" w:space="0"/>
              <w:left w:val="single" w:color="auto" w:sz="4" w:space="0"/>
              <w:bottom w:val="single" w:color="000000" w:sz="4" w:space="0"/>
              <w:right w:val="single" w:color="auto" w:sz="4" w:space="0"/>
              <w:tl2br w:val="none" w:color="auto" w:sz="0" w:space="0"/>
              <w:tr2bl w:val="none" w:color="auto" w:sz="0" w:space="0"/>
            </w:tcBorders>
            <w:vAlign w:val="center"/>
          </w:tcPr>
          <w:p>
            <w:pPr>
              <w:pStyle w:val="0"/>
              <w:tabs>
                <w:tab w:val="left" w:leader="none" w:pos="1855"/>
              </w:tabs>
              <w:spacing w:line="303" w:lineRule="exact"/>
              <w:jc w:val="both"/>
              <w:rPr>
                <w:rFonts w:hint="default" w:ascii="HGPｺﾞｼｯｸM" w:hAnsi="HGPｺﾞｼｯｸM" w:eastAsia="HGPｺﾞｼｯｸM"/>
                <w:sz w:val="21"/>
              </w:rPr>
            </w:pPr>
          </w:p>
        </w:tc>
        <w:tc>
          <w:tcPr>
            <w:tcW w:w="2938"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tabs>
                <w:tab w:val="left" w:leader="none" w:pos="1855"/>
              </w:tabs>
              <w:spacing w:line="303" w:lineRule="exact"/>
              <w:jc w:val="both"/>
              <w:rPr>
                <w:rFonts w:hint="default" w:ascii="HGPｺﾞｼｯｸM" w:hAnsi="HGPｺﾞｼｯｸM" w:eastAsia="HGPｺﾞｼｯｸM"/>
                <w:sz w:val="21"/>
              </w:rPr>
            </w:pPr>
            <w:r>
              <w:rPr>
                <w:rFonts w:hint="eastAsia" w:ascii="HGPｺﾞｼｯｸM" w:hAnsi="HGPｺﾞｼｯｸM" w:eastAsia="HGPｺﾞｼｯｸM"/>
                <w:sz w:val="21"/>
              </w:rPr>
              <w:t>土砂（土砂混じり廃棄物）</w:t>
            </w:r>
          </w:p>
        </w:tc>
        <w:tc>
          <w:tcPr>
            <w:tcW w:w="241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ind w:right="700" w:rightChars="318"/>
              <w:jc w:val="right"/>
              <w:rPr>
                <w:rFonts w:hint="default" w:ascii="HGPｺﾞｼｯｸM" w:hAnsi="HGPｺﾞｼｯｸM" w:eastAsia="HGPｺﾞｼｯｸM"/>
                <w:sz w:val="21"/>
              </w:rPr>
            </w:pPr>
            <w:r>
              <w:rPr>
                <w:rFonts w:hint="eastAsia" w:ascii="HGPｺﾞｼｯｸM" w:hAnsi="HGPｺﾞｼｯｸM" w:eastAsia="HGPｺﾞｼｯｸM"/>
                <w:sz w:val="21"/>
              </w:rPr>
              <w:t>0</w:t>
            </w:r>
          </w:p>
        </w:tc>
        <w:tc>
          <w:tcPr>
            <w:tcW w:w="85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0%</w:t>
            </w:r>
          </w:p>
        </w:tc>
        <w:tc>
          <w:tcPr>
            <w:tcW w:w="198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ind w:right="557" w:rightChars="253"/>
              <w:jc w:val="right"/>
              <w:rPr>
                <w:rFonts w:hint="default" w:ascii="HGPｺﾞｼｯｸM" w:hAnsi="HGPｺﾞｼｯｸM" w:eastAsia="HGPｺﾞｼｯｸM"/>
                <w:sz w:val="21"/>
              </w:rPr>
            </w:pPr>
            <w:r>
              <w:rPr>
                <w:rFonts w:hint="eastAsia" w:ascii="HGPｺﾞｼｯｸM" w:hAnsi="HGPｺﾞｼｯｸM" w:eastAsia="HGPｺﾞｼｯｸM"/>
                <w:color w:val="000000"/>
              </w:rPr>
              <w:t xml:space="preserve">822 </w:t>
            </w:r>
          </w:p>
        </w:tc>
        <w:tc>
          <w:tcPr>
            <w:tcW w:w="94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12%</w:t>
            </w:r>
          </w:p>
        </w:tc>
      </w:tr>
    </w:tbl>
    <w:p>
      <w:pPr>
        <w:pStyle w:val="0"/>
        <w:rPr>
          <w:rFonts w:hint="default" w:ascii="ＭＳ 明朝" w:hAnsi="ＭＳ 明朝" w:eastAsia="ＭＳ 明朝"/>
          <w:sz w:val="18"/>
        </w:rPr>
      </w:pPr>
      <w:r>
        <w:rPr>
          <w:rFonts w:hint="eastAsia" w:ascii="ＭＳ 明朝" w:hAnsi="ＭＳ 明朝" w:eastAsia="ＭＳ 明朝"/>
          <w:kern w:val="2"/>
          <w:sz w:val="18"/>
        </w:rPr>
        <w:t>災害廃棄物対策指針、</w:t>
      </w:r>
      <w:r>
        <w:rPr>
          <w:rFonts w:hint="eastAsia" w:ascii="ＭＳ 明朝" w:hAnsi="ＭＳ 明朝" w:eastAsia="ＭＳ 明朝"/>
          <w:sz w:val="18"/>
        </w:rPr>
        <w:t>平成２５年度沖縄県地震被害想定調査</w:t>
      </w:r>
      <w:r>
        <w:rPr>
          <w:rFonts w:hint="eastAsia" w:ascii="ＭＳ 明朝" w:hAnsi="ＭＳ 明朝" w:eastAsia="ＭＳ 明朝"/>
          <w:kern w:val="2"/>
          <w:sz w:val="18"/>
        </w:rPr>
        <w:t>をもとに試算</w:t>
      </w:r>
    </w:p>
    <w:p>
      <w:pPr>
        <w:pStyle w:val="0"/>
        <w:rPr>
          <w:rFonts w:hint="default" w:ascii="ＭＳ 明朝" w:hAnsi="ＭＳ 明朝" w:eastAsia="ＭＳ 明朝"/>
        </w:rPr>
      </w:pPr>
    </w:p>
    <w:p>
      <w:pPr>
        <w:pStyle w:val="0"/>
        <w:spacing w:before="29" w:beforeLines="0" w:beforeAutospacing="0"/>
        <w:rPr>
          <w:rFonts w:hint="default"/>
          <w:sz w:val="21"/>
        </w:rPr>
      </w:pPr>
    </w:p>
    <w:p>
      <w:pPr>
        <w:pStyle w:val="0"/>
        <w:widowControl w:val="1"/>
        <w:autoSpaceDE w:val="1"/>
        <w:autoSpaceDN w:val="1"/>
        <w:rPr>
          <w:rFonts w:hint="default"/>
          <w:sz w:val="21"/>
        </w:rPr>
      </w:pPr>
      <w:r>
        <w:rPr>
          <w:rFonts w:hint="default"/>
          <w:sz w:val="21"/>
        </w:rPr>
        <w:br w:type="page"/>
      </w:r>
    </w:p>
    <w:p>
      <w:pPr>
        <w:pStyle w:val="0"/>
        <w:keepNext w:val="1"/>
        <w:outlineLvl w:val="2"/>
        <w:rPr>
          <w:rFonts w:hint="default"/>
        </w:rPr>
      </w:pPr>
      <w:bookmarkStart w:id="42" w:name="_Toc27146513"/>
      <w:bookmarkStart w:id="43" w:name="_Toc60838759"/>
      <w:r>
        <w:rPr>
          <w:rFonts w:hint="eastAsia"/>
        </w:rPr>
        <w:t>（２）処理可能量</w:t>
      </w:r>
      <w:bookmarkEnd w:id="42"/>
      <w:bookmarkEnd w:id="43"/>
    </w:p>
    <w:p>
      <w:pPr>
        <w:pStyle w:val="0"/>
        <w:spacing w:line="276" w:lineRule="auto"/>
        <w:ind w:firstLine="220" w:firstLineChars="100"/>
        <w:rPr>
          <w:rFonts w:hint="default" w:ascii="ＭＳ 明朝" w:hAnsi="ＭＳ 明朝" w:eastAsia="ＭＳ 明朝"/>
        </w:rPr>
      </w:pPr>
      <w:r>
        <w:rPr>
          <w:rFonts w:hint="eastAsia" w:ascii="ＭＳ 明朝" w:hAnsi="ＭＳ 明朝" w:eastAsia="ＭＳ 明朝"/>
        </w:rPr>
        <w:t>災害廃棄物に対する焼却施設及び最終処分場における処理可能量を、平時施設の処理実績をふまえて算出した。</w:t>
      </w:r>
    </w:p>
    <w:p>
      <w:pPr>
        <w:pStyle w:val="0"/>
        <w:ind w:firstLine="220" w:firstLineChars="100"/>
        <w:rPr>
          <w:rFonts w:hint="default" w:ascii="ＭＳ 明朝" w:hAnsi="ＭＳ 明朝" w:eastAsia="ＭＳ 明朝"/>
        </w:rPr>
      </w:pPr>
    </w:p>
    <w:p>
      <w:pPr>
        <w:pStyle w:val="0"/>
        <w:spacing w:line="276" w:lineRule="auto"/>
        <w:rPr>
          <w:rFonts w:hint="default" w:ascii="ＭＳ 明朝" w:hAnsi="ＭＳ 明朝" w:eastAsia="ＭＳ 明朝"/>
        </w:rPr>
      </w:pPr>
      <w:r>
        <w:rPr>
          <w:rFonts w:hint="eastAsia" w:ascii="ＭＳ 明朝" w:hAnsi="ＭＳ 明朝" w:eastAsia="ＭＳ 明朝"/>
        </w:rPr>
        <w:t>ア）焼却施設処理可能量</w:t>
      </w:r>
    </w:p>
    <w:p>
      <w:pPr>
        <w:pStyle w:val="0"/>
        <w:autoSpaceDE w:val="1"/>
        <w:autoSpaceDN w:val="1"/>
        <w:spacing w:line="276" w:lineRule="auto"/>
        <w:ind w:left="220" w:leftChars="100"/>
        <w:jc w:val="both"/>
        <w:rPr>
          <w:rFonts w:hint="default" w:ascii="ＭＳ 明朝" w:hAnsi="ＭＳ 明朝" w:eastAsia="ＭＳ 明朝"/>
          <w:kern w:val="2"/>
          <w:sz w:val="21"/>
        </w:rPr>
      </w:pPr>
      <w:r>
        <w:rPr>
          <w:rFonts w:hint="eastAsia" w:ascii="ＭＳ 明朝" w:hAnsi="ＭＳ 明朝" w:eastAsia="ＭＳ 明朝"/>
        </w:rPr>
        <w:t>　</w:t>
      </w:r>
      <w:r>
        <w:rPr>
          <w:rFonts w:hint="eastAsia" w:ascii="ＭＳ 明朝" w:hAnsi="ＭＳ 明朝" w:eastAsia="ＭＳ 明朝"/>
          <w:kern w:val="2"/>
          <w:sz w:val="21"/>
        </w:rPr>
        <w:t>災害廃棄物の処理を最大限に行うこと（表１９</w:t>
      </w:r>
      <w:r>
        <w:rPr>
          <w:rFonts w:hint="eastAsia" w:ascii="ＭＳ 明朝" w:hAnsi="ＭＳ 明朝" w:eastAsia="ＭＳ 明朝"/>
          <w:kern w:val="2"/>
          <w:sz w:val="21"/>
        </w:rPr>
        <w:t>-</w:t>
      </w:r>
      <w:r>
        <w:rPr>
          <w:rFonts w:hint="eastAsia" w:ascii="ＭＳ 明朝" w:hAnsi="ＭＳ 明朝" w:eastAsia="ＭＳ 明朝"/>
          <w:kern w:val="2"/>
          <w:sz w:val="21"/>
        </w:rPr>
        <w:t>高位シナリオ）を前提とし、災害廃棄物の割合（分担率）を「処理実績」の</w:t>
      </w:r>
      <w:r>
        <w:rPr>
          <w:rFonts w:hint="eastAsia" w:ascii="ＭＳ 明朝" w:hAnsi="ＭＳ 明朝" w:eastAsia="ＭＳ 明朝"/>
          <w:kern w:val="2"/>
          <w:sz w:val="21"/>
        </w:rPr>
        <w:t>20</w:t>
      </w:r>
      <w:r>
        <w:rPr>
          <w:rFonts w:hint="eastAsia" w:ascii="ＭＳ 明朝" w:hAnsi="ＭＳ 明朝" w:eastAsia="ＭＳ 明朝"/>
          <w:kern w:val="2"/>
          <w:sz w:val="21"/>
        </w:rPr>
        <w:t>％で設定して処理可能量を算定した。</w:t>
      </w:r>
    </w:p>
    <w:p>
      <w:pPr>
        <w:pStyle w:val="0"/>
        <w:autoSpaceDE w:val="1"/>
        <w:autoSpaceDN w:val="1"/>
        <w:spacing w:line="276" w:lineRule="auto"/>
        <w:ind w:left="220" w:leftChars="100" w:firstLine="210" w:firstLineChars="100"/>
        <w:jc w:val="both"/>
        <w:rPr>
          <w:rFonts w:hint="default" w:ascii="ＭＳ 明朝" w:hAnsi="ＭＳ 明朝" w:eastAsia="ＭＳ 明朝"/>
          <w:kern w:val="2"/>
          <w:sz w:val="21"/>
        </w:rPr>
      </w:pPr>
      <w:r>
        <w:rPr>
          <w:rFonts w:hint="eastAsia" w:ascii="ＭＳ 明朝" w:hAnsi="ＭＳ 明朝" w:eastAsia="ＭＳ 明朝"/>
          <w:kern w:val="2"/>
          <w:sz w:val="21"/>
        </w:rPr>
        <w:t>また、これに併せて、焼却施設では施設の公称能力を最大限活用する手法による処理可能量も算出した。大規模災害を想定し、３年間処理した場合の処理可能量についても算出する。ただし、事前調整等を考慮し実稼動期間は</w:t>
      </w:r>
      <w:r>
        <w:rPr>
          <w:rFonts w:hint="eastAsia" w:ascii="ＭＳ 明朝" w:hAnsi="ＭＳ 明朝" w:eastAsia="ＭＳ 明朝"/>
          <w:kern w:val="2"/>
          <w:sz w:val="21"/>
        </w:rPr>
        <w:t>2.7</w:t>
      </w:r>
      <w:r>
        <w:rPr>
          <w:rFonts w:hint="eastAsia" w:ascii="ＭＳ 明朝" w:hAnsi="ＭＳ 明朝" w:eastAsia="ＭＳ 明朝"/>
          <w:kern w:val="2"/>
          <w:sz w:val="21"/>
        </w:rPr>
        <w:t>年とした。</w:t>
      </w:r>
    </w:p>
    <w:p>
      <w:pPr>
        <w:pStyle w:val="0"/>
        <w:jc w:val="center"/>
        <w:rPr>
          <w:rFonts w:hint="default" w:ascii="ＭＳ 明朝" w:hAnsi="ＭＳ 明朝" w:eastAsia="ＭＳ 明朝"/>
        </w:rPr>
      </w:pPr>
    </w:p>
    <w:p>
      <w:pPr>
        <w:pStyle w:val="0"/>
        <w:jc w:val="center"/>
        <w:rPr>
          <w:rFonts w:hint="default" w:ascii="ＭＳ 明朝" w:hAnsi="ＭＳ 明朝" w:eastAsia="ＭＳ 明朝"/>
        </w:rPr>
      </w:pPr>
      <w:r>
        <w:rPr>
          <w:rFonts w:hint="default" w:ascii="ＭＳ 明朝" w:hAnsi="ＭＳ 明朝" w:eastAsia="ＭＳ 明朝"/>
        </w:rPr>
        <w:drawing>
          <wp:inline distT="0" distB="0" distL="0" distR="0">
            <wp:extent cx="4409440" cy="2980055"/>
            <wp:effectExtent l="24130" t="24130" r="23495" b="23495"/>
            <wp:docPr id="1105" name="Picture 1"/>
            <a:graphic xmlns:a="http://schemas.openxmlformats.org/drawingml/2006/main">
              <a:graphicData uri="http://schemas.openxmlformats.org/drawingml/2006/picture">
                <pic:pic xmlns:pic="http://schemas.openxmlformats.org/drawingml/2006/picture">
                  <pic:nvPicPr>
                    <pic:cNvPr id="1105" name="Picture 1"/>
                    <pic:cNvPicPr>
                      <a:picLocks noChangeAspect="1" noChangeArrowheads="1"/>
                    </pic:cNvPicPr>
                  </pic:nvPicPr>
                  <pic:blipFill>
                    <a:blip r:embed="rId12"/>
                    <a:srcRect t="471" b="2"/>
                    <a:stretch>
                      <a:fillRect/>
                    </a:stretch>
                  </pic:blipFill>
                  <pic:spPr>
                    <a:xfrm>
                      <a:off x="0" y="0"/>
                      <a:ext cx="4409440" cy="2980055"/>
                    </a:xfrm>
                    <a:prstGeom prst="rect">
                      <a:avLst/>
                    </a:prstGeom>
                    <a:noFill/>
                    <a:ln>
                      <a:solidFill>
                        <a:sysClr val="window" lastClr="FFFFFF">
                          <a:lumMod val="50000"/>
                        </a:sysClr>
                      </a:solidFill>
                    </a:ln>
                  </pic:spPr>
                </pic:pic>
              </a:graphicData>
            </a:graphic>
          </wp:inline>
        </w:drawing>
      </w:r>
    </w:p>
    <w:p>
      <w:pPr>
        <w:pStyle w:val="0"/>
        <w:tabs>
          <w:tab w:val="left" w:leader="none" w:pos="887"/>
        </w:tabs>
        <w:spacing w:before="10" w:beforeLines="0" w:beforeAutospacing="0" w:after="43" w:afterLines="0" w:afterAutospacing="0"/>
        <w:ind w:right="358"/>
        <w:jc w:val="center"/>
        <w:rPr>
          <w:rFonts w:hint="default"/>
          <w:sz w:val="21"/>
        </w:rPr>
      </w:pPr>
      <w:r>
        <w:rPr>
          <w:rFonts w:hint="eastAsia"/>
          <w:sz w:val="21"/>
        </w:rPr>
        <w:t>図７　処理可能量の試算フローと焼却処理可能量の考え方</w:t>
      </w:r>
    </w:p>
    <w:p>
      <w:pPr>
        <w:pStyle w:val="0"/>
        <w:rPr>
          <w:rFonts w:hint="default" w:ascii="ＭＳ 明朝" w:hAnsi="ＭＳ 明朝" w:eastAsia="ＭＳ 明朝"/>
          <w:sz w:val="21"/>
        </w:rPr>
      </w:pPr>
      <w:r>
        <w:rPr>
          <w:rFonts w:hint="eastAsia" w:ascii="ＭＳ 明朝" w:hAnsi="ＭＳ 明朝" w:eastAsia="ＭＳ 明朝"/>
          <w:sz w:val="18"/>
        </w:rPr>
        <w:t>出典：災害廃棄物対策指針【技</w:t>
      </w:r>
      <w:r>
        <w:rPr>
          <w:rFonts w:hint="eastAsia" w:ascii="ＭＳ 明朝" w:hAnsi="ＭＳ 明朝" w:eastAsia="ＭＳ 明朝"/>
          <w:sz w:val="18"/>
        </w:rPr>
        <w:t>14-4</w:t>
      </w:r>
      <w:r>
        <w:rPr>
          <w:rFonts w:hint="eastAsia" w:ascii="ＭＳ 明朝" w:hAnsi="ＭＳ 明朝" w:eastAsia="ＭＳ 明朝"/>
          <w:sz w:val="18"/>
        </w:rPr>
        <w:t>】を基に作成</w:t>
      </w:r>
    </w:p>
    <w:p>
      <w:pPr>
        <w:pStyle w:val="0"/>
        <w:rPr>
          <w:rFonts w:hint="default" w:ascii="ＭＳ 明朝" w:hAnsi="ＭＳ 明朝" w:eastAsia="ＭＳ 明朝"/>
        </w:rPr>
      </w:pPr>
    </w:p>
    <w:p>
      <w:pPr>
        <w:pStyle w:val="0"/>
        <w:rPr>
          <w:rFonts w:hint="default" w:ascii="ＭＳ 明朝" w:hAnsi="ＭＳ 明朝" w:eastAsia="ＭＳ 明朝"/>
        </w:rPr>
      </w:pPr>
    </w:p>
    <w:p>
      <w:pPr>
        <w:pStyle w:val="0"/>
        <w:tabs>
          <w:tab w:val="left" w:leader="none" w:pos="887"/>
        </w:tabs>
        <w:spacing w:before="10" w:beforeLines="0" w:beforeAutospacing="0" w:after="43" w:afterLines="0" w:afterAutospacing="0"/>
        <w:ind w:right="358"/>
        <w:jc w:val="center"/>
        <w:rPr>
          <w:rFonts w:hint="default"/>
          <w:sz w:val="21"/>
        </w:rPr>
      </w:pPr>
      <w:r>
        <w:rPr>
          <w:rFonts w:hint="default" w:ascii="ＭＳ 明朝" w:hAnsi="ＭＳ 明朝" w:eastAsia="ＭＳ 明朝"/>
        </w:rPr>
        <mc:AlternateContent>
          <mc:Choice Requires="wps">
            <w:drawing>
              <wp:anchor distT="0" distB="0" distL="114300" distR="114300" simplePos="0" relativeHeight="62" behindDoc="0" locked="0" layoutInCell="1" hidden="0" allowOverlap="1">
                <wp:simplePos x="0" y="0"/>
                <wp:positionH relativeFrom="margin">
                  <wp:align>right</wp:align>
                </wp:positionH>
                <wp:positionV relativeFrom="paragraph">
                  <wp:posOffset>199390</wp:posOffset>
                </wp:positionV>
                <wp:extent cx="1484630" cy="2179320"/>
                <wp:effectExtent l="19685" t="19685" r="29845" b="20320"/>
                <wp:wrapNone/>
                <wp:docPr id="1106" name="正方形/長方形 49"/>
                <a:graphic xmlns:a="http://schemas.openxmlformats.org/drawingml/2006/main">
                  <a:graphicData uri="http://schemas.microsoft.com/office/word/2010/wordprocessingShape">
                    <wps:wsp>
                      <wps:cNvPr id="1106" name="正方形/長方形 49"/>
                      <wps:cNvSpPr/>
                      <wps:spPr>
                        <a:xfrm>
                          <a:off x="0" y="0"/>
                          <a:ext cx="1484630" cy="2179320"/>
                        </a:xfrm>
                        <a:prstGeom prst="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9" style="mso-wrap-distance-right:9pt;mso-wrap-distance-bottom:0pt;margin-top:15.7pt;mso-position-vertical-relative:text;mso-position-horizontal:right;mso-position-horizontal-relative:margin;position:absolute;height:171.6pt;mso-wrap-distance-top:0pt;width:116.9pt;mso-wrap-distance-left:9pt;z-index:62;" o:spid="_x0000_s1106" o:allowincell="t" o:allowoverlap="t" filled="f" stroked="t" strokecolor="#ff0000" strokeweight="2.25pt" o:spt="1">
                <v:fill/>
                <v:stroke linestyle="single" miterlimit="8" endcap="flat" dashstyle="dash" filltype="solid"/>
                <v:textbox style="layout-flow:horizontal;"/>
                <v:imagedata o:title=""/>
                <w10:wrap type="none" anchorx="margin" anchory="text"/>
              </v:rect>
            </w:pict>
          </mc:Fallback>
        </mc:AlternateContent>
      </w:r>
      <w:r>
        <w:rPr>
          <w:rFonts w:hint="eastAsia"/>
          <w:sz w:val="21"/>
        </w:rPr>
        <w:t>表１９　災害廃棄物対策指針のシナリオ設定（焼却施設）</w:t>
      </w:r>
    </w:p>
    <w:tbl>
      <w:tblPr>
        <w:tblStyle w:val="55"/>
        <w:tblW w:w="9295" w:type="dxa"/>
        <w:tblInd w:w="0" w:type="dxa"/>
        <w:tblLayout w:type="fixed"/>
        <w:tblLook w:firstRow="1" w:lastRow="0" w:firstColumn="1" w:lastColumn="0" w:noHBand="0" w:noVBand="1" w:val="04A0"/>
      </w:tblPr>
      <w:tblGrid>
        <w:gridCol w:w="2323"/>
        <w:gridCol w:w="2324"/>
        <w:gridCol w:w="2324"/>
        <w:gridCol w:w="2324"/>
      </w:tblGrid>
      <w:tr>
        <w:trPr>
          <w:trHeight w:val="565" w:hRule="atLeast"/>
        </w:trPr>
        <w:tc>
          <w:tcPr>
            <w:tcW w:w="2325" w:type="dxa"/>
            <w:shd w:val="clear" w:color="auto" w:themeFill="background1" w:themeFillTint="FF" w:themeFillShade="D9"/>
            <w:vAlign w:val="center"/>
          </w:tcPr>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sz w:val="21"/>
              </w:rPr>
            </w:pPr>
          </w:p>
        </w:tc>
        <w:tc>
          <w:tcPr>
            <w:tcW w:w="2325" w:type="dxa"/>
            <w:shd w:val="clear" w:color="auto" w:themeFill="background1" w:themeFillTint="FF" w:themeFillShade="D9"/>
            <w:vAlign w:val="center"/>
          </w:tcPr>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sz w:val="21"/>
              </w:rPr>
            </w:pPr>
            <w:r>
              <w:rPr>
                <w:rFonts w:hint="eastAsia" w:ascii="HGSｺﾞｼｯｸM" w:hAnsi="HGSｺﾞｼｯｸM" w:eastAsia="HGSｺﾞｼｯｸM"/>
                <w:sz w:val="21"/>
              </w:rPr>
              <w:t>低位シナリオ</w:t>
            </w:r>
          </w:p>
        </w:tc>
        <w:tc>
          <w:tcPr>
            <w:tcW w:w="2325" w:type="dxa"/>
            <w:tcBorders>
              <w:top w:val="none" w:color="auto" w:sz="0" w:space="0"/>
              <w:left w:val="none" w:color="auto" w:sz="0" w:space="0"/>
              <w:bottom w:val="none" w:color="auto" w:sz="0" w:space="0"/>
              <w:right w:val="single" w:color="000000" w:sz="8" w:space="0"/>
              <w:tl2br w:val="none" w:color="auto" w:sz="0" w:space="0"/>
              <w:tr2bl w:val="none" w:color="auto" w:sz="0" w:space="0"/>
            </w:tcBorders>
            <w:shd w:val="clear" w:color="auto" w:themeFill="background1" w:themeFillTint="FF" w:themeFillShade="D9"/>
            <w:vAlign w:val="center"/>
          </w:tcPr>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sz w:val="21"/>
              </w:rPr>
            </w:pPr>
            <w:r>
              <w:rPr>
                <w:rFonts w:hint="eastAsia" w:ascii="HGSｺﾞｼｯｸM" w:hAnsi="HGSｺﾞｼｯｸM" w:eastAsia="HGSｺﾞｼｯｸM"/>
                <w:sz w:val="21"/>
              </w:rPr>
              <w:t>中位シナリオ</w:t>
            </w:r>
          </w:p>
        </w:tc>
        <w:tc>
          <w:tcPr>
            <w:tcW w:w="2325" w:type="dxa"/>
            <w:tcBorders>
              <w:top w:val="single" w:color="000000" w:sz="8" w:space="0"/>
              <w:left w:val="single" w:color="000000" w:sz="8" w:space="0"/>
              <w:bottom w:val="none" w:color="auto" w:sz="0" w:space="0"/>
              <w:right w:val="single" w:color="000000" w:sz="8" w:space="0"/>
              <w:tl2br w:val="none" w:color="auto" w:sz="0" w:space="0"/>
              <w:tr2bl w:val="none" w:color="auto" w:sz="0" w:space="0"/>
            </w:tcBorders>
            <w:shd w:val="clear" w:color="auto" w:themeFill="background1" w:themeFillTint="FF" w:themeFillShade="D9"/>
            <w:vAlign w:val="center"/>
          </w:tcPr>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b w:val="1"/>
                <w:sz w:val="21"/>
              </w:rPr>
            </w:pPr>
            <w:r>
              <w:rPr>
                <w:rFonts w:hint="eastAsia" w:ascii="HGSｺﾞｼｯｸM" w:hAnsi="HGSｺﾞｼｯｸM" w:eastAsia="HGSｺﾞｼｯｸM"/>
                <w:b w:val="1"/>
                <w:sz w:val="21"/>
              </w:rPr>
              <w:t>高位シナリオ</w:t>
            </w:r>
          </w:p>
        </w:tc>
      </w:tr>
      <w:tr>
        <w:trPr/>
        <w:tc>
          <w:tcPr>
            <w:tcW w:w="2325" w:type="dxa"/>
            <w:vAlign w:val="center"/>
          </w:tcPr>
          <w:p>
            <w:pPr>
              <w:pStyle w:val="0"/>
              <w:tabs>
                <w:tab w:val="left" w:leader="none" w:pos="887"/>
              </w:tabs>
              <w:spacing w:before="10" w:beforeLines="0" w:beforeAutospacing="0" w:after="43" w:afterLines="0" w:afterAutospacing="0"/>
              <w:ind w:right="96"/>
              <w:rPr>
                <w:rFonts w:hint="default" w:ascii="HGSｺﾞｼｯｸM" w:hAnsi="HGSｺﾞｼｯｸM" w:eastAsia="HGSｺﾞｼｯｸM"/>
                <w:sz w:val="21"/>
              </w:rPr>
            </w:pPr>
            <w:r>
              <w:rPr>
                <w:rFonts w:hint="eastAsia" w:ascii="HGSｺﾞｼｯｸM" w:hAnsi="HGSｺﾞｼｯｸM" w:eastAsia="HGSｺﾞｼｯｸM"/>
                <w:sz w:val="21"/>
              </w:rPr>
              <w:t>①稼働年数</w:t>
            </w:r>
          </w:p>
        </w:tc>
        <w:tc>
          <w:tcPr>
            <w:tcW w:w="2325" w:type="dxa"/>
            <w:vAlign w:val="center"/>
          </w:tcPr>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sz w:val="21"/>
              </w:rPr>
            </w:pPr>
            <w:r>
              <w:rPr>
                <w:rFonts w:hint="eastAsia" w:ascii="HGSｺﾞｼｯｸM" w:hAnsi="HGSｺﾞｼｯｸM" w:eastAsia="HGSｺﾞｼｯｸM"/>
                <w:sz w:val="21"/>
              </w:rPr>
              <w:t>20</w:t>
            </w:r>
            <w:r>
              <w:rPr>
                <w:rFonts w:hint="eastAsia" w:ascii="HGSｺﾞｼｯｸM" w:hAnsi="HGSｺﾞｼｯｸM" w:eastAsia="HGSｺﾞｼｯｸM"/>
                <w:sz w:val="21"/>
              </w:rPr>
              <w:t>年超の施設を</w:t>
            </w:r>
          </w:p>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sz w:val="21"/>
              </w:rPr>
            </w:pPr>
            <w:r>
              <w:rPr>
                <w:rFonts w:hint="eastAsia" w:ascii="HGSｺﾞｼｯｸM" w:hAnsi="HGSｺﾞｼｯｸM" w:eastAsia="HGSｺﾞｼｯｸM"/>
                <w:sz w:val="21"/>
              </w:rPr>
              <w:t>除外</w:t>
            </w:r>
          </w:p>
        </w:tc>
        <w:tc>
          <w:tcPr>
            <w:tcW w:w="2325" w:type="dxa"/>
            <w:tcBorders>
              <w:top w:val="none" w:color="auto" w:sz="0" w:space="0"/>
              <w:left w:val="none" w:color="auto" w:sz="0" w:space="0"/>
              <w:bottom w:val="none" w:color="auto" w:sz="0" w:space="0"/>
              <w:right w:val="single" w:color="000000" w:sz="8" w:space="0"/>
              <w:tl2br w:val="none" w:color="auto" w:sz="0" w:space="0"/>
              <w:tr2bl w:val="none" w:color="auto" w:sz="0" w:space="0"/>
            </w:tcBorders>
            <w:vAlign w:val="center"/>
          </w:tcPr>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sz w:val="21"/>
              </w:rPr>
            </w:pPr>
            <w:r>
              <w:rPr>
                <w:rFonts w:hint="eastAsia" w:ascii="HGSｺﾞｼｯｸM" w:hAnsi="HGSｺﾞｼｯｸM" w:eastAsia="HGSｺﾞｼｯｸM"/>
                <w:sz w:val="21"/>
              </w:rPr>
              <w:t>30</w:t>
            </w:r>
            <w:r>
              <w:rPr>
                <w:rFonts w:hint="eastAsia" w:ascii="HGSｺﾞｼｯｸM" w:hAnsi="HGSｺﾞｼｯｸM" w:eastAsia="HGSｺﾞｼｯｸM"/>
                <w:sz w:val="21"/>
              </w:rPr>
              <w:t>年超の施設を</w:t>
            </w:r>
          </w:p>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sz w:val="21"/>
              </w:rPr>
            </w:pPr>
            <w:r>
              <w:rPr>
                <w:rFonts w:hint="eastAsia" w:ascii="HGSｺﾞｼｯｸM" w:hAnsi="HGSｺﾞｼｯｸM" w:eastAsia="HGSｺﾞｼｯｸM"/>
                <w:sz w:val="21"/>
              </w:rPr>
              <w:t>除外</w:t>
            </w:r>
          </w:p>
        </w:tc>
        <w:tc>
          <w:tcPr>
            <w:tcW w:w="2325" w:type="dxa"/>
            <w:tcBorders>
              <w:top w:val="none" w:color="auto" w:sz="0" w:space="0"/>
              <w:left w:val="single" w:color="000000" w:sz="8" w:space="0"/>
              <w:bottom w:val="none" w:color="auto" w:sz="0" w:space="0"/>
              <w:right w:val="single" w:color="000000" w:sz="8" w:space="0"/>
              <w:tl2br w:val="none" w:color="auto" w:sz="0" w:space="0"/>
              <w:tr2bl w:val="none" w:color="auto" w:sz="0" w:space="0"/>
            </w:tcBorders>
            <w:vAlign w:val="center"/>
          </w:tcPr>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b w:val="1"/>
                <w:sz w:val="21"/>
              </w:rPr>
            </w:pPr>
            <w:r>
              <w:rPr>
                <w:rFonts w:hint="eastAsia" w:ascii="HGSｺﾞｼｯｸM" w:hAnsi="HGSｺﾞｼｯｸM" w:eastAsia="HGSｺﾞｼｯｸM"/>
                <w:b w:val="1"/>
                <w:sz w:val="21"/>
              </w:rPr>
              <w:t>制約なし</w:t>
            </w:r>
          </w:p>
        </w:tc>
      </w:tr>
      <w:tr>
        <w:trPr/>
        <w:tc>
          <w:tcPr>
            <w:tcW w:w="2325" w:type="dxa"/>
            <w:vAlign w:val="center"/>
          </w:tcPr>
          <w:p>
            <w:pPr>
              <w:pStyle w:val="0"/>
              <w:tabs>
                <w:tab w:val="left" w:leader="none" w:pos="887"/>
              </w:tabs>
              <w:spacing w:before="10" w:beforeLines="0" w:beforeAutospacing="0" w:after="43" w:afterLines="0" w:afterAutospacing="0"/>
              <w:ind w:right="96"/>
              <w:rPr>
                <w:rFonts w:hint="default" w:ascii="HGSｺﾞｼｯｸM" w:hAnsi="HGSｺﾞｼｯｸM" w:eastAsia="HGSｺﾞｼｯｸM"/>
                <w:sz w:val="21"/>
              </w:rPr>
            </w:pPr>
            <w:r>
              <w:rPr>
                <w:rFonts w:hint="eastAsia" w:ascii="HGSｺﾞｼｯｸM" w:hAnsi="HGSｺﾞｼｯｸM" w:eastAsia="HGSｺﾞｼｯｸM"/>
                <w:sz w:val="21"/>
              </w:rPr>
              <w:t>②処理能力</w:t>
            </w:r>
          </w:p>
          <w:p>
            <w:pPr>
              <w:pStyle w:val="0"/>
              <w:tabs>
                <w:tab w:val="left" w:leader="none" w:pos="887"/>
              </w:tabs>
              <w:spacing w:before="10" w:beforeLines="0" w:beforeAutospacing="0" w:after="43" w:afterLines="0" w:afterAutospacing="0"/>
              <w:ind w:right="96"/>
              <w:rPr>
                <w:rFonts w:hint="default" w:ascii="HGSｺﾞｼｯｸM" w:hAnsi="HGSｺﾞｼｯｸM" w:eastAsia="HGSｺﾞｼｯｸM"/>
                <w:sz w:val="21"/>
              </w:rPr>
            </w:pPr>
            <w:r>
              <w:rPr>
                <w:rFonts w:hint="eastAsia" w:ascii="HGSｺﾞｼｯｸM" w:hAnsi="HGSｺﾞｼｯｸM" w:eastAsia="HGSｺﾞｼｯｸM"/>
                <w:sz w:val="21"/>
              </w:rPr>
              <w:t>（公称能力）</w:t>
            </w:r>
          </w:p>
        </w:tc>
        <w:tc>
          <w:tcPr>
            <w:tcW w:w="2325" w:type="dxa"/>
            <w:vAlign w:val="center"/>
          </w:tcPr>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sz w:val="21"/>
              </w:rPr>
            </w:pPr>
            <w:r>
              <w:rPr>
                <w:rFonts w:hint="eastAsia" w:ascii="HGSｺﾞｼｯｸM" w:hAnsi="HGSｺﾞｼｯｸM" w:eastAsia="HGSｺﾞｼｯｸM"/>
                <w:sz w:val="21"/>
              </w:rPr>
              <w:t>100t/</w:t>
            </w:r>
            <w:r>
              <w:rPr>
                <w:rFonts w:hint="eastAsia" w:ascii="HGSｺﾞｼｯｸM" w:hAnsi="HGSｺﾞｼｯｸM" w:eastAsia="HGSｺﾞｼｯｸM"/>
                <w:sz w:val="21"/>
              </w:rPr>
              <w:t>日未満の施設を除外</w:t>
            </w:r>
          </w:p>
        </w:tc>
        <w:tc>
          <w:tcPr>
            <w:tcW w:w="2325" w:type="dxa"/>
            <w:tcBorders>
              <w:top w:val="none" w:color="auto" w:sz="0" w:space="0"/>
              <w:left w:val="none" w:color="auto" w:sz="0" w:space="0"/>
              <w:bottom w:val="none" w:color="auto" w:sz="0" w:space="0"/>
              <w:right w:val="single" w:color="000000" w:sz="8" w:space="0"/>
              <w:tl2br w:val="none" w:color="auto" w:sz="0" w:space="0"/>
              <w:tr2bl w:val="none" w:color="auto" w:sz="0" w:space="0"/>
            </w:tcBorders>
            <w:vAlign w:val="center"/>
          </w:tcPr>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sz w:val="21"/>
              </w:rPr>
            </w:pPr>
            <w:r>
              <w:rPr>
                <w:rFonts w:hint="eastAsia" w:ascii="HGSｺﾞｼｯｸM" w:hAnsi="HGSｺﾞｼｯｸM" w:eastAsia="HGSｺﾞｼｯｸM"/>
                <w:sz w:val="21"/>
              </w:rPr>
              <w:t>50t/</w:t>
            </w:r>
            <w:r>
              <w:rPr>
                <w:rFonts w:hint="eastAsia" w:ascii="HGSｺﾞｼｯｸM" w:hAnsi="HGSｺﾞｼｯｸM" w:eastAsia="HGSｺﾞｼｯｸM"/>
                <w:sz w:val="21"/>
              </w:rPr>
              <w:t>日未満の施設を除外</w:t>
            </w:r>
          </w:p>
        </w:tc>
        <w:tc>
          <w:tcPr>
            <w:tcW w:w="2325" w:type="dxa"/>
            <w:tcBorders>
              <w:top w:val="none" w:color="auto" w:sz="0" w:space="0"/>
              <w:left w:val="single" w:color="000000" w:sz="8" w:space="0"/>
              <w:bottom w:val="none" w:color="auto" w:sz="0" w:space="0"/>
              <w:right w:val="single" w:color="000000" w:sz="8" w:space="0"/>
              <w:tl2br w:val="none" w:color="auto" w:sz="0" w:space="0"/>
              <w:tr2bl w:val="none" w:color="auto" w:sz="0" w:space="0"/>
            </w:tcBorders>
            <w:vAlign w:val="center"/>
          </w:tcPr>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b w:val="1"/>
                <w:sz w:val="21"/>
              </w:rPr>
            </w:pPr>
            <w:r>
              <w:rPr>
                <w:rFonts w:hint="eastAsia" w:ascii="HGSｺﾞｼｯｸM" w:hAnsi="HGSｺﾞｼｯｸM" w:eastAsia="HGSｺﾞｼｯｸM"/>
                <w:b w:val="1"/>
                <w:sz w:val="21"/>
              </w:rPr>
              <w:t>30t/</w:t>
            </w:r>
            <w:r>
              <w:rPr>
                <w:rFonts w:hint="eastAsia" w:ascii="HGSｺﾞｼｯｸM" w:hAnsi="HGSｺﾞｼｯｸM" w:eastAsia="HGSｺﾞｼｯｸM"/>
                <w:b w:val="1"/>
                <w:sz w:val="21"/>
              </w:rPr>
              <w:t>日未満の施設を除外</w:t>
            </w:r>
          </w:p>
        </w:tc>
      </w:tr>
      <w:tr>
        <w:trPr/>
        <w:tc>
          <w:tcPr>
            <w:tcW w:w="2325" w:type="dxa"/>
            <w:vAlign w:val="center"/>
          </w:tcPr>
          <w:p>
            <w:pPr>
              <w:pStyle w:val="0"/>
              <w:tabs>
                <w:tab w:val="left" w:leader="none" w:pos="887"/>
              </w:tabs>
              <w:spacing w:before="10" w:beforeLines="0" w:beforeAutospacing="0" w:after="43" w:afterLines="0" w:afterAutospacing="0"/>
              <w:ind w:right="93"/>
              <w:rPr>
                <w:rFonts w:hint="default" w:ascii="HGSｺﾞｼｯｸM" w:hAnsi="HGSｺﾞｼｯｸM" w:eastAsia="HGSｺﾞｼｯｸM"/>
                <w:sz w:val="21"/>
              </w:rPr>
            </w:pPr>
            <w:r>
              <w:rPr>
                <w:rFonts w:hint="eastAsia" w:ascii="HGSｺﾞｼｯｸM" w:hAnsi="HGSｺﾞｼｯｸM" w:eastAsia="HGSｺﾞｼｯｸM"/>
                <w:sz w:val="21"/>
              </w:rPr>
              <w:t>③処理能力（公称能力）に対する余裕分の割合</w:t>
            </w:r>
          </w:p>
        </w:tc>
        <w:tc>
          <w:tcPr>
            <w:tcW w:w="2325" w:type="dxa"/>
            <w:vAlign w:val="center"/>
          </w:tcPr>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sz w:val="21"/>
              </w:rPr>
            </w:pPr>
            <w:r>
              <w:rPr>
                <w:rFonts w:hint="eastAsia" w:ascii="HGSｺﾞｼｯｸM" w:hAnsi="HGSｺﾞｼｯｸM" w:eastAsia="HGSｺﾞｼｯｸM"/>
                <w:sz w:val="21"/>
              </w:rPr>
              <w:t>20%</w:t>
            </w:r>
            <w:r>
              <w:rPr>
                <w:rFonts w:hint="eastAsia" w:ascii="HGSｺﾞｼｯｸM" w:hAnsi="HGSｺﾞｼｯｸM" w:eastAsia="HGSｺﾞｼｯｸM"/>
                <w:sz w:val="21"/>
              </w:rPr>
              <w:t>未満の施設を除外</w:t>
            </w:r>
          </w:p>
        </w:tc>
        <w:tc>
          <w:tcPr>
            <w:tcW w:w="2325" w:type="dxa"/>
            <w:tcBorders>
              <w:top w:val="none" w:color="auto" w:sz="0" w:space="0"/>
              <w:left w:val="none" w:color="auto" w:sz="0" w:space="0"/>
              <w:bottom w:val="none" w:color="auto" w:sz="0" w:space="0"/>
              <w:right w:val="single" w:color="000000" w:sz="8" w:space="0"/>
              <w:tl2br w:val="none" w:color="auto" w:sz="0" w:space="0"/>
              <w:tr2bl w:val="none" w:color="auto" w:sz="0" w:space="0"/>
            </w:tcBorders>
            <w:vAlign w:val="center"/>
          </w:tcPr>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sz w:val="21"/>
              </w:rPr>
            </w:pPr>
            <w:r>
              <w:rPr>
                <w:rFonts w:hint="eastAsia" w:ascii="HGSｺﾞｼｯｸM" w:hAnsi="HGSｺﾞｼｯｸM" w:eastAsia="HGSｺﾞｼｯｸM"/>
                <w:sz w:val="21"/>
              </w:rPr>
              <w:t>10%</w:t>
            </w:r>
            <w:r>
              <w:rPr>
                <w:rFonts w:hint="eastAsia" w:ascii="HGSｺﾞｼｯｸM" w:hAnsi="HGSｺﾞｼｯｸM" w:eastAsia="HGSｺﾞｼｯｸM"/>
                <w:sz w:val="21"/>
              </w:rPr>
              <w:t>未満の施設を除外</w:t>
            </w:r>
          </w:p>
        </w:tc>
        <w:tc>
          <w:tcPr>
            <w:tcW w:w="2325" w:type="dxa"/>
            <w:tcBorders>
              <w:top w:val="none" w:color="auto" w:sz="0" w:space="0"/>
              <w:left w:val="single" w:color="000000" w:sz="8" w:space="0"/>
              <w:bottom w:val="none" w:color="auto" w:sz="0" w:space="0"/>
              <w:right w:val="single" w:color="000000" w:sz="8" w:space="0"/>
              <w:tl2br w:val="none" w:color="auto" w:sz="0" w:space="0"/>
              <w:tr2bl w:val="none" w:color="auto" w:sz="0" w:space="0"/>
            </w:tcBorders>
            <w:vAlign w:val="center"/>
          </w:tcPr>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b w:val="1"/>
                <w:sz w:val="21"/>
              </w:rPr>
            </w:pPr>
            <w:r>
              <w:rPr>
                <w:rFonts w:hint="eastAsia" w:ascii="HGSｺﾞｼｯｸM" w:hAnsi="HGSｺﾞｼｯｸM" w:eastAsia="HGSｺﾞｼｯｸM"/>
                <w:b w:val="1"/>
                <w:sz w:val="21"/>
              </w:rPr>
              <w:t>制約なし</w:t>
            </w:r>
          </w:p>
        </w:tc>
      </w:tr>
      <w:tr>
        <w:trPr/>
        <w:tc>
          <w:tcPr>
            <w:tcW w:w="2325" w:type="dxa"/>
            <w:vAlign w:val="center"/>
          </w:tcPr>
          <w:p>
            <w:pPr>
              <w:pStyle w:val="0"/>
              <w:tabs>
                <w:tab w:val="left" w:leader="none" w:pos="887"/>
              </w:tabs>
              <w:spacing w:before="10" w:beforeLines="0" w:beforeAutospacing="0" w:after="43" w:afterLines="0" w:afterAutospacing="0"/>
              <w:ind w:right="96"/>
              <w:rPr>
                <w:rFonts w:hint="default" w:ascii="HGSｺﾞｼｯｸM" w:hAnsi="HGSｺﾞｼｯｸM" w:eastAsia="HGSｺﾞｼｯｸM"/>
                <w:sz w:val="21"/>
              </w:rPr>
            </w:pPr>
            <w:r>
              <w:rPr>
                <w:rFonts w:hint="eastAsia" w:ascii="HGSｺﾞｼｯｸM" w:hAnsi="HGSｺﾞｼｯｸM" w:eastAsia="HGSｺﾞｼｯｸM"/>
                <w:sz w:val="21"/>
              </w:rPr>
              <w:t>④年間処理量の実績に対する分担率</w:t>
            </w:r>
          </w:p>
        </w:tc>
        <w:tc>
          <w:tcPr>
            <w:tcW w:w="2325" w:type="dxa"/>
            <w:vAlign w:val="center"/>
          </w:tcPr>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sz w:val="21"/>
              </w:rPr>
            </w:pPr>
            <w:r>
              <w:rPr>
                <w:rFonts w:hint="eastAsia" w:ascii="HGSｺﾞｼｯｸM" w:hAnsi="HGSｺﾞｼｯｸM" w:eastAsia="HGSｺﾞｼｯｸM"/>
                <w:sz w:val="21"/>
              </w:rPr>
              <w:t>最大で</w:t>
            </w:r>
            <w:r>
              <w:rPr>
                <w:rFonts w:hint="eastAsia" w:ascii="HGSｺﾞｼｯｸM" w:hAnsi="HGSｺﾞｼｯｸM" w:eastAsia="HGSｺﾞｼｯｸM"/>
                <w:sz w:val="21"/>
              </w:rPr>
              <w:t>5%</w:t>
            </w:r>
          </w:p>
        </w:tc>
        <w:tc>
          <w:tcPr>
            <w:tcW w:w="2325" w:type="dxa"/>
            <w:tcBorders>
              <w:top w:val="none" w:color="auto" w:sz="0" w:space="0"/>
              <w:left w:val="none" w:color="auto" w:sz="0" w:space="0"/>
              <w:bottom w:val="none" w:color="auto" w:sz="0" w:space="0"/>
              <w:right w:val="single" w:color="000000" w:sz="8" w:space="0"/>
              <w:tl2br w:val="none" w:color="auto" w:sz="0" w:space="0"/>
              <w:tr2bl w:val="none" w:color="auto" w:sz="0" w:space="0"/>
            </w:tcBorders>
            <w:vAlign w:val="center"/>
          </w:tcPr>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sz w:val="21"/>
              </w:rPr>
            </w:pPr>
            <w:r>
              <w:rPr>
                <w:rFonts w:hint="eastAsia" w:ascii="HGSｺﾞｼｯｸM" w:hAnsi="HGSｺﾞｼｯｸM" w:eastAsia="HGSｺﾞｼｯｸM"/>
                <w:sz w:val="21"/>
              </w:rPr>
              <w:t>最大で</w:t>
            </w:r>
            <w:r>
              <w:rPr>
                <w:rFonts w:hint="eastAsia" w:ascii="HGSｺﾞｼｯｸM" w:hAnsi="HGSｺﾞｼｯｸM" w:eastAsia="HGSｺﾞｼｯｸM"/>
                <w:sz w:val="21"/>
              </w:rPr>
              <w:t>10%</w:t>
            </w:r>
          </w:p>
        </w:tc>
        <w:tc>
          <w:tcPr>
            <w:tcW w:w="2325" w:type="dxa"/>
            <w:tcBorders>
              <w:top w:val="none" w:color="auto" w:sz="0" w:space="0"/>
              <w:left w:val="single" w:color="000000" w:sz="8" w:space="0"/>
              <w:bottom w:val="single" w:color="000000" w:sz="8" w:space="0"/>
              <w:right w:val="single" w:color="000000" w:sz="8" w:space="0"/>
              <w:tl2br w:val="none" w:color="auto" w:sz="0" w:space="0"/>
              <w:tr2bl w:val="none" w:color="auto" w:sz="0" w:space="0"/>
            </w:tcBorders>
            <w:vAlign w:val="center"/>
          </w:tcPr>
          <w:p>
            <w:pPr>
              <w:pStyle w:val="0"/>
              <w:tabs>
                <w:tab w:val="left" w:leader="none" w:pos="887"/>
              </w:tabs>
              <w:spacing w:before="10" w:beforeLines="0" w:beforeAutospacing="0" w:after="43" w:afterLines="0" w:afterAutospacing="0"/>
              <w:ind w:right="96"/>
              <w:jc w:val="center"/>
              <w:rPr>
                <w:rFonts w:hint="default" w:ascii="HGSｺﾞｼｯｸM" w:hAnsi="HGSｺﾞｼｯｸM" w:eastAsia="HGSｺﾞｼｯｸM"/>
                <w:b w:val="1"/>
                <w:sz w:val="21"/>
              </w:rPr>
            </w:pPr>
            <w:r>
              <w:rPr>
                <w:rFonts w:hint="eastAsia" w:ascii="HGSｺﾞｼｯｸM" w:hAnsi="HGSｺﾞｼｯｸM" w:eastAsia="HGSｺﾞｼｯｸM"/>
                <w:b w:val="1"/>
                <w:sz w:val="21"/>
              </w:rPr>
              <w:t>最大で</w:t>
            </w:r>
            <w:r>
              <w:rPr>
                <w:rFonts w:hint="eastAsia" w:ascii="HGSｺﾞｼｯｸM" w:hAnsi="HGSｺﾞｼｯｸM" w:eastAsia="HGSｺﾞｼｯｸM"/>
                <w:b w:val="1"/>
                <w:sz w:val="21"/>
              </w:rPr>
              <w:t>20%</w:t>
            </w:r>
          </w:p>
        </w:tc>
      </w:tr>
    </w:tbl>
    <w:p>
      <w:pPr>
        <w:pStyle w:val="0"/>
        <w:tabs>
          <w:tab w:val="left" w:leader="none" w:pos="887"/>
        </w:tabs>
        <w:spacing w:before="10" w:beforeLines="0" w:beforeAutospacing="0" w:after="43" w:afterLines="0" w:afterAutospacing="0"/>
        <w:ind w:right="96"/>
        <w:rPr>
          <w:rFonts w:hint="default" w:ascii="ＭＳ 明朝" w:hAnsi="ＭＳ 明朝" w:eastAsia="ＭＳ 明朝"/>
          <w:sz w:val="18"/>
        </w:rPr>
      </w:pPr>
      <w:r>
        <w:rPr>
          <w:rFonts w:hint="eastAsia" w:ascii="ＭＳ 明朝" w:hAnsi="ＭＳ 明朝" w:eastAsia="ＭＳ 明朝"/>
          <w:sz w:val="18"/>
        </w:rPr>
        <w:t>※処理能力に対する余裕分がゼロの場合は受入対象から除外している。</w:t>
      </w:r>
    </w:p>
    <w:p>
      <w:pPr>
        <w:pStyle w:val="0"/>
        <w:tabs>
          <w:tab w:val="left" w:leader="none" w:pos="887"/>
        </w:tabs>
        <w:spacing w:before="10" w:beforeLines="0" w:beforeAutospacing="0" w:after="43" w:afterLines="0" w:afterAutospacing="0"/>
        <w:ind w:right="358"/>
        <w:rPr>
          <w:rFonts w:hint="default"/>
          <w:sz w:val="21"/>
        </w:rPr>
      </w:pPr>
      <w:r>
        <w:rPr>
          <w:rFonts w:hint="eastAsia" w:ascii="ＭＳ 明朝" w:hAnsi="ＭＳ 明朝" w:eastAsia="ＭＳ 明朝"/>
          <w:sz w:val="20"/>
        </w:rPr>
        <w:t>出典：災害廃棄物対策指針【技</w:t>
      </w:r>
      <w:r>
        <w:rPr>
          <w:rFonts w:hint="eastAsia" w:ascii="ＭＳ 明朝" w:hAnsi="ＭＳ 明朝" w:eastAsia="ＭＳ 明朝"/>
          <w:sz w:val="20"/>
        </w:rPr>
        <w:t>14-4</w:t>
      </w:r>
      <w:r>
        <w:rPr>
          <w:rFonts w:hint="eastAsia" w:ascii="ＭＳ 明朝" w:hAnsi="ＭＳ 明朝" w:eastAsia="ＭＳ 明朝"/>
          <w:sz w:val="20"/>
        </w:rPr>
        <w:t>】</w:t>
      </w:r>
    </w:p>
    <w:p>
      <w:pPr>
        <w:pStyle w:val="0"/>
        <w:rPr>
          <w:rFonts w:hint="default"/>
        </w:rPr>
      </w:pPr>
    </w:p>
    <w:p>
      <w:pPr>
        <w:pStyle w:val="0"/>
        <w:autoSpaceDE w:val="1"/>
        <w:autoSpaceDN w:val="1"/>
        <w:jc w:val="center"/>
        <w:rPr>
          <w:rFonts w:hint="default"/>
          <w:kern w:val="2"/>
          <w:sz w:val="21"/>
        </w:rPr>
      </w:pPr>
    </w:p>
    <w:p>
      <w:pPr>
        <w:pStyle w:val="0"/>
        <w:autoSpaceDE w:val="1"/>
        <w:autoSpaceDN w:val="1"/>
        <w:jc w:val="center"/>
        <w:rPr>
          <w:rFonts w:hint="default"/>
          <w:kern w:val="2"/>
          <w:sz w:val="21"/>
        </w:rPr>
      </w:pPr>
      <w:r>
        <w:rPr>
          <w:rFonts w:hint="eastAsia"/>
          <w:kern w:val="2"/>
          <w:sz w:val="21"/>
        </w:rPr>
        <w:t>表２０　一般廃棄物焼却施設の処理可能量（公称能力を最大限活用する方法）</w:t>
      </w:r>
    </w:p>
    <w:tbl>
      <w:tblPr>
        <w:tblStyle w:val="11"/>
        <w:tblW w:w="910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2439"/>
        <w:gridCol w:w="6662"/>
      </w:tblGrid>
      <w:tr>
        <w:trPr>
          <w:trHeight w:val="680" w:hRule="atLeast"/>
        </w:trPr>
        <w:tc>
          <w:tcPr>
            <w:tcW w:w="24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D9D9"/>
            <w:vAlign w:val="center"/>
          </w:tcPr>
          <w:p>
            <w:pPr>
              <w:pStyle w:val="0"/>
              <w:adjustRightInd w:val="0"/>
              <w:rPr>
                <w:rFonts w:hint="default" w:ascii="HGPｺﾞｼｯｸM" w:hAnsi="HGPｺﾞｼｯｸM" w:eastAsia="HGPｺﾞｼｯｸM"/>
                <w:sz w:val="21"/>
              </w:rPr>
            </w:pPr>
            <w:r>
              <w:rPr>
                <w:rFonts w:hint="eastAsia" w:ascii="HGPｺﾞｼｯｸM" w:hAnsi="HGPｺﾞｼｯｸM" w:eastAsia="HGPｺﾞｼｯｸM"/>
                <w:sz w:val="21"/>
              </w:rPr>
              <w:t>処理可能量　（</w:t>
            </w:r>
            <w:r>
              <w:rPr>
                <w:rFonts w:hint="eastAsia" w:ascii="HGPｺﾞｼｯｸM" w:hAnsi="HGPｺﾞｼｯｸM" w:eastAsia="HGPｺﾞｼｯｸM"/>
                <w:sz w:val="21"/>
              </w:rPr>
              <w:t>t/</w:t>
            </w:r>
            <w:r>
              <w:rPr>
                <w:rFonts w:hint="eastAsia" w:ascii="HGPｺﾞｼｯｸM" w:hAnsi="HGPｺﾞｼｯｸM" w:eastAsia="HGPｺﾞｼｯｸM"/>
                <w:sz w:val="21"/>
              </w:rPr>
              <w:t>年）</w:t>
            </w:r>
          </w:p>
        </w:tc>
        <w:tc>
          <w:tcPr>
            <w:tcW w:w="666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r>
              <w:rPr>
                <w:rFonts w:hint="eastAsia" w:ascii="HGPｺﾞｼｯｸM" w:hAnsi="HGPｺﾞｼｯｸM" w:eastAsia="HGPｺﾞｼｯｸM"/>
                <w:sz w:val="21"/>
              </w:rPr>
              <w:t>年間処理能力（</w:t>
            </w:r>
            <w:r>
              <w:rPr>
                <w:rFonts w:hint="eastAsia" w:ascii="HGPｺﾞｼｯｸM" w:hAnsi="HGPｺﾞｼｯｸM" w:eastAsia="HGPｺﾞｼｯｸM"/>
                <w:sz w:val="21"/>
              </w:rPr>
              <w:t>t/</w:t>
            </w:r>
            <w:r>
              <w:rPr>
                <w:rFonts w:hint="eastAsia" w:ascii="HGPｺﾞｼｯｸM" w:hAnsi="HGPｺﾞｼｯｸM" w:eastAsia="HGPｺﾞｼｯｸM"/>
                <w:sz w:val="21"/>
              </w:rPr>
              <w:t>年）－年間処理量（実績）（</w:t>
            </w:r>
            <w:r>
              <w:rPr>
                <w:rFonts w:hint="eastAsia" w:ascii="HGPｺﾞｼｯｸM" w:hAnsi="HGPｺﾞｼｯｸM" w:eastAsia="HGPｺﾞｼｯｸM"/>
                <w:sz w:val="21"/>
              </w:rPr>
              <w:t>t/</w:t>
            </w:r>
            <w:r>
              <w:rPr>
                <w:rFonts w:hint="eastAsia" w:ascii="HGPｺﾞｼｯｸM" w:hAnsi="HGPｺﾞｼｯｸM" w:eastAsia="HGPｺﾞｼｯｸM"/>
                <w:sz w:val="21"/>
              </w:rPr>
              <w:t>年度）</w:t>
            </w:r>
          </w:p>
        </w:tc>
      </w:tr>
      <w:tr>
        <w:trPr>
          <w:trHeight w:val="680" w:hRule="atLeast"/>
        </w:trPr>
        <w:tc>
          <w:tcPr>
            <w:tcW w:w="24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D9D9"/>
            <w:vAlign w:val="center"/>
          </w:tcPr>
          <w:p>
            <w:pPr>
              <w:pStyle w:val="0"/>
              <w:adjustRightInd w:val="0"/>
              <w:rPr>
                <w:rFonts w:hint="default" w:ascii="HGPｺﾞｼｯｸM" w:hAnsi="HGPｺﾞｼｯｸM" w:eastAsia="HGPｺﾞｼｯｸM"/>
                <w:sz w:val="21"/>
              </w:rPr>
            </w:pPr>
            <w:r>
              <w:rPr>
                <w:rFonts w:hint="eastAsia" w:ascii="HGPｺﾞｼｯｸM" w:hAnsi="HGPｺﾞｼｯｸM" w:eastAsia="HGPｺﾞｼｯｸM"/>
                <w:sz w:val="21"/>
              </w:rPr>
              <w:t>年間処理能力　</w:t>
            </w:r>
            <w:r>
              <w:rPr>
                <w:rFonts w:hint="eastAsia" w:ascii="HGPｺﾞｼｯｸM" w:hAnsi="HGPｺﾞｼｯｸM" w:eastAsia="HGPｺﾞｼｯｸM"/>
                <w:sz w:val="21"/>
              </w:rPr>
              <w:t>(t/</w:t>
            </w:r>
            <w:r>
              <w:rPr>
                <w:rFonts w:hint="eastAsia" w:ascii="HGPｺﾞｼｯｸM" w:hAnsi="HGPｺﾞｼｯｸM" w:eastAsia="HGPｺﾞｼｯｸM"/>
                <w:sz w:val="21"/>
              </w:rPr>
              <w:t>年</w:t>
            </w:r>
            <w:r>
              <w:rPr>
                <w:rFonts w:hint="eastAsia" w:ascii="HGPｺﾞｼｯｸM" w:hAnsi="HGPｺﾞｼｯｸM" w:eastAsia="HGPｺﾞｼｯｸM"/>
                <w:sz w:val="21"/>
              </w:rPr>
              <w:t>)</w:t>
            </w:r>
          </w:p>
        </w:tc>
        <w:tc>
          <w:tcPr>
            <w:tcW w:w="666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r>
              <w:rPr>
                <w:rFonts w:hint="eastAsia" w:ascii="HGPｺﾞｼｯｸM" w:hAnsi="HGPｺﾞｼｯｸM" w:eastAsia="HGPｺﾞｼｯｸM"/>
                <w:sz w:val="21"/>
              </w:rPr>
              <w:t>年間最大稼働日数（日</w:t>
            </w:r>
            <w:r>
              <w:rPr>
                <w:rFonts w:hint="eastAsia" w:ascii="HGPｺﾞｼｯｸM" w:hAnsi="HGPｺﾞｼｯｸM" w:eastAsia="HGPｺﾞｼｯｸM"/>
                <w:sz w:val="21"/>
              </w:rPr>
              <w:t>/</w:t>
            </w:r>
            <w:r>
              <w:rPr>
                <w:rFonts w:hint="eastAsia" w:ascii="HGPｺﾞｼｯｸM" w:hAnsi="HGPｺﾞｼｯｸM" w:eastAsia="HGPｺﾞｼｯｸM"/>
                <w:sz w:val="21"/>
              </w:rPr>
              <w:t>年）×処理能力（</w:t>
            </w:r>
            <w:r>
              <w:rPr>
                <w:rFonts w:hint="eastAsia" w:ascii="HGPｺﾞｼｯｸM" w:hAnsi="HGPｺﾞｼｯｸM" w:eastAsia="HGPｺﾞｼｯｸM"/>
                <w:sz w:val="21"/>
              </w:rPr>
              <w:t>t/</w:t>
            </w:r>
            <w:r>
              <w:rPr>
                <w:rFonts w:hint="eastAsia" w:ascii="HGPｺﾞｼｯｸM" w:hAnsi="HGPｺﾞｼｯｸM" w:eastAsia="HGPｺﾞｼｯｸM"/>
                <w:sz w:val="21"/>
              </w:rPr>
              <w:t>日）</w:t>
            </w:r>
          </w:p>
        </w:tc>
      </w:tr>
      <w:tr>
        <w:trPr>
          <w:trHeight w:val="680" w:hRule="atLeast"/>
        </w:trPr>
        <w:tc>
          <w:tcPr>
            <w:tcW w:w="243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D9D9"/>
            <w:vAlign w:val="center"/>
          </w:tcPr>
          <w:p>
            <w:pPr>
              <w:pStyle w:val="0"/>
              <w:adjustRightInd w:val="0"/>
              <w:rPr>
                <w:rFonts w:hint="default" w:ascii="HGPｺﾞｼｯｸM" w:hAnsi="HGPｺﾞｼｯｸM" w:eastAsia="HGPｺﾞｼｯｸM"/>
                <w:sz w:val="21"/>
              </w:rPr>
            </w:pPr>
            <w:r>
              <w:rPr>
                <w:rFonts w:hint="eastAsia" w:ascii="HGPｺﾞｼｯｸM" w:hAnsi="HGPｺﾞｼｯｸM" w:eastAsia="HGPｺﾞｼｯｸM"/>
                <w:sz w:val="21"/>
              </w:rPr>
              <w:t>年間最大稼働日数</w:t>
            </w:r>
          </w:p>
        </w:tc>
        <w:tc>
          <w:tcPr>
            <w:tcW w:w="666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r>
              <w:rPr>
                <w:rFonts w:hint="eastAsia" w:ascii="HGPｺﾞｼｯｸM" w:hAnsi="HGPｺﾞｼｯｸM" w:eastAsia="HGPｺﾞｼｯｸM"/>
                <w:sz w:val="21"/>
              </w:rPr>
              <w:t>各施設の稼働状況（老朽化、定期点検等）をもとに設定</w:t>
            </w:r>
          </w:p>
        </w:tc>
      </w:tr>
    </w:tbl>
    <w:p>
      <w:pPr>
        <w:pStyle w:val="0"/>
        <w:autoSpaceDE w:val="1"/>
        <w:autoSpaceDN w:val="1"/>
        <w:jc w:val="both"/>
        <w:rPr>
          <w:rFonts w:hint="default" w:asciiTheme="minorHAnsi" w:hAnsiTheme="minorHAnsi" w:eastAsiaTheme="minorEastAsia"/>
          <w:color w:val="FF0000"/>
          <w:kern w:val="2"/>
          <w:sz w:val="21"/>
        </w:rPr>
      </w:pPr>
      <w:bookmarkStart w:id="44" w:name="_Hlk32323543"/>
      <w:r>
        <w:rPr>
          <w:rFonts w:hint="eastAsia" w:ascii="ＭＳ 明朝" w:hAnsi="ＭＳ 明朝" w:eastAsia="ＭＳ 明朝"/>
          <w:sz w:val="18"/>
        </w:rPr>
        <w:t>出典：災害廃棄物対策指針【技</w:t>
      </w:r>
      <w:r>
        <w:rPr>
          <w:rFonts w:hint="eastAsia" w:ascii="ＭＳ 明朝" w:hAnsi="ＭＳ 明朝" w:eastAsia="ＭＳ 明朝"/>
          <w:sz w:val="18"/>
        </w:rPr>
        <w:t>14-4</w:t>
      </w:r>
      <w:r>
        <w:rPr>
          <w:rFonts w:hint="eastAsia" w:ascii="ＭＳ 明朝" w:hAnsi="ＭＳ 明朝" w:eastAsia="ＭＳ 明朝"/>
          <w:sz w:val="18"/>
        </w:rPr>
        <w:t>】</w:t>
      </w:r>
    </w:p>
    <w:p>
      <w:pPr>
        <w:pStyle w:val="0"/>
        <w:tabs>
          <w:tab w:val="left" w:leader="none" w:pos="887"/>
        </w:tabs>
        <w:spacing w:before="10" w:beforeLines="0" w:beforeAutospacing="0" w:after="43" w:afterLines="0" w:afterAutospacing="0"/>
        <w:ind w:right="358"/>
        <w:rPr>
          <w:rFonts w:hint="default"/>
          <w:color w:val="FF0000"/>
          <w:sz w:val="21"/>
        </w:rPr>
      </w:pPr>
      <w:bookmarkEnd w:id="44"/>
    </w:p>
    <w:p>
      <w:pPr>
        <w:pStyle w:val="0"/>
        <w:tabs>
          <w:tab w:val="left" w:leader="none" w:pos="887"/>
        </w:tabs>
        <w:spacing w:before="10" w:beforeLines="0" w:beforeAutospacing="0" w:after="43" w:afterLines="0" w:afterAutospacing="0"/>
        <w:ind w:right="358"/>
        <w:jc w:val="center"/>
        <w:rPr>
          <w:rFonts w:hint="default"/>
          <w:sz w:val="21"/>
        </w:rPr>
      </w:pPr>
      <w:r>
        <w:rPr>
          <w:rFonts w:hint="eastAsia"/>
          <w:sz w:val="21"/>
        </w:rPr>
        <w:t>表２１　焼却施設の処理可能量</w:t>
      </w:r>
    </w:p>
    <w:tbl>
      <w:tblPr>
        <w:tblStyle w:val="54"/>
        <w:tblW w:w="9356"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2127"/>
        <w:gridCol w:w="992"/>
        <w:gridCol w:w="1276"/>
        <w:gridCol w:w="1240"/>
        <w:gridCol w:w="1226"/>
        <w:gridCol w:w="1254"/>
        <w:gridCol w:w="1241"/>
      </w:tblGrid>
      <w:tr>
        <w:trPr>
          <w:trHeight w:val="383" w:hRule="exact"/>
        </w:trPr>
        <w:tc>
          <w:tcPr>
            <w:tcW w:w="2127" w:type="dxa"/>
            <w:vMerge w:val="restart"/>
            <w:tcBorders>
              <w:top w:val="single" w:color="000000" w:sz="4" w:space="0"/>
              <w:left w:val="single" w:color="auto" w:sz="4" w:space="0"/>
              <w:bottom w:val="none" w:color="auto" w:sz="0" w:space="0"/>
              <w:right w:val="single" w:color="000000" w:sz="4" w:space="0"/>
              <w:tl2br w:val="none" w:color="auto" w:sz="0" w:space="0"/>
              <w:tr2bl w:val="none" w:color="auto" w:sz="0" w:space="0"/>
            </w:tcBorders>
            <w:shd w:val="clear" w:color="auto" w:themeFill="background1" w:themeFillTint="FF" w:themeFillShade="D9"/>
            <w:vAlign w:val="center"/>
          </w:tcPr>
          <w:p>
            <w:pPr>
              <w:pStyle w:val="25"/>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施設名</w:t>
            </w:r>
          </w:p>
        </w:tc>
        <w:tc>
          <w:tcPr>
            <w:tcW w:w="992" w:type="dxa"/>
            <w:vMerge w:val="restart"/>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themeFill="background1" w:themeFillTint="FF" w:themeFillShade="D9"/>
            <w:vAlign w:val="center"/>
          </w:tcPr>
          <w:p>
            <w:pPr>
              <w:pStyle w:val="25"/>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処理能力</w:t>
            </w:r>
          </w:p>
          <w:p>
            <w:pPr>
              <w:pStyle w:val="25"/>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w:t>
            </w:r>
            <w:r>
              <w:rPr>
                <w:rFonts w:hint="eastAsia" w:ascii="HGPｺﾞｼｯｸM" w:hAnsi="HGPｺﾞｼｯｸM" w:eastAsia="HGPｺﾞｼｯｸM"/>
                <w:sz w:val="21"/>
              </w:rPr>
              <w:t>t</w:t>
            </w:r>
            <w:r>
              <w:rPr>
                <w:rFonts w:hint="default" w:ascii="HGPｺﾞｼｯｸM" w:hAnsi="HGPｺﾞｼｯｸM" w:eastAsia="HGPｺﾞｼｯｸM"/>
                <w:sz w:val="21"/>
              </w:rPr>
              <w:t>/</w:t>
            </w:r>
            <w:r>
              <w:rPr>
                <w:rFonts w:hint="eastAsia" w:ascii="HGPｺﾞｼｯｸM" w:hAnsi="HGPｺﾞｼｯｸM" w:eastAsia="HGPｺﾞｼｯｸM"/>
                <w:sz w:val="21"/>
              </w:rPr>
              <w:t>日）</w:t>
            </w:r>
          </w:p>
        </w:tc>
        <w:tc>
          <w:tcPr>
            <w:tcW w:w="1276" w:type="dxa"/>
            <w:vMerge w:val="restart"/>
            <w:tcBorders>
              <w:top w:val="single" w:color="000000" w:sz="4" w:space="0"/>
              <w:left w:val="single" w:color="000000"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25"/>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処理実績</w:t>
            </w:r>
            <w:r>
              <w:rPr>
                <w:rFonts w:hint="eastAsia" w:ascii="HGPｺﾞｼｯｸM" w:hAnsi="HGPｺﾞｼｯｸM" w:eastAsia="HGPｺﾞｼｯｸM"/>
                <w:sz w:val="21"/>
                <w:vertAlign w:val="superscript"/>
              </w:rPr>
              <w:t>※</w:t>
            </w:r>
            <w:r>
              <w:rPr>
                <w:rFonts w:hint="eastAsia" w:ascii="HGPｺﾞｼｯｸM" w:hAnsi="HGPｺﾞｼｯｸM" w:eastAsia="HGPｺﾞｼｯｸM"/>
                <w:sz w:val="21"/>
                <w:vertAlign w:val="superscript"/>
              </w:rPr>
              <w:t>1</w:t>
            </w:r>
          </w:p>
          <w:p>
            <w:pPr>
              <w:pStyle w:val="25"/>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(t</w:t>
            </w:r>
            <w:r>
              <w:rPr>
                <w:rFonts w:hint="default" w:ascii="HGPｺﾞｼｯｸM" w:hAnsi="HGPｺﾞｼｯｸM" w:eastAsia="HGPｺﾞｼｯｸM"/>
                <w:sz w:val="21"/>
              </w:rPr>
              <w:t>/</w:t>
            </w:r>
            <w:r>
              <w:rPr>
                <w:rFonts w:hint="eastAsia" w:ascii="HGPｺﾞｼｯｸM" w:hAnsi="HGPｺﾞｼｯｸM" w:eastAsia="HGPｺﾞｼｯｸM"/>
                <w:sz w:val="21"/>
              </w:rPr>
              <w:t>年）</w:t>
            </w:r>
          </w:p>
        </w:tc>
        <w:tc>
          <w:tcPr>
            <w:tcW w:w="2466" w:type="dxa"/>
            <w:gridSpan w:val="2"/>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25"/>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処理可能量</w:t>
            </w:r>
            <w:r>
              <w:rPr>
                <w:rFonts w:hint="eastAsia" w:ascii="HGPｺﾞｼｯｸM" w:hAnsi="HGPｺﾞｼｯｸM" w:eastAsia="HGPｺﾞｼｯｸM"/>
                <w:sz w:val="21"/>
              </w:rPr>
              <w:t>(t/</w:t>
            </w:r>
            <w:r>
              <w:rPr>
                <w:rFonts w:hint="eastAsia" w:ascii="HGPｺﾞｼｯｸM" w:hAnsi="HGPｺﾞｼｯｸM" w:eastAsia="HGPｺﾞｼｯｸM"/>
                <w:sz w:val="21"/>
              </w:rPr>
              <w:t>年</w:t>
            </w:r>
            <w:r>
              <w:rPr>
                <w:rFonts w:hint="eastAsia" w:ascii="HGPｺﾞｼｯｸM" w:hAnsi="HGPｺﾞｼｯｸM" w:eastAsia="HGPｺﾞｼｯｸM"/>
                <w:sz w:val="21"/>
              </w:rPr>
              <w:t>)</w:t>
            </w:r>
          </w:p>
        </w:tc>
        <w:tc>
          <w:tcPr>
            <w:tcW w:w="2495" w:type="dxa"/>
            <w:gridSpan w:val="2"/>
            <w:tcBorders>
              <w:top w:val="single" w:color="000000" w:sz="4" w:space="0"/>
              <w:left w:val="single" w:color="auto"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25"/>
              <w:ind w:left="0"/>
              <w:jc w:val="center"/>
              <w:rPr>
                <w:rFonts w:hint="default" w:ascii="HGPｺﾞｼｯｸM" w:hAnsi="HGPｺﾞｼｯｸM" w:eastAsia="HGPｺﾞｼｯｸM"/>
                <w:sz w:val="21"/>
              </w:rPr>
            </w:pPr>
            <w:r>
              <w:rPr>
                <w:rFonts w:hint="eastAsia" w:ascii="HGPｺﾞｼｯｸM" w:hAnsi="HGPｺﾞｼｯｸM" w:eastAsia="HGPｺﾞｼｯｸM"/>
                <w:sz w:val="21"/>
              </w:rPr>
              <w:t>処理可能量</w:t>
            </w:r>
            <w:r>
              <w:rPr>
                <w:rFonts w:hint="eastAsia" w:ascii="HGPｺﾞｼｯｸM" w:hAnsi="HGPｺﾞｼｯｸM" w:eastAsia="HGPｺﾞｼｯｸM"/>
                <w:sz w:val="21"/>
              </w:rPr>
              <w:t>(t/</w:t>
            </w:r>
            <w:r>
              <w:rPr>
                <w:rFonts w:hint="default" w:ascii="HGPｺﾞｼｯｸM" w:hAnsi="HGPｺﾞｼｯｸM" w:eastAsia="HGPｺﾞｼｯｸM"/>
                <w:sz w:val="21"/>
              </w:rPr>
              <w:t>2.7</w:t>
            </w:r>
            <w:r>
              <w:rPr>
                <w:rFonts w:hint="eastAsia" w:ascii="HGPｺﾞｼｯｸM" w:hAnsi="HGPｺﾞｼｯｸM" w:eastAsia="HGPｺﾞｼｯｸM"/>
                <w:sz w:val="21"/>
              </w:rPr>
              <w:t>年</w:t>
            </w:r>
            <w:r>
              <w:rPr>
                <w:rFonts w:hint="eastAsia" w:ascii="HGPｺﾞｼｯｸM" w:hAnsi="HGPｺﾞｼｯｸM" w:eastAsia="HGPｺﾞｼｯｸM"/>
                <w:sz w:val="21"/>
              </w:rPr>
              <w:t>)</w:t>
            </w:r>
          </w:p>
        </w:tc>
      </w:tr>
      <w:tr>
        <w:trPr>
          <w:trHeight w:val="384" w:hRule="atLeast"/>
        </w:trPr>
        <w:tc>
          <w:tcPr>
            <w:tcW w:w="2127" w:type="dxa"/>
            <w:vMerge w:val="continue"/>
            <w:tcBorders>
              <w:top w:val="none" w:color="auto" w:sz="0" w:space="0"/>
              <w:left w:val="single" w:color="auto" w:sz="4" w:space="0"/>
              <w:bottom w:val="single" w:color="auto" w:sz="4" w:space="0"/>
              <w:right w:val="single" w:color="000000" w:sz="4" w:space="0"/>
              <w:tl2br w:val="none" w:color="auto" w:sz="0" w:space="0"/>
              <w:tr2bl w:val="none" w:color="auto" w:sz="0" w:space="0"/>
            </w:tcBorders>
            <w:vAlign w:val="center"/>
          </w:tcPr>
          <w:p>
            <w:pPr>
              <w:pStyle w:val="25"/>
              <w:ind w:left="880" w:right="101"/>
              <w:jc w:val="center"/>
              <w:rPr>
                <w:rFonts w:hint="default" w:ascii="HGPｺﾞｼｯｸM" w:hAnsi="HGPｺﾞｼｯｸM" w:eastAsia="HGPｺﾞｼｯｸM"/>
                <w:sz w:val="21"/>
              </w:rPr>
            </w:pPr>
          </w:p>
        </w:tc>
        <w:tc>
          <w:tcPr>
            <w:tcW w:w="992" w:type="dxa"/>
            <w:vMerge w:val="continue"/>
            <w:tcBorders>
              <w:top w:val="none" w:color="auto" w:sz="0" w:space="0"/>
              <w:left w:val="single" w:color="000000" w:sz="4" w:space="0"/>
              <w:bottom w:val="single" w:color="auto" w:sz="4" w:space="0"/>
              <w:right w:val="single" w:color="000000" w:sz="4" w:space="0"/>
              <w:tl2br w:val="none" w:color="auto" w:sz="0" w:space="0"/>
              <w:tr2bl w:val="none" w:color="auto" w:sz="0" w:space="0"/>
            </w:tcBorders>
            <w:vAlign w:val="center"/>
          </w:tcPr>
          <w:p>
            <w:pPr>
              <w:pStyle w:val="25"/>
              <w:ind w:left="880" w:right="101"/>
              <w:jc w:val="center"/>
              <w:rPr>
                <w:rFonts w:hint="default" w:ascii="HGPｺﾞｼｯｸM" w:hAnsi="HGPｺﾞｼｯｸM" w:eastAsia="HGPｺﾞｼｯｸM"/>
                <w:sz w:val="21"/>
              </w:rPr>
            </w:pPr>
          </w:p>
        </w:tc>
        <w:tc>
          <w:tcPr>
            <w:tcW w:w="1276" w:type="dxa"/>
            <w:vMerge w:val="continue"/>
            <w:tcBorders>
              <w:top w:val="none" w:color="auto" w:sz="0" w:space="0"/>
              <w:left w:val="single" w:color="000000" w:sz="4" w:space="0"/>
              <w:bottom w:val="single" w:color="auto" w:sz="4" w:space="0"/>
              <w:right w:val="single" w:color="auto" w:sz="4" w:space="0"/>
              <w:tl2br w:val="none" w:color="auto" w:sz="0" w:space="0"/>
              <w:tr2bl w:val="none" w:color="auto" w:sz="0" w:space="0"/>
            </w:tcBorders>
            <w:vAlign w:val="center"/>
          </w:tcPr>
          <w:p>
            <w:pPr>
              <w:pStyle w:val="25"/>
              <w:ind w:left="880" w:right="101"/>
              <w:jc w:val="center"/>
              <w:rPr>
                <w:rFonts w:hint="default" w:ascii="HGPｺﾞｼｯｸM" w:hAnsi="HGPｺﾞｼｯｸM" w:eastAsia="HGPｺﾞｼｯｸM"/>
                <w:sz w:val="21"/>
              </w:rPr>
            </w:pPr>
          </w:p>
        </w:tc>
        <w:tc>
          <w:tcPr>
            <w:tcW w:w="1240" w:type="dxa"/>
            <w:tcBorders>
              <w:top w:val="single" w:color="000000" w:sz="4" w:space="0"/>
              <w:left w:val="single" w:color="auto" w:sz="4" w:space="0"/>
              <w:bottom w:val="single" w:color="auto" w:sz="4" w:space="0"/>
              <w:right w:val="single" w:color="000000" w:sz="4" w:space="0"/>
              <w:tl2br w:val="none" w:color="auto" w:sz="0" w:space="0"/>
              <w:tr2bl w:val="none" w:color="auto" w:sz="0" w:space="0"/>
            </w:tcBorders>
            <w:shd w:val="clear" w:color="auto" w:themeFill="background1" w:themeFillTint="FF" w:themeFillShade="D9"/>
            <w:vAlign w:val="center"/>
          </w:tcPr>
          <w:p>
            <w:pPr>
              <w:pStyle w:val="25"/>
              <w:ind w:left="-4" w:right="101"/>
              <w:jc w:val="center"/>
              <w:rPr>
                <w:rFonts w:hint="default" w:ascii="HGPｺﾞｼｯｸM" w:hAnsi="HGPｺﾞｼｯｸM" w:eastAsia="HGPｺﾞｼｯｸM"/>
                <w:sz w:val="21"/>
              </w:rPr>
            </w:pPr>
            <w:r>
              <w:rPr>
                <w:rFonts w:hint="eastAsia" w:ascii="HGPｺﾞｼｯｸM" w:hAnsi="HGPｺﾞｼｯｸM" w:eastAsia="HGPｺﾞｼｯｸM"/>
                <w:sz w:val="21"/>
              </w:rPr>
              <w:t>高位</w:t>
            </w:r>
          </w:p>
          <w:p>
            <w:pPr>
              <w:pStyle w:val="25"/>
              <w:ind w:left="-4" w:right="101"/>
              <w:jc w:val="center"/>
              <w:rPr>
                <w:rFonts w:hint="default" w:ascii="HGPｺﾞｼｯｸM" w:hAnsi="HGPｺﾞｼｯｸM" w:eastAsia="HGPｺﾞｼｯｸM"/>
                <w:sz w:val="21"/>
              </w:rPr>
            </w:pPr>
            <w:r>
              <w:rPr>
                <w:rFonts w:hint="eastAsia" w:ascii="HGPｺﾞｼｯｸM" w:hAnsi="HGPｺﾞｼｯｸM" w:eastAsia="HGPｺﾞｼｯｸM"/>
                <w:sz w:val="21"/>
              </w:rPr>
              <w:t>シナリオ</w:t>
            </w:r>
          </w:p>
        </w:tc>
        <w:tc>
          <w:tcPr>
            <w:tcW w:w="1226" w:type="dxa"/>
            <w:tcBorders>
              <w:top w:val="single" w:color="000000"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25"/>
              <w:ind w:left="0" w:right="101"/>
              <w:jc w:val="center"/>
              <w:rPr>
                <w:rFonts w:hint="default" w:ascii="HGPｺﾞｼｯｸM" w:hAnsi="HGPｺﾞｼｯｸM" w:eastAsia="HGPｺﾞｼｯｸM"/>
                <w:sz w:val="21"/>
              </w:rPr>
            </w:pPr>
            <w:r>
              <w:rPr>
                <w:rFonts w:hint="eastAsia" w:ascii="HGPｺﾞｼｯｸM" w:hAnsi="HGPｺﾞｼｯｸM" w:eastAsia="HGPｺﾞｼｯｸM"/>
                <w:sz w:val="21"/>
              </w:rPr>
              <w:t>公称能力</w:t>
            </w:r>
          </w:p>
          <w:p>
            <w:pPr>
              <w:pStyle w:val="25"/>
              <w:ind w:left="0" w:right="101"/>
              <w:jc w:val="center"/>
              <w:rPr>
                <w:rFonts w:hint="default" w:ascii="HGPｺﾞｼｯｸM" w:hAnsi="HGPｺﾞｼｯｸM" w:eastAsia="HGPｺﾞｼｯｸM"/>
                <w:sz w:val="21"/>
              </w:rPr>
            </w:pPr>
            <w:r>
              <w:rPr>
                <w:rFonts w:hint="eastAsia" w:ascii="HGPｺﾞｼｯｸM" w:hAnsi="HGPｺﾞｼｯｸM" w:eastAsia="HGPｺﾞｼｯｸM"/>
                <w:sz w:val="21"/>
              </w:rPr>
              <w:t>最大</w:t>
            </w:r>
            <w:r>
              <w:rPr>
                <w:rFonts w:hint="eastAsia" w:ascii="HGPｺﾞｼｯｸM" w:hAnsi="HGPｺﾞｼｯｸM" w:eastAsia="HGPｺﾞｼｯｸM"/>
                <w:sz w:val="21"/>
                <w:vertAlign w:val="superscript"/>
              </w:rPr>
              <w:t>※</w:t>
            </w:r>
            <w:r>
              <w:rPr>
                <w:rFonts w:hint="eastAsia" w:ascii="HGPｺﾞｼｯｸM" w:hAnsi="HGPｺﾞｼｯｸM" w:eastAsia="HGPｺﾞｼｯｸM"/>
                <w:sz w:val="21"/>
                <w:vertAlign w:val="superscript"/>
              </w:rPr>
              <w:t>2</w:t>
            </w:r>
          </w:p>
        </w:tc>
        <w:tc>
          <w:tcPr>
            <w:tcW w:w="1254" w:type="dxa"/>
            <w:tcBorders>
              <w:top w:val="single" w:color="000000" w:sz="4" w:space="0"/>
              <w:left w:val="single" w:color="auto" w:sz="4" w:space="0"/>
              <w:bottom w:val="single" w:color="auto" w:sz="4" w:space="0"/>
              <w:right w:val="single" w:color="000000" w:sz="4" w:space="0"/>
              <w:tl2br w:val="none" w:color="auto" w:sz="0" w:space="0"/>
              <w:tr2bl w:val="none" w:color="auto" w:sz="0" w:space="0"/>
            </w:tcBorders>
            <w:shd w:val="clear" w:color="auto" w:themeFill="background1" w:themeFillTint="FF" w:themeFillShade="D9"/>
            <w:vAlign w:val="center"/>
          </w:tcPr>
          <w:p>
            <w:pPr>
              <w:pStyle w:val="25"/>
              <w:ind w:left="-4" w:right="101"/>
              <w:jc w:val="center"/>
              <w:rPr>
                <w:rFonts w:hint="default" w:ascii="HGPｺﾞｼｯｸM" w:hAnsi="HGPｺﾞｼｯｸM" w:eastAsia="HGPｺﾞｼｯｸM"/>
                <w:sz w:val="21"/>
              </w:rPr>
            </w:pPr>
            <w:r>
              <w:rPr>
                <w:rFonts w:hint="eastAsia" w:ascii="HGPｺﾞｼｯｸM" w:hAnsi="HGPｺﾞｼｯｸM" w:eastAsia="HGPｺﾞｼｯｸM"/>
                <w:sz w:val="21"/>
              </w:rPr>
              <w:t>高位</w:t>
            </w:r>
          </w:p>
          <w:p>
            <w:pPr>
              <w:pStyle w:val="25"/>
              <w:ind w:left="0" w:right="101"/>
              <w:jc w:val="center"/>
              <w:rPr>
                <w:rFonts w:hint="default" w:ascii="HGPｺﾞｼｯｸM" w:hAnsi="HGPｺﾞｼｯｸM" w:eastAsia="HGPｺﾞｼｯｸM"/>
                <w:sz w:val="21"/>
              </w:rPr>
            </w:pPr>
            <w:r>
              <w:rPr>
                <w:rFonts w:hint="eastAsia" w:ascii="HGPｺﾞｼｯｸM" w:hAnsi="HGPｺﾞｼｯｸM" w:eastAsia="HGPｺﾞｼｯｸM"/>
                <w:sz w:val="21"/>
              </w:rPr>
              <w:t>シナリオ</w:t>
            </w:r>
          </w:p>
        </w:tc>
        <w:tc>
          <w:tcPr>
            <w:tcW w:w="1241" w:type="dxa"/>
            <w:tcBorders>
              <w:top w:val="single" w:color="000000" w:sz="4" w:space="0"/>
              <w:left w:val="single" w:color="auto" w:sz="4" w:space="0"/>
              <w:bottom w:val="single" w:color="auto" w:sz="4" w:space="0"/>
              <w:right w:val="single" w:color="000000" w:sz="4" w:space="0"/>
              <w:tl2br w:val="none" w:color="auto" w:sz="0" w:space="0"/>
              <w:tr2bl w:val="none" w:color="auto" w:sz="0" w:space="0"/>
            </w:tcBorders>
            <w:shd w:val="clear" w:color="auto" w:themeFill="background1" w:themeFillTint="FF" w:themeFillShade="D9"/>
            <w:vAlign w:val="center"/>
          </w:tcPr>
          <w:p>
            <w:pPr>
              <w:pStyle w:val="25"/>
              <w:ind w:left="0" w:right="101"/>
              <w:jc w:val="center"/>
              <w:rPr>
                <w:rFonts w:hint="default" w:ascii="HGPｺﾞｼｯｸM" w:hAnsi="HGPｺﾞｼｯｸM" w:eastAsia="HGPｺﾞｼｯｸM"/>
                <w:sz w:val="21"/>
              </w:rPr>
            </w:pPr>
            <w:r>
              <w:rPr>
                <w:rFonts w:hint="eastAsia" w:ascii="HGPｺﾞｼｯｸM" w:hAnsi="HGPｺﾞｼｯｸM" w:eastAsia="HGPｺﾞｼｯｸM"/>
                <w:sz w:val="21"/>
              </w:rPr>
              <w:t>公称能力</w:t>
            </w:r>
          </w:p>
          <w:p>
            <w:pPr>
              <w:pStyle w:val="25"/>
              <w:ind w:left="0" w:right="101"/>
              <w:jc w:val="center"/>
              <w:rPr>
                <w:rFonts w:hint="default" w:ascii="HGPｺﾞｼｯｸM" w:hAnsi="HGPｺﾞｼｯｸM" w:eastAsia="HGPｺﾞｼｯｸM"/>
                <w:sz w:val="21"/>
              </w:rPr>
            </w:pPr>
            <w:r>
              <w:rPr>
                <w:rFonts w:hint="eastAsia" w:ascii="HGPｺﾞｼｯｸM" w:hAnsi="HGPｺﾞｼｯｸM" w:eastAsia="HGPｺﾞｼｯｸM"/>
                <w:sz w:val="21"/>
              </w:rPr>
              <w:t>最大</w:t>
            </w:r>
            <w:r>
              <w:rPr>
                <w:rFonts w:hint="eastAsia" w:ascii="HGPｺﾞｼｯｸM" w:hAnsi="HGPｺﾞｼｯｸM" w:eastAsia="HGPｺﾞｼｯｸM"/>
                <w:sz w:val="21"/>
                <w:vertAlign w:val="superscript"/>
              </w:rPr>
              <w:t>※</w:t>
            </w:r>
            <w:r>
              <w:rPr>
                <w:rFonts w:hint="eastAsia" w:ascii="HGPｺﾞｼｯｸM" w:hAnsi="HGPｺﾞｼｯｸM" w:eastAsia="HGPｺﾞｼｯｸM"/>
                <w:sz w:val="21"/>
                <w:vertAlign w:val="superscript"/>
              </w:rPr>
              <w:t>2</w:t>
            </w:r>
          </w:p>
        </w:tc>
      </w:tr>
      <w:tr>
        <w:trPr>
          <w:trHeight w:val="733" w:hRule="atLeast"/>
        </w:trPr>
        <w:tc>
          <w:tcPr>
            <w:tcW w:w="2127" w:type="dxa"/>
            <w:tcBorders>
              <w:top w:val="single" w:color="000000"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那覇・南風原</w:t>
            </w:r>
          </w:p>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クリーンセンター</w:t>
            </w:r>
          </w:p>
        </w:tc>
        <w:tc>
          <w:tcPr>
            <w:tcW w:w="992" w:type="dxa"/>
            <w:tcBorders>
              <w:top w:val="single" w:color="000000"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HGPｺﾞｼｯｸM" w:hAnsi="HGPｺﾞｼｯｸM" w:eastAsia="HGPｺﾞｼｯｸM"/>
                <w:sz w:val="21"/>
              </w:rPr>
            </w:pPr>
            <w:r>
              <w:rPr>
                <w:rFonts w:hint="eastAsia" w:ascii="HGPｺﾞｼｯｸM" w:hAnsi="HGPｺﾞｼｯｸM" w:eastAsia="HGPｺﾞｼｯｸM"/>
                <w:sz w:val="21"/>
              </w:rPr>
              <w:t>4</w:t>
            </w:r>
            <w:r>
              <w:rPr>
                <w:rFonts w:hint="default" w:ascii="HGPｺﾞｼｯｸM" w:hAnsi="HGPｺﾞｼｯｸM" w:eastAsia="HGPｺﾞｼｯｸM"/>
                <w:sz w:val="21"/>
              </w:rPr>
              <w:t>50</w:t>
            </w:r>
          </w:p>
        </w:tc>
        <w:tc>
          <w:tcPr>
            <w:tcW w:w="1276" w:type="dxa"/>
            <w:tcBorders>
              <w:top w:val="single" w:color="000000"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right="136" w:rightChars="62"/>
              <w:jc w:val="right"/>
              <w:rPr>
                <w:rFonts w:hint="default" w:ascii="HGPｺﾞｼｯｸM" w:hAnsi="HGPｺﾞｼｯｸM" w:eastAsia="HGPｺﾞｼｯｸM"/>
                <w:sz w:val="21"/>
              </w:rPr>
            </w:pPr>
            <w:r>
              <w:rPr>
                <w:rFonts w:hint="default" w:ascii="HGPｺﾞｼｯｸM" w:hAnsi="HGPｺﾞｼｯｸM" w:eastAsia="HGPｺﾞｼｯｸM"/>
                <w:b w:val="0"/>
                <w:sz w:val="21"/>
                <w:u w:val="none" w:color="auto"/>
              </w:rPr>
              <w:t>10</w:t>
            </w:r>
            <w:r>
              <w:rPr>
                <w:rFonts w:hint="eastAsia" w:ascii="HGPｺﾞｼｯｸM" w:hAnsi="HGPｺﾞｼｯｸM" w:eastAsia="HGPｺﾞｼｯｸM"/>
                <w:b w:val="0"/>
                <w:sz w:val="21"/>
                <w:u w:val="none" w:color="auto"/>
              </w:rPr>
              <w:t>0,637</w:t>
            </w:r>
          </w:p>
        </w:tc>
        <w:tc>
          <w:tcPr>
            <w:tcW w:w="1240" w:type="dxa"/>
            <w:tcBorders>
              <w:top w:val="single" w:color="000000" w:sz="4" w:space="0"/>
              <w:left w:val="single" w:color="auto" w:sz="4" w:space="0"/>
              <w:bottom w:val="single" w:color="auto" w:sz="4" w:space="0"/>
              <w:right w:val="single" w:color="000000" w:sz="4" w:space="0"/>
              <w:tl2br w:val="none" w:color="auto" w:sz="0" w:space="0"/>
              <w:tr2bl w:val="none" w:color="auto" w:sz="0" w:space="0"/>
            </w:tcBorders>
            <w:vAlign w:val="center"/>
          </w:tcPr>
          <w:p>
            <w:pPr>
              <w:pStyle w:val="25"/>
              <w:ind w:left="0" w:leftChars="-274" w:right="101" w:hanging="603" w:hangingChars="287"/>
              <w:jc w:val="right"/>
              <w:rPr>
                <w:rFonts w:hint="default" w:ascii="HGPｺﾞｼｯｸM" w:hAnsi="HGPｺﾞｼｯｸM" w:eastAsia="HGPｺﾞｼｯｸM"/>
                <w:b w:val="0"/>
                <w:sz w:val="21"/>
                <w:u w:val="none" w:color="auto"/>
              </w:rPr>
            </w:pPr>
            <w:r>
              <w:rPr>
                <w:rFonts w:hint="default" w:ascii="HGPｺﾞｼｯｸM" w:hAnsi="HGPｺﾞｼｯｸM" w:eastAsia="HGPｺﾞｼｯｸM"/>
                <w:b w:val="0"/>
                <w:sz w:val="21"/>
                <w:u w:val="none" w:color="auto"/>
              </w:rPr>
              <w:t>20,</w:t>
            </w:r>
            <w:r>
              <w:rPr>
                <w:rFonts w:hint="eastAsia" w:ascii="HGPｺﾞｼｯｸM" w:hAnsi="HGPｺﾞｼｯｸM" w:eastAsia="HGPｺﾞｼｯｸM"/>
                <w:b w:val="0"/>
                <w:sz w:val="21"/>
                <w:u w:val="none" w:color="auto"/>
              </w:rPr>
              <w:t>100</w:t>
            </w:r>
          </w:p>
        </w:tc>
        <w:tc>
          <w:tcPr>
            <w:tcW w:w="1226" w:type="dxa"/>
            <w:tcBorders>
              <w:top w:val="single" w:color="000000" w:sz="4" w:space="0"/>
              <w:left w:val="single" w:color="auto" w:sz="4" w:space="0"/>
              <w:bottom w:val="single" w:color="auto" w:sz="4" w:space="0"/>
              <w:right w:val="single" w:color="auto" w:sz="4" w:space="0"/>
              <w:tl2br w:val="none" w:color="auto" w:sz="0" w:space="0"/>
              <w:tr2bl w:val="none" w:color="auto" w:sz="0" w:space="0"/>
            </w:tcBorders>
            <w:vAlign w:val="center"/>
          </w:tcPr>
          <w:p>
            <w:pPr>
              <w:pStyle w:val="25"/>
              <w:ind w:left="-1" w:leftChars="-253" w:right="101" w:hanging="556" w:hangingChars="265"/>
              <w:jc w:val="right"/>
              <w:rPr>
                <w:rFonts w:hint="default" w:ascii="HGPｺﾞｼｯｸM" w:hAnsi="HGPｺﾞｼｯｸM" w:eastAsia="HGPｺﾞｼｯｸM"/>
                <w:b w:val="0"/>
                <w:sz w:val="21"/>
                <w:u w:val="none" w:color="auto"/>
              </w:rPr>
            </w:pPr>
            <w:r>
              <w:rPr>
                <w:rFonts w:hint="eastAsia" w:ascii="HGPｺﾞｼｯｸM" w:hAnsi="HGPｺﾞｼｯｸM" w:eastAsia="HGPｺﾞｼｯｸM"/>
                <w:b w:val="0"/>
                <w:sz w:val="21"/>
                <w:u w:val="none" w:color="auto"/>
              </w:rPr>
              <w:t>2,800</w:t>
            </w:r>
          </w:p>
        </w:tc>
        <w:tc>
          <w:tcPr>
            <w:tcW w:w="1254" w:type="dxa"/>
            <w:tcBorders>
              <w:top w:val="single" w:color="000000" w:sz="4" w:space="0"/>
              <w:left w:val="single" w:color="auto" w:sz="4" w:space="0"/>
              <w:bottom w:val="single" w:color="auto" w:sz="4" w:space="0"/>
              <w:right w:val="single" w:color="000000" w:sz="4" w:space="0"/>
              <w:tl2br w:val="none" w:color="auto" w:sz="0" w:space="0"/>
              <w:tr2bl w:val="none" w:color="auto" w:sz="0" w:space="0"/>
            </w:tcBorders>
            <w:vAlign w:val="center"/>
          </w:tcPr>
          <w:p>
            <w:pPr>
              <w:pStyle w:val="25"/>
              <w:ind w:left="0" w:leftChars="-297" w:right="101" w:hanging="653" w:hangingChars="311"/>
              <w:jc w:val="right"/>
              <w:rPr>
                <w:rFonts w:hint="default" w:ascii="HGPｺﾞｼｯｸM" w:hAnsi="HGPｺﾞｼｯｸM" w:eastAsia="HGPｺﾞｼｯｸM"/>
                <w:b w:val="0"/>
                <w:sz w:val="21"/>
                <w:u w:val="none" w:color="auto"/>
              </w:rPr>
            </w:pPr>
            <w:r>
              <w:rPr>
                <w:rFonts w:hint="default" w:ascii="HGPｺﾞｼｯｸM" w:hAnsi="HGPｺﾞｼｯｸM" w:eastAsia="HGPｺﾞｼｯｸM"/>
                <w:b w:val="0"/>
                <w:sz w:val="21"/>
                <w:u w:val="none" w:color="auto"/>
              </w:rPr>
              <w:t>5</w:t>
            </w:r>
            <w:r>
              <w:rPr>
                <w:rFonts w:hint="eastAsia" w:ascii="HGPｺﾞｼｯｸM" w:hAnsi="HGPｺﾞｼｯｸM" w:eastAsia="HGPｺﾞｼｯｸM"/>
                <w:b w:val="0"/>
                <w:sz w:val="21"/>
                <w:u w:val="none" w:color="auto"/>
              </w:rPr>
              <w:t>4,300</w:t>
            </w:r>
          </w:p>
        </w:tc>
        <w:tc>
          <w:tcPr>
            <w:tcW w:w="1241" w:type="dxa"/>
            <w:tcBorders>
              <w:top w:val="single" w:color="000000" w:sz="4" w:space="0"/>
              <w:left w:val="single" w:color="auto" w:sz="4" w:space="0"/>
              <w:bottom w:val="single" w:color="auto" w:sz="4" w:space="0"/>
              <w:right w:val="single" w:color="000000" w:sz="4" w:space="0"/>
              <w:tl2br w:val="none" w:color="auto" w:sz="0" w:space="0"/>
              <w:tr2bl w:val="none" w:color="auto" w:sz="0" w:space="0"/>
            </w:tcBorders>
            <w:vAlign w:val="center"/>
          </w:tcPr>
          <w:p>
            <w:pPr>
              <w:pStyle w:val="25"/>
              <w:ind w:left="-2" w:leftChars="-354" w:right="101" w:hanging="777" w:hangingChars="370"/>
              <w:jc w:val="right"/>
              <w:rPr>
                <w:rFonts w:hint="default" w:ascii="HGPｺﾞｼｯｸM" w:hAnsi="HGPｺﾞｼｯｸM" w:eastAsia="HGPｺﾞｼｯｸM"/>
                <w:b w:val="0"/>
                <w:sz w:val="21"/>
                <w:u w:val="none" w:color="auto"/>
              </w:rPr>
            </w:pPr>
            <w:r>
              <w:rPr>
                <w:rFonts w:hint="eastAsia" w:ascii="HGPｺﾞｼｯｸM" w:hAnsi="HGPｺﾞｼｯｸM" w:eastAsia="HGPｺﾞｼｯｸM"/>
                <w:b w:val="0"/>
                <w:sz w:val="21"/>
                <w:u w:val="none" w:color="auto"/>
              </w:rPr>
              <w:t>7,7</w:t>
            </w:r>
            <w:r>
              <w:rPr>
                <w:rFonts w:hint="default" w:ascii="HGPｺﾞｼｯｸM" w:hAnsi="HGPｺﾞｼｯｸM" w:eastAsia="HGPｺﾞｼｯｸM"/>
                <w:b w:val="0"/>
                <w:sz w:val="21"/>
                <w:u w:val="none" w:color="auto"/>
              </w:rPr>
              <w:t>00</w:t>
            </w:r>
          </w:p>
        </w:tc>
      </w:tr>
    </w:tbl>
    <w:p>
      <w:pPr>
        <w:pStyle w:val="15"/>
        <w:spacing w:before="29" w:beforeLines="0" w:beforeAutospacing="0"/>
        <w:rPr>
          <w:rFonts w:hint="default" w:ascii="ＭＳ 明朝" w:hAnsi="ＭＳ 明朝" w:eastAsia="ＭＳ 明朝"/>
          <w:sz w:val="18"/>
        </w:rPr>
      </w:pPr>
      <w:r>
        <w:rPr>
          <w:rFonts w:hint="eastAsia" w:ascii="ＭＳ 明朝" w:hAnsi="ＭＳ 明朝" w:eastAsia="ＭＳ 明朝"/>
          <w:b w:val="0"/>
          <w:sz w:val="18"/>
          <w:u w:val="none" w:color="auto"/>
        </w:rPr>
        <w:t>※</w:t>
      </w:r>
      <w:r>
        <w:rPr>
          <w:rFonts w:hint="eastAsia" w:ascii="ＭＳ 明朝" w:hAnsi="ＭＳ 明朝" w:eastAsia="ＭＳ 明朝"/>
          <w:b w:val="0"/>
          <w:sz w:val="18"/>
          <w:u w:val="none" w:color="auto"/>
        </w:rPr>
        <w:t>1</w:t>
      </w:r>
      <w:r>
        <w:rPr>
          <w:rFonts w:hint="eastAsia" w:ascii="ＭＳ 明朝" w:hAnsi="ＭＳ 明朝" w:eastAsia="ＭＳ 明朝"/>
          <w:b w:val="0"/>
          <w:sz w:val="18"/>
          <w:u w:val="none" w:color="auto"/>
        </w:rPr>
        <w:t>　処理実績は環境省一般廃棄物処理実態調査（令和４年度調査結果）</w:t>
      </w:r>
    </w:p>
    <w:p>
      <w:pPr>
        <w:pStyle w:val="15"/>
        <w:spacing w:before="29" w:beforeLines="0" w:beforeAutospacing="0"/>
        <w:rPr>
          <w:rFonts w:hint="default" w:ascii="ＭＳ 明朝" w:hAnsi="ＭＳ 明朝" w:eastAsia="ＭＳ 明朝"/>
          <w:sz w:val="18"/>
        </w:rPr>
      </w:pPr>
      <w:r>
        <w:rPr>
          <w:rFonts w:hint="eastAsia" w:ascii="ＭＳ 明朝" w:hAnsi="ＭＳ 明朝" w:eastAsia="ＭＳ 明朝"/>
          <w:sz w:val="18"/>
        </w:rPr>
        <w:t>※</w:t>
      </w:r>
      <w:r>
        <w:rPr>
          <w:rFonts w:hint="eastAsia" w:ascii="ＭＳ 明朝" w:hAnsi="ＭＳ 明朝" w:eastAsia="ＭＳ 明朝"/>
          <w:sz w:val="18"/>
        </w:rPr>
        <w:t>2</w:t>
      </w:r>
      <w:r>
        <w:rPr>
          <w:rFonts w:hint="eastAsia" w:ascii="ＭＳ 明朝" w:hAnsi="ＭＳ 明朝" w:eastAsia="ＭＳ 明朝"/>
          <w:sz w:val="18"/>
        </w:rPr>
        <w:t>　年間最大稼働日数は沖縄県災害廃棄物処理計画（平成</w:t>
      </w:r>
      <w:r>
        <w:rPr>
          <w:rFonts w:hint="default" w:ascii="ＭＳ 明朝" w:hAnsi="ＭＳ 明朝" w:eastAsia="ＭＳ 明朝"/>
          <w:sz w:val="18"/>
        </w:rPr>
        <w:t>29</w:t>
      </w:r>
      <w:r>
        <w:rPr>
          <w:rFonts w:hint="default" w:ascii="ＭＳ 明朝" w:hAnsi="ＭＳ 明朝" w:eastAsia="ＭＳ 明朝"/>
          <w:sz w:val="18"/>
        </w:rPr>
        <w:t>年</w:t>
      </w:r>
      <w:r>
        <w:rPr>
          <w:rFonts w:hint="eastAsia" w:ascii="ＭＳ 明朝" w:hAnsi="ＭＳ 明朝" w:eastAsia="ＭＳ 明朝"/>
          <w:sz w:val="18"/>
        </w:rPr>
        <w:t>3</w:t>
      </w:r>
      <w:r>
        <w:rPr>
          <w:rFonts w:hint="default" w:ascii="ＭＳ 明朝" w:hAnsi="ＭＳ 明朝" w:eastAsia="ＭＳ 明朝"/>
          <w:sz w:val="18"/>
        </w:rPr>
        <w:t>月）より</w:t>
      </w:r>
      <w:r>
        <w:rPr>
          <w:rFonts w:hint="eastAsia" w:ascii="ＭＳ 明朝" w:hAnsi="ＭＳ 明朝" w:eastAsia="ＭＳ 明朝"/>
          <w:sz w:val="18"/>
        </w:rPr>
        <w:t>を</w:t>
      </w:r>
      <w:r>
        <w:rPr>
          <w:rFonts w:hint="default" w:ascii="ＭＳ 明朝" w:hAnsi="ＭＳ 明朝" w:eastAsia="ＭＳ 明朝"/>
          <w:sz w:val="18"/>
        </w:rPr>
        <w:t>230</w:t>
      </w:r>
      <w:r>
        <w:rPr>
          <w:rFonts w:hint="eastAsia" w:ascii="ＭＳ 明朝" w:hAnsi="ＭＳ 明朝" w:eastAsia="ＭＳ 明朝"/>
          <w:sz w:val="18"/>
        </w:rPr>
        <w:t>日と設定</w:t>
      </w:r>
    </w:p>
    <w:p>
      <w:pPr>
        <w:pStyle w:val="0"/>
        <w:rPr>
          <w:rFonts w:hint="default" w:ascii="ＭＳ 明朝" w:hAnsi="ＭＳ 明朝" w:eastAsia="ＭＳ 明朝"/>
        </w:rPr>
      </w:pPr>
    </w:p>
    <w:p>
      <w:pPr>
        <w:pStyle w:val="0"/>
        <w:numPr>
          <w:ilvl w:val="0"/>
          <w:numId w:val="4"/>
        </w:numPr>
        <w:rPr>
          <w:rFonts w:hint="default" w:ascii="ＭＳ 明朝" w:hAnsi="ＭＳ 明朝" w:eastAsia="ＭＳ 明朝"/>
        </w:rPr>
      </w:pPr>
      <w:r>
        <w:rPr>
          <w:rFonts w:hint="eastAsia" w:ascii="ＭＳ 明朝" w:hAnsi="ＭＳ 明朝" w:eastAsia="ＭＳ 明朝"/>
        </w:rPr>
        <w:t>最終処分場埋立可能量</w:t>
      </w:r>
    </w:p>
    <w:p>
      <w:pPr>
        <w:pStyle w:val="0"/>
        <w:autoSpaceDE w:val="1"/>
        <w:autoSpaceDN w:val="1"/>
        <w:spacing w:line="276" w:lineRule="auto"/>
        <w:ind w:left="220" w:leftChars="100" w:firstLine="210" w:firstLineChars="100"/>
        <w:jc w:val="both"/>
        <w:rPr>
          <w:rFonts w:hint="default" w:ascii="ＭＳ 明朝" w:hAnsi="ＭＳ 明朝" w:eastAsia="ＭＳ 明朝"/>
          <w:kern w:val="2"/>
          <w:sz w:val="21"/>
        </w:rPr>
      </w:pPr>
      <w:r>
        <w:rPr>
          <w:rFonts w:hint="eastAsia" w:ascii="ＭＳ 明朝" w:hAnsi="ＭＳ 明朝" w:eastAsia="ＭＳ 明朝"/>
          <w:kern w:val="2"/>
          <w:sz w:val="21"/>
        </w:rPr>
        <w:t>災害廃棄物の処理を最大限に行うこと（表２２</w:t>
      </w:r>
      <w:r>
        <w:rPr>
          <w:rFonts w:hint="eastAsia" w:ascii="ＭＳ 明朝" w:hAnsi="ＭＳ 明朝" w:eastAsia="ＭＳ 明朝"/>
          <w:kern w:val="2"/>
          <w:sz w:val="21"/>
        </w:rPr>
        <w:t>-</w:t>
      </w:r>
      <w:r>
        <w:rPr>
          <w:rFonts w:hint="eastAsia" w:ascii="ＭＳ 明朝" w:hAnsi="ＭＳ 明朝" w:eastAsia="ＭＳ 明朝"/>
          <w:kern w:val="2"/>
          <w:sz w:val="21"/>
        </w:rPr>
        <w:t>高位シナリオ）を前提とし、災害廃棄物の割合（分担率）を「年間処理量」の</w:t>
      </w:r>
      <w:r>
        <w:rPr>
          <w:rFonts w:hint="eastAsia" w:ascii="ＭＳ 明朝" w:hAnsi="ＭＳ 明朝" w:eastAsia="ＭＳ 明朝"/>
          <w:kern w:val="2"/>
          <w:sz w:val="21"/>
        </w:rPr>
        <w:t>40</w:t>
      </w:r>
      <w:r>
        <w:rPr>
          <w:rFonts w:hint="eastAsia" w:ascii="ＭＳ 明朝" w:hAnsi="ＭＳ 明朝" w:eastAsia="ＭＳ 明朝"/>
          <w:kern w:val="2"/>
          <w:sz w:val="21"/>
        </w:rPr>
        <w:t>％で設定して処理可能量を算定した。また、併せて残余容量から</w:t>
      </w:r>
      <w:r>
        <w:rPr>
          <w:rFonts w:hint="default" w:ascii="ＭＳ 明朝" w:hAnsi="ＭＳ 明朝" w:eastAsia="ＭＳ 明朝"/>
          <w:kern w:val="2"/>
          <w:sz w:val="21"/>
        </w:rPr>
        <w:t>10</w:t>
      </w:r>
      <w:r>
        <w:rPr>
          <w:rFonts w:hint="default" w:ascii="ＭＳ 明朝" w:hAnsi="ＭＳ 明朝" w:eastAsia="ＭＳ 明朝"/>
          <w:kern w:val="2"/>
          <w:sz w:val="21"/>
        </w:rPr>
        <w:t>年間の生活ごみ埋立て量を差し引く手法</w:t>
      </w:r>
      <w:r>
        <w:rPr>
          <w:rFonts w:hint="eastAsia" w:ascii="ＭＳ 明朝" w:hAnsi="ＭＳ 明朝" w:eastAsia="ＭＳ 明朝"/>
          <w:kern w:val="2"/>
          <w:sz w:val="21"/>
        </w:rPr>
        <w:t>（公称能力を最大限活用する方法）</w:t>
      </w:r>
      <w:r>
        <w:rPr>
          <w:rFonts w:hint="default" w:ascii="ＭＳ 明朝" w:hAnsi="ＭＳ 明朝" w:eastAsia="ＭＳ 明朝"/>
          <w:kern w:val="2"/>
          <w:sz w:val="21"/>
        </w:rPr>
        <w:t>による処理可能量も算出した。</w:t>
      </w:r>
    </w:p>
    <w:p>
      <w:pPr>
        <w:pStyle w:val="0"/>
        <w:autoSpaceDE w:val="1"/>
        <w:autoSpaceDN w:val="1"/>
        <w:spacing w:line="276" w:lineRule="auto"/>
        <w:ind w:left="220" w:leftChars="100" w:firstLine="210" w:firstLineChars="100"/>
        <w:jc w:val="both"/>
        <w:rPr>
          <w:rFonts w:hint="default" w:ascii="ＭＳ 明朝" w:hAnsi="ＭＳ 明朝" w:eastAsia="ＭＳ 明朝"/>
          <w:kern w:val="2"/>
          <w:sz w:val="21"/>
        </w:rPr>
      </w:pPr>
      <w:r>
        <w:rPr>
          <w:rFonts w:hint="eastAsia" w:ascii="ＭＳ 明朝" w:hAnsi="ＭＳ 明朝" w:eastAsia="ＭＳ 明朝"/>
          <w:kern w:val="2"/>
          <w:sz w:val="21"/>
        </w:rPr>
        <w:t>大規模災害を想定し、３年間処理した場合の処理可能量についても算出する。ただし、事前調整等を考慮し実稼動期間は</w:t>
      </w:r>
      <w:r>
        <w:rPr>
          <w:rFonts w:hint="eastAsia" w:ascii="ＭＳ 明朝" w:hAnsi="ＭＳ 明朝" w:eastAsia="ＭＳ 明朝"/>
          <w:kern w:val="2"/>
          <w:sz w:val="21"/>
        </w:rPr>
        <w:t>2.7</w:t>
      </w:r>
      <w:r>
        <w:rPr>
          <w:rFonts w:hint="eastAsia" w:ascii="ＭＳ 明朝" w:hAnsi="ＭＳ 明朝" w:eastAsia="ＭＳ 明朝"/>
          <w:kern w:val="2"/>
          <w:sz w:val="21"/>
        </w:rPr>
        <w:t>年とした。</w:t>
      </w:r>
    </w:p>
    <w:p>
      <w:pPr>
        <w:pStyle w:val="0"/>
        <w:spacing w:before="29" w:beforeLines="0" w:beforeAutospacing="0"/>
        <w:rPr>
          <w:rFonts w:hint="default" w:ascii="ＭＳ 明朝" w:hAnsi="ＭＳ 明朝" w:eastAsia="ＭＳ 明朝"/>
          <w:sz w:val="18"/>
        </w:rPr>
      </w:pPr>
      <w:r>
        <w:rPr>
          <w:rFonts w:hint="default" w:ascii="ＭＳ 明朝" w:hAnsi="ＭＳ 明朝" w:eastAsia="ＭＳ 明朝"/>
          <w:sz w:val="24"/>
        </w:rPr>
        <w:drawing>
          <wp:anchor distT="0" distB="0" distL="114300" distR="114300" simplePos="0" relativeHeight="55" behindDoc="1" locked="0" layoutInCell="1" hidden="0" allowOverlap="1">
            <wp:simplePos x="0" y="0"/>
            <wp:positionH relativeFrom="column">
              <wp:posOffset>-191770</wp:posOffset>
            </wp:positionH>
            <wp:positionV relativeFrom="paragraph">
              <wp:posOffset>192405</wp:posOffset>
            </wp:positionV>
            <wp:extent cx="2237740" cy="2749550"/>
            <wp:effectExtent l="23495" t="23495" r="24130" b="24130"/>
            <wp:wrapNone/>
            <wp:docPr id="1107" name="Picture 1"/>
            <a:graphic xmlns:a="http://schemas.openxmlformats.org/drawingml/2006/main">
              <a:graphicData uri="http://schemas.openxmlformats.org/drawingml/2006/picture">
                <pic:pic xmlns:pic="http://schemas.openxmlformats.org/drawingml/2006/picture">
                  <pic:nvPicPr>
                    <pic:cNvPr id="1107" name="Picture 1"/>
                    <pic:cNvPicPr>
                      <a:picLocks noChangeAspect="1" noChangeArrowheads="1"/>
                    </pic:cNvPicPr>
                  </pic:nvPicPr>
                  <pic:blipFill>
                    <a:blip r:embed="rId13"/>
                    <a:srcRect t="471" r="44997"/>
                    <a:stretch>
                      <a:fillRect/>
                    </a:stretch>
                  </pic:blipFill>
                  <pic:spPr>
                    <a:xfrm>
                      <a:off x="0" y="0"/>
                      <a:ext cx="2237740" cy="2749550"/>
                    </a:xfrm>
                    <a:prstGeom prst="rect">
                      <a:avLst/>
                    </a:prstGeom>
                    <a:noFill/>
                    <a:ln w="9525" cap="flat" cmpd="sng" algn="ctr">
                      <a:solidFill>
                        <a:sysClr val="window" lastClr="FFFFFF">
                          <a:lumMod val="50000"/>
                        </a:sysClr>
                      </a:solidFill>
                      <a:prstDash val="solid"/>
                      <a:round/>
                      <a:headEnd type="none" w="med" len="med"/>
                      <a:tailEnd type="none" w="med" len="med"/>
                    </a:ln>
                  </pic:spPr>
                </pic:pic>
              </a:graphicData>
            </a:graphic>
          </wp:anchor>
        </w:drawing>
      </w:r>
    </w:p>
    <w:p>
      <w:pPr>
        <w:pStyle w:val="0"/>
        <w:spacing w:before="29" w:beforeLines="0" w:beforeAutospacing="0"/>
        <w:rPr>
          <w:rFonts w:hint="default" w:ascii="ＭＳ 明朝" w:hAnsi="ＭＳ 明朝" w:eastAsia="ＭＳ 明朝"/>
          <w:sz w:val="18"/>
        </w:rPr>
      </w:pPr>
      <w:r>
        <w:rPr>
          <w:rFonts w:hint="default" w:ascii="ＭＳ 明朝" w:hAnsi="ＭＳ 明朝" w:eastAsia="ＭＳ 明朝"/>
          <w:sz w:val="24"/>
        </w:rPr>
        <w:drawing>
          <wp:anchor distT="0" distB="0" distL="114300" distR="114300" simplePos="0" relativeHeight="54" behindDoc="1" locked="0" layoutInCell="1" hidden="0" allowOverlap="1">
            <wp:simplePos x="0" y="0"/>
            <wp:positionH relativeFrom="column">
              <wp:posOffset>2050415</wp:posOffset>
            </wp:positionH>
            <wp:positionV relativeFrom="paragraph">
              <wp:posOffset>24765</wp:posOffset>
            </wp:positionV>
            <wp:extent cx="3766185" cy="2749550"/>
            <wp:effectExtent l="23495" t="23495" r="24130" b="24130"/>
            <wp:wrapNone/>
            <wp:docPr id="1108" name="Picture 3"/>
            <a:graphic xmlns:a="http://schemas.openxmlformats.org/drawingml/2006/main">
              <a:graphicData uri="http://schemas.openxmlformats.org/drawingml/2006/picture">
                <pic:pic xmlns:pic="http://schemas.openxmlformats.org/drawingml/2006/picture">
                  <pic:nvPicPr>
                    <pic:cNvPr id="1108" name="Picture 3"/>
                    <pic:cNvPicPr>
                      <a:picLocks noChangeAspect="1" noChangeArrowheads="1"/>
                    </pic:cNvPicPr>
                  </pic:nvPicPr>
                  <pic:blipFill>
                    <a:blip r:embed="rId14"/>
                    <a:stretch>
                      <a:fillRect/>
                    </a:stretch>
                  </pic:blipFill>
                  <pic:spPr>
                    <a:xfrm>
                      <a:off x="0" y="0"/>
                      <a:ext cx="3766185" cy="2749550"/>
                    </a:xfrm>
                    <a:prstGeom prst="rect">
                      <a:avLst/>
                    </a:prstGeom>
                    <a:noFill/>
                    <a:ln>
                      <a:solidFill>
                        <a:sysClr val="window" lastClr="FFFFFF">
                          <a:lumMod val="50000"/>
                        </a:sysClr>
                      </a:solidFill>
                    </a:ln>
                  </pic:spPr>
                </pic:pic>
              </a:graphicData>
            </a:graphic>
          </wp:anchor>
        </w:drawing>
      </w:r>
    </w:p>
    <w:p>
      <w:pPr>
        <w:pStyle w:val="0"/>
        <w:spacing w:before="29" w:beforeLines="0" w:beforeAutospacing="0"/>
        <w:rPr>
          <w:rFonts w:hint="default" w:ascii="ＭＳ 明朝" w:hAnsi="ＭＳ 明朝" w:eastAsia="ＭＳ 明朝"/>
          <w:sz w:val="18"/>
        </w:rPr>
      </w:pPr>
    </w:p>
    <w:p>
      <w:pPr>
        <w:pStyle w:val="0"/>
        <w:spacing w:before="29" w:beforeLines="0" w:beforeAutospacing="0"/>
        <w:rPr>
          <w:rFonts w:hint="default" w:ascii="ＭＳ 明朝" w:hAnsi="ＭＳ 明朝" w:eastAsia="ＭＳ 明朝"/>
          <w:sz w:val="18"/>
        </w:rPr>
      </w:pPr>
    </w:p>
    <w:p>
      <w:pPr>
        <w:pStyle w:val="0"/>
        <w:spacing w:before="29" w:beforeLines="0" w:beforeAutospacing="0"/>
        <w:rPr>
          <w:rFonts w:hint="default" w:ascii="ＭＳ 明朝" w:hAnsi="ＭＳ 明朝" w:eastAsia="ＭＳ 明朝"/>
          <w:sz w:val="18"/>
        </w:rPr>
      </w:pPr>
    </w:p>
    <w:p>
      <w:pPr>
        <w:pStyle w:val="0"/>
        <w:spacing w:before="29" w:beforeLines="0" w:beforeAutospacing="0"/>
        <w:rPr>
          <w:rFonts w:hint="default" w:ascii="ＭＳ 明朝" w:hAnsi="ＭＳ 明朝" w:eastAsia="ＭＳ 明朝"/>
          <w:sz w:val="18"/>
        </w:rPr>
      </w:pPr>
    </w:p>
    <w:p>
      <w:pPr>
        <w:pStyle w:val="0"/>
        <w:spacing w:before="29" w:beforeLines="0" w:beforeAutospacing="0"/>
        <w:rPr>
          <w:rFonts w:hint="default" w:ascii="ＭＳ 明朝" w:hAnsi="ＭＳ 明朝" w:eastAsia="ＭＳ 明朝"/>
          <w:sz w:val="18"/>
        </w:rPr>
      </w:pPr>
    </w:p>
    <w:p>
      <w:pPr>
        <w:pStyle w:val="0"/>
        <w:spacing w:before="29" w:beforeLines="0" w:beforeAutospacing="0"/>
        <w:rPr>
          <w:rFonts w:hint="default" w:ascii="ＭＳ 明朝" w:hAnsi="ＭＳ 明朝" w:eastAsia="ＭＳ 明朝"/>
          <w:sz w:val="18"/>
        </w:rPr>
      </w:pPr>
    </w:p>
    <w:p>
      <w:pPr>
        <w:pStyle w:val="0"/>
        <w:spacing w:before="29" w:beforeLines="0" w:beforeAutospacing="0"/>
        <w:rPr>
          <w:rFonts w:hint="default" w:ascii="ＭＳ 明朝" w:hAnsi="ＭＳ 明朝" w:eastAsia="ＭＳ 明朝"/>
          <w:sz w:val="18"/>
        </w:rPr>
      </w:pPr>
    </w:p>
    <w:p>
      <w:pPr>
        <w:pStyle w:val="0"/>
        <w:spacing w:before="29" w:beforeLines="0" w:beforeAutospacing="0"/>
        <w:rPr>
          <w:rFonts w:hint="default" w:ascii="ＭＳ 明朝" w:hAnsi="ＭＳ 明朝" w:eastAsia="ＭＳ 明朝"/>
          <w:sz w:val="18"/>
        </w:rPr>
      </w:pPr>
    </w:p>
    <w:p>
      <w:pPr>
        <w:pStyle w:val="0"/>
        <w:spacing w:before="29" w:beforeLines="0" w:beforeAutospacing="0"/>
        <w:rPr>
          <w:rFonts w:hint="default" w:ascii="ＭＳ 明朝" w:hAnsi="ＭＳ 明朝" w:eastAsia="ＭＳ 明朝"/>
          <w:sz w:val="18"/>
        </w:rPr>
      </w:pPr>
    </w:p>
    <w:p>
      <w:pPr>
        <w:pStyle w:val="0"/>
        <w:spacing w:before="29" w:beforeLines="0" w:beforeAutospacing="0"/>
        <w:rPr>
          <w:rFonts w:hint="default" w:ascii="ＭＳ 明朝" w:hAnsi="ＭＳ 明朝" w:eastAsia="ＭＳ 明朝"/>
          <w:sz w:val="18"/>
        </w:rPr>
      </w:pPr>
    </w:p>
    <w:p>
      <w:pPr>
        <w:pStyle w:val="0"/>
        <w:spacing w:before="29" w:beforeLines="0" w:beforeAutospacing="0"/>
        <w:rPr>
          <w:rFonts w:hint="default" w:ascii="ＭＳ 明朝" w:hAnsi="ＭＳ 明朝" w:eastAsia="ＭＳ 明朝"/>
          <w:sz w:val="18"/>
        </w:rPr>
      </w:pPr>
    </w:p>
    <w:p>
      <w:pPr>
        <w:pStyle w:val="0"/>
        <w:spacing w:before="29" w:beforeLines="0" w:beforeAutospacing="0"/>
        <w:rPr>
          <w:rFonts w:hint="default" w:ascii="ＭＳ 明朝" w:hAnsi="ＭＳ 明朝" w:eastAsia="ＭＳ 明朝"/>
          <w:sz w:val="18"/>
        </w:rPr>
      </w:pPr>
    </w:p>
    <w:p>
      <w:pPr>
        <w:pStyle w:val="0"/>
        <w:spacing w:before="29" w:beforeLines="0" w:beforeAutospacing="0"/>
        <w:rPr>
          <w:rFonts w:hint="default" w:ascii="ＭＳ 明朝" w:hAnsi="ＭＳ 明朝" w:eastAsia="ＭＳ 明朝"/>
          <w:sz w:val="18"/>
        </w:rPr>
      </w:pPr>
    </w:p>
    <w:p>
      <w:pPr>
        <w:pStyle w:val="0"/>
        <w:spacing w:before="29" w:beforeLines="0" w:beforeAutospacing="0"/>
        <w:rPr>
          <w:rFonts w:hint="default" w:ascii="ＭＳ 明朝" w:hAnsi="ＭＳ 明朝" w:eastAsia="ＭＳ 明朝"/>
          <w:sz w:val="18"/>
        </w:rPr>
      </w:pPr>
    </w:p>
    <w:p>
      <w:pPr>
        <w:pStyle w:val="0"/>
        <w:spacing w:before="29" w:beforeLines="0" w:beforeAutospacing="0"/>
        <w:rPr>
          <w:rFonts w:hint="default" w:ascii="ＭＳ 明朝" w:hAnsi="ＭＳ 明朝" w:eastAsia="ＭＳ 明朝"/>
          <w:sz w:val="18"/>
        </w:rPr>
      </w:pPr>
    </w:p>
    <w:p>
      <w:pPr>
        <w:pStyle w:val="0"/>
        <w:spacing w:before="29" w:beforeLines="0" w:beforeAutospacing="0"/>
        <w:rPr>
          <w:rFonts w:hint="default" w:ascii="ＭＳ 明朝" w:hAnsi="ＭＳ 明朝" w:eastAsia="ＭＳ 明朝"/>
          <w:sz w:val="18"/>
        </w:rPr>
      </w:pPr>
    </w:p>
    <w:p>
      <w:pPr>
        <w:pStyle w:val="0"/>
        <w:tabs>
          <w:tab w:val="left" w:leader="none" w:pos="887"/>
        </w:tabs>
        <w:spacing w:before="10" w:beforeLines="0" w:beforeAutospacing="0" w:after="43" w:afterLines="0" w:afterAutospacing="0"/>
        <w:ind w:right="358"/>
        <w:jc w:val="center"/>
        <w:rPr>
          <w:rFonts w:hint="default"/>
          <w:sz w:val="21"/>
        </w:rPr>
      </w:pPr>
      <w:r>
        <w:rPr>
          <w:rFonts w:hint="eastAsia"/>
          <w:sz w:val="21"/>
        </w:rPr>
        <w:t>図８　最終処分場の処理可能施設抽出の考え方</w:t>
      </w:r>
    </w:p>
    <w:p>
      <w:pPr>
        <w:pStyle w:val="0"/>
        <w:rPr>
          <w:rFonts w:hint="default" w:ascii="ＭＳ 明朝" w:hAnsi="ＭＳ 明朝" w:eastAsia="ＭＳ 明朝"/>
          <w:sz w:val="21"/>
        </w:rPr>
      </w:pPr>
      <w:r>
        <w:rPr>
          <w:rFonts w:hint="eastAsia" w:ascii="ＭＳ 明朝" w:hAnsi="ＭＳ 明朝" w:eastAsia="ＭＳ 明朝"/>
          <w:sz w:val="18"/>
        </w:rPr>
        <w:t>出典：災害廃棄物対策指針【技</w:t>
      </w:r>
      <w:r>
        <w:rPr>
          <w:rFonts w:hint="eastAsia" w:ascii="ＭＳ 明朝" w:hAnsi="ＭＳ 明朝" w:eastAsia="ＭＳ 明朝"/>
          <w:sz w:val="18"/>
        </w:rPr>
        <w:t>14-4</w:t>
      </w:r>
      <w:r>
        <w:rPr>
          <w:rFonts w:hint="eastAsia" w:ascii="ＭＳ 明朝" w:hAnsi="ＭＳ 明朝" w:eastAsia="ＭＳ 明朝"/>
          <w:sz w:val="18"/>
        </w:rPr>
        <w:t>】を基に作成</w:t>
      </w:r>
    </w:p>
    <w:p>
      <w:pPr>
        <w:pStyle w:val="0"/>
        <w:rPr>
          <w:rFonts w:hint="default" w:ascii="ＭＳ 明朝" w:hAnsi="ＭＳ 明朝" w:eastAsia="ＭＳ 明朝"/>
        </w:rPr>
      </w:pPr>
    </w:p>
    <w:p>
      <w:pPr>
        <w:pStyle w:val="0"/>
        <w:tabs>
          <w:tab w:val="left" w:leader="none" w:pos="887"/>
        </w:tabs>
        <w:spacing w:before="10" w:beforeLines="0" w:beforeAutospacing="0" w:after="43" w:afterLines="0" w:afterAutospacing="0"/>
        <w:ind w:right="358"/>
        <w:jc w:val="center"/>
        <w:rPr>
          <w:rFonts w:hint="default"/>
          <w:sz w:val="21"/>
        </w:rPr>
      </w:pPr>
      <w:r>
        <w:rPr>
          <w:rFonts w:hint="eastAsia"/>
          <w:sz w:val="21"/>
        </w:rPr>
        <w:t>表２２　災害廃棄物対策指針のシナリオ設定（一般廃棄物最終処分場）</w:t>
      </w:r>
    </w:p>
    <w:tbl>
      <w:tblPr>
        <w:tblStyle w:val="55"/>
        <w:tblW w:w="9300" w:type="dxa"/>
        <w:tblInd w:w="0" w:type="dxa"/>
        <w:tblLayout w:type="fixed"/>
        <w:tblLook w:firstRow="1" w:lastRow="0" w:firstColumn="1" w:lastColumn="0" w:noHBand="0" w:noVBand="1" w:val="04A0"/>
      </w:tblPr>
      <w:tblGrid>
        <w:gridCol w:w="2325"/>
        <w:gridCol w:w="2325"/>
        <w:gridCol w:w="2325"/>
        <w:gridCol w:w="2325"/>
      </w:tblGrid>
      <w:tr>
        <w:trPr>
          <w:trHeight w:val="565" w:hRule="atLeast"/>
        </w:trPr>
        <w:tc>
          <w:tcPr>
            <w:tcW w:w="2325" w:type="dxa"/>
            <w:shd w:val="clear" w:color="auto" w:themeFill="background1" w:themeFillTint="FF" w:themeFillShade="D9"/>
            <w:vAlign w:val="center"/>
          </w:tcPr>
          <w:p>
            <w:pPr>
              <w:pStyle w:val="15"/>
              <w:tabs>
                <w:tab w:val="left" w:leader="none" w:pos="887"/>
              </w:tabs>
              <w:spacing w:before="10" w:beforeLines="0" w:beforeAutospacing="0" w:after="43" w:afterLines="0" w:afterAutospacing="0"/>
              <w:ind w:right="358"/>
              <w:jc w:val="center"/>
              <w:rPr>
                <w:rFonts w:hint="default" w:ascii="HGPｺﾞｼｯｸM" w:hAnsi="HGPｺﾞｼｯｸM" w:eastAsia="HGPｺﾞｼｯｸM"/>
                <w:sz w:val="21"/>
              </w:rPr>
            </w:pPr>
          </w:p>
        </w:tc>
        <w:tc>
          <w:tcPr>
            <w:tcW w:w="2325" w:type="dxa"/>
            <w:tcBorders>
              <w:top w:val="none" w:color="auto" w:sz="0" w:space="0"/>
              <w:left w:val="none" w:color="auto" w:sz="0" w:space="0"/>
              <w:bottom w:val="single" w:color="auto" w:sz="4" w:space="0"/>
              <w:right w:val="none" w:color="auto" w:sz="0" w:space="0"/>
              <w:tl2br w:val="none" w:color="auto" w:sz="0" w:space="0"/>
              <w:tr2bl w:val="none" w:color="auto" w:sz="0" w:space="0"/>
            </w:tcBorders>
            <w:shd w:val="clear" w:color="auto" w:themeFill="background1" w:themeFillTint="FF" w:themeFillShade="D9"/>
            <w:vAlign w:val="center"/>
          </w:tcPr>
          <w:p>
            <w:pPr>
              <w:pStyle w:val="15"/>
              <w:tabs>
                <w:tab w:val="left" w:leader="none" w:pos="887"/>
              </w:tabs>
              <w:spacing w:before="10" w:beforeLines="0" w:beforeAutospacing="0" w:after="43" w:afterLines="0" w:afterAutospacing="0"/>
              <w:ind w:right="9"/>
              <w:jc w:val="center"/>
              <w:rPr>
                <w:rFonts w:hint="default" w:ascii="HGPｺﾞｼｯｸM" w:hAnsi="HGPｺﾞｼｯｸM" w:eastAsia="HGPｺﾞｼｯｸM"/>
                <w:sz w:val="21"/>
              </w:rPr>
            </w:pPr>
            <w:r>
              <w:rPr>
                <w:rFonts w:hint="eastAsia" w:ascii="HGPｺﾞｼｯｸM" w:hAnsi="HGPｺﾞｼｯｸM" w:eastAsia="HGPｺﾞｼｯｸM"/>
                <w:sz w:val="21"/>
              </w:rPr>
              <w:t>低位シナリオ</w:t>
            </w:r>
          </w:p>
        </w:tc>
        <w:tc>
          <w:tcPr>
            <w:tcW w:w="2325" w:type="dxa"/>
            <w:shd w:val="clear" w:color="auto" w:themeFill="background1" w:themeFillTint="FF" w:themeFillShade="D9"/>
            <w:vAlign w:val="center"/>
          </w:tcPr>
          <w:p>
            <w:pPr>
              <w:pStyle w:val="15"/>
              <w:tabs>
                <w:tab w:val="left" w:leader="none" w:pos="887"/>
              </w:tabs>
              <w:spacing w:before="10" w:beforeLines="0" w:beforeAutospacing="0" w:after="43" w:afterLines="0" w:afterAutospacing="0"/>
              <w:ind w:right="9"/>
              <w:jc w:val="center"/>
              <w:rPr>
                <w:rFonts w:hint="default" w:ascii="HGPｺﾞｼｯｸM" w:hAnsi="HGPｺﾞｼｯｸM" w:eastAsia="HGPｺﾞｼｯｸM"/>
                <w:sz w:val="21"/>
              </w:rPr>
            </w:pPr>
            <w:r>
              <w:rPr>
                <w:rFonts w:hint="eastAsia" w:ascii="HGPｺﾞｼｯｸM" w:hAnsi="HGPｺﾞｼｯｸM" w:eastAsia="HGPｺﾞｼｯｸM"/>
                <w:sz w:val="21"/>
              </w:rPr>
              <w:t>中位シナリオ</w:t>
            </w:r>
          </w:p>
        </w:tc>
        <w:tc>
          <w:tcPr>
            <w:tcW w:w="2325" w:type="dxa"/>
            <w:shd w:val="clear" w:color="auto" w:themeFill="background1" w:themeFillTint="FF" w:themeFillShade="D9"/>
            <w:vAlign w:val="center"/>
          </w:tcPr>
          <w:p>
            <w:pPr>
              <w:pStyle w:val="15"/>
              <w:tabs>
                <w:tab w:val="left" w:leader="none" w:pos="887"/>
              </w:tabs>
              <w:spacing w:before="10" w:beforeLines="0" w:beforeAutospacing="0" w:after="43" w:afterLines="0" w:afterAutospacing="0"/>
              <w:ind w:right="124"/>
              <w:jc w:val="center"/>
              <w:rPr>
                <w:rFonts w:hint="default" w:ascii="HGPｺﾞｼｯｸM" w:hAnsi="HGPｺﾞｼｯｸM" w:eastAsia="HGPｺﾞｼｯｸM"/>
                <w:b w:val="1"/>
                <w:sz w:val="21"/>
              </w:rPr>
            </w:pPr>
            <w:r>
              <w:rPr>
                <w:rFonts w:hint="eastAsia" w:ascii="HGPｺﾞｼｯｸM" w:hAnsi="HGPｺﾞｼｯｸM" w:eastAsia="HGPｺﾞｼｯｸM"/>
                <w:b w:val="1"/>
                <w:sz w:val="21"/>
              </w:rPr>
              <w:t>高位シナリオ</w:t>
            </w:r>
          </w:p>
        </w:tc>
      </w:tr>
      <w:tr>
        <w:trPr>
          <w:trHeight w:val="674" w:hRule="atLeast"/>
        </w:trPr>
        <w:tc>
          <w:tcPr>
            <w:tcW w:w="2325" w:type="dxa"/>
            <w:vAlign w:val="center"/>
          </w:tcPr>
          <w:p>
            <w:pPr>
              <w:pStyle w:val="15"/>
              <w:tabs>
                <w:tab w:val="left" w:leader="none" w:pos="887"/>
              </w:tabs>
              <w:spacing w:before="10" w:beforeLines="0" w:beforeAutospacing="0" w:after="43" w:afterLines="0" w:afterAutospacing="0"/>
              <w:ind w:right="358"/>
              <w:rPr>
                <w:rFonts w:hint="default" w:ascii="HGPｺﾞｼｯｸM" w:hAnsi="HGPｺﾞｼｯｸM" w:eastAsia="HGPｺﾞｼｯｸM"/>
                <w:sz w:val="21"/>
              </w:rPr>
            </w:pPr>
            <w:r>
              <w:rPr>
                <w:rFonts w:hint="eastAsia" w:ascii="HGPｺﾞｼｯｸM" w:hAnsi="HGPｺﾞｼｯｸM" w:eastAsia="HGPｺﾞｼｯｸM"/>
                <w:sz w:val="21"/>
              </w:rPr>
              <w:t>①残余年数</w:t>
            </w:r>
          </w:p>
        </w:tc>
        <w:tc>
          <w:tcPr>
            <w:tcW w:w="6975" w:type="dxa"/>
            <w:gridSpan w:val="3"/>
            <w:tcBorders>
              <w:top w:val="none" w:color="auto" w:sz="0" w:space="0"/>
              <w:left w:val="none" w:color="auto" w:sz="0" w:space="0"/>
              <w:bottom w:val="dotted" w:color="auto" w:sz="4" w:space="0"/>
              <w:right w:val="none" w:color="auto" w:sz="0" w:space="0"/>
              <w:tl2br w:val="none" w:color="auto" w:sz="0" w:space="0"/>
              <w:tr2bl w:val="none" w:color="auto" w:sz="0" w:space="0"/>
            </w:tcBorders>
            <w:vAlign w:val="center"/>
          </w:tcPr>
          <w:p>
            <w:pPr>
              <w:pStyle w:val="15"/>
              <w:tabs>
                <w:tab w:val="left" w:leader="none" w:pos="887"/>
              </w:tabs>
              <w:spacing w:before="10" w:beforeLines="0" w:beforeAutospacing="0" w:after="43" w:afterLines="0" w:afterAutospacing="0"/>
              <w:ind w:right="358"/>
              <w:jc w:val="center"/>
              <w:rPr>
                <w:rFonts w:hint="default" w:ascii="HGPｺﾞｼｯｸM" w:hAnsi="HGPｺﾞｼｯｸM" w:eastAsia="HGPｺﾞｼｯｸM"/>
                <w:sz w:val="21"/>
              </w:rPr>
            </w:pPr>
            <w:r>
              <w:rPr>
                <w:rFonts w:hint="default" w:ascii="HGPｺﾞｼｯｸM" w:hAnsi="HGPｺﾞｼｯｸM" w:eastAsia="HGPｺﾞｼｯｸM"/>
                <w:sz w:val="21"/>
              </w:rPr>
              <w:t>1</w:t>
            </w:r>
            <w:r>
              <w:rPr>
                <w:rFonts w:hint="eastAsia" w:ascii="HGPｺﾞｼｯｸM" w:hAnsi="HGPｺﾞｼｯｸM" w:eastAsia="HGPｺﾞｼｯｸM"/>
                <w:sz w:val="21"/>
              </w:rPr>
              <w:t>0</w:t>
            </w:r>
            <w:r>
              <w:rPr>
                <w:rFonts w:hint="eastAsia" w:ascii="HGPｺﾞｼｯｸM" w:hAnsi="HGPｺﾞｼｯｸM" w:eastAsia="HGPｺﾞｼｯｸM"/>
                <w:sz w:val="21"/>
              </w:rPr>
              <w:t>年未満の施設を除外</w:t>
            </w:r>
          </w:p>
        </w:tc>
      </w:tr>
      <w:tr>
        <w:trPr/>
        <w:tc>
          <w:tcPr>
            <w:tcW w:w="2325" w:type="dxa"/>
            <w:vAlign w:val="center"/>
          </w:tcPr>
          <w:p>
            <w:pPr>
              <w:pStyle w:val="15"/>
              <w:tabs>
                <w:tab w:val="left" w:leader="none" w:pos="887"/>
              </w:tabs>
              <w:spacing w:before="10" w:beforeLines="0" w:beforeAutospacing="0" w:after="43" w:afterLines="0" w:afterAutospacing="0"/>
              <w:ind w:right="93"/>
              <w:rPr>
                <w:rFonts w:hint="default" w:ascii="HGPｺﾞｼｯｸM" w:hAnsi="HGPｺﾞｼｯｸM" w:eastAsia="HGPｺﾞｼｯｸM"/>
                <w:sz w:val="21"/>
              </w:rPr>
            </w:pPr>
            <w:r>
              <w:rPr>
                <w:rFonts w:hint="eastAsia" w:ascii="HGPｺﾞｼｯｸM" w:hAnsi="HGPｺﾞｼｯｸM" w:eastAsia="HGPｺﾞｼｯｸM"/>
                <w:sz w:val="21"/>
              </w:rPr>
              <w:t>②年間処理量の実績に対する分担率</w:t>
            </w:r>
          </w:p>
        </w:tc>
        <w:tc>
          <w:tcPr>
            <w:tcW w:w="2325" w:type="dxa"/>
            <w:tcBorders>
              <w:top w:val="single" w:color="auto" w:sz="4" w:space="0"/>
              <w:left w:val="none" w:color="auto" w:sz="0" w:space="0"/>
              <w:bottom w:val="none" w:color="auto" w:sz="0" w:space="0"/>
              <w:right w:val="none" w:color="auto" w:sz="0" w:space="0"/>
              <w:tl2br w:val="none" w:color="auto" w:sz="0" w:space="0"/>
              <w:tr2bl w:val="none" w:color="auto" w:sz="0" w:space="0"/>
            </w:tcBorders>
            <w:vAlign w:val="center"/>
          </w:tcPr>
          <w:p>
            <w:pPr>
              <w:pStyle w:val="15"/>
              <w:tabs>
                <w:tab w:val="left" w:leader="none" w:pos="887"/>
              </w:tabs>
              <w:spacing w:before="10" w:beforeLines="0" w:beforeAutospacing="0" w:after="43" w:afterLines="0" w:afterAutospacing="0"/>
              <w:ind w:right="150"/>
              <w:jc w:val="center"/>
              <w:rPr>
                <w:rFonts w:hint="default" w:ascii="HGPｺﾞｼｯｸM" w:hAnsi="HGPｺﾞｼｯｸM" w:eastAsia="HGPｺﾞｼｯｸM"/>
                <w:sz w:val="21"/>
              </w:rPr>
            </w:pPr>
            <w:r>
              <w:rPr>
                <w:rFonts w:hint="eastAsia" w:ascii="HGPｺﾞｼｯｸM" w:hAnsi="HGPｺﾞｼｯｸM" w:eastAsia="HGPｺﾞｼｯｸM"/>
                <w:sz w:val="21"/>
              </w:rPr>
              <w:t>最大で</w:t>
            </w:r>
            <w:r>
              <w:rPr>
                <w:rFonts w:hint="eastAsia" w:ascii="HGPｺﾞｼｯｸM" w:hAnsi="HGPｺﾞｼｯｸM" w:eastAsia="HGPｺﾞｼｯｸM"/>
                <w:sz w:val="21"/>
              </w:rPr>
              <w:t>1</w:t>
            </w:r>
            <w:r>
              <w:rPr>
                <w:rFonts w:hint="default" w:ascii="HGPｺﾞｼｯｸM" w:hAnsi="HGPｺﾞｼｯｸM" w:eastAsia="HGPｺﾞｼｯｸM"/>
                <w:sz w:val="21"/>
              </w:rPr>
              <w:t>0</w:t>
            </w:r>
            <w:r>
              <w:rPr>
                <w:rFonts w:hint="eastAsia" w:ascii="HGPｺﾞｼｯｸM" w:hAnsi="HGPｺﾞｼｯｸM" w:eastAsia="HGPｺﾞｼｯｸM"/>
                <w:sz w:val="21"/>
              </w:rPr>
              <w:t>%</w:t>
            </w:r>
          </w:p>
        </w:tc>
        <w:tc>
          <w:tcPr>
            <w:tcW w:w="2325" w:type="dxa"/>
            <w:vAlign w:val="center"/>
          </w:tcPr>
          <w:p>
            <w:pPr>
              <w:pStyle w:val="15"/>
              <w:tabs>
                <w:tab w:val="left" w:leader="none" w:pos="887"/>
              </w:tabs>
              <w:spacing w:before="10" w:beforeLines="0" w:beforeAutospacing="0" w:after="43" w:afterLines="0" w:afterAutospacing="0"/>
              <w:ind w:right="150"/>
              <w:jc w:val="center"/>
              <w:rPr>
                <w:rFonts w:hint="default" w:ascii="HGPｺﾞｼｯｸM" w:hAnsi="HGPｺﾞｼｯｸM" w:eastAsia="HGPｺﾞｼｯｸM"/>
                <w:sz w:val="21"/>
              </w:rPr>
            </w:pPr>
            <w:r>
              <w:rPr>
                <w:rFonts w:hint="eastAsia" w:ascii="HGPｺﾞｼｯｸM" w:hAnsi="HGPｺﾞｼｯｸM" w:eastAsia="HGPｺﾞｼｯｸM"/>
                <w:sz w:val="21"/>
              </w:rPr>
              <w:t>最大で</w:t>
            </w:r>
            <w:r>
              <w:rPr>
                <w:rFonts w:hint="eastAsia" w:ascii="HGPｺﾞｼｯｸM" w:hAnsi="HGPｺﾞｼｯｸM" w:eastAsia="HGPｺﾞｼｯｸM"/>
                <w:sz w:val="21"/>
              </w:rPr>
              <w:t>20%</w:t>
            </w:r>
          </w:p>
        </w:tc>
        <w:tc>
          <w:tcPr>
            <w:tcW w:w="2325" w:type="dxa"/>
            <w:vAlign w:val="center"/>
          </w:tcPr>
          <w:p>
            <w:pPr>
              <w:pStyle w:val="15"/>
              <w:tabs>
                <w:tab w:val="left" w:leader="none" w:pos="887"/>
              </w:tabs>
              <w:spacing w:before="10" w:beforeLines="0" w:beforeAutospacing="0" w:after="43" w:afterLines="0" w:afterAutospacing="0"/>
              <w:jc w:val="center"/>
              <w:rPr>
                <w:rFonts w:hint="default" w:ascii="HGPｺﾞｼｯｸM" w:hAnsi="HGPｺﾞｼｯｸM" w:eastAsia="HGPｺﾞｼｯｸM"/>
                <w:b w:val="1"/>
                <w:sz w:val="21"/>
              </w:rPr>
            </w:pPr>
            <w:r>
              <w:rPr>
                <w:rFonts w:hint="eastAsia" w:ascii="HGPｺﾞｼｯｸM" w:hAnsi="HGPｺﾞｼｯｸM" w:eastAsia="HGPｺﾞｼｯｸM"/>
                <w:b w:val="1"/>
                <w:sz w:val="21"/>
              </w:rPr>
              <w:t>最大で</w:t>
            </w:r>
            <w:r>
              <w:rPr>
                <w:rFonts w:hint="eastAsia" w:ascii="HGPｺﾞｼｯｸM" w:hAnsi="HGPｺﾞｼｯｸM" w:eastAsia="HGPｺﾞｼｯｸM"/>
                <w:b w:val="1"/>
                <w:sz w:val="21"/>
              </w:rPr>
              <w:t>40%</w:t>
            </w:r>
          </w:p>
        </w:tc>
      </w:tr>
    </w:tbl>
    <w:p>
      <w:pPr>
        <w:pStyle w:val="0"/>
        <w:tabs>
          <w:tab w:val="left" w:leader="none" w:pos="887"/>
        </w:tabs>
        <w:spacing w:before="10" w:beforeLines="0" w:beforeAutospacing="0" w:after="43" w:afterLines="0" w:afterAutospacing="0"/>
        <w:ind w:right="358"/>
        <w:rPr>
          <w:rFonts w:hint="default"/>
          <w:sz w:val="20"/>
        </w:rPr>
      </w:pPr>
      <w:r>
        <w:rPr>
          <w:rFonts w:hint="eastAsia" w:ascii="ＭＳ 明朝" w:hAnsi="ＭＳ 明朝" w:eastAsia="ＭＳ 明朝"/>
          <w:sz w:val="18"/>
        </w:rPr>
        <w:t>出典：災害廃棄物対策指針【技</w:t>
      </w:r>
      <w:r>
        <w:rPr>
          <w:rFonts w:hint="eastAsia" w:ascii="ＭＳ 明朝" w:hAnsi="ＭＳ 明朝" w:eastAsia="ＭＳ 明朝"/>
          <w:sz w:val="18"/>
        </w:rPr>
        <w:t>14-4</w:t>
      </w:r>
      <w:r>
        <w:rPr>
          <w:rFonts w:hint="eastAsia" w:ascii="ＭＳ 明朝" w:hAnsi="ＭＳ 明朝" w:eastAsia="ＭＳ 明朝"/>
          <w:sz w:val="18"/>
        </w:rPr>
        <w:t>】</w:t>
      </w:r>
    </w:p>
    <w:p>
      <w:pPr>
        <w:pStyle w:val="0"/>
        <w:rPr>
          <w:rFonts w:hint="default" w:ascii="ＭＳ 明朝" w:hAnsi="ＭＳ 明朝" w:eastAsia="ＭＳ 明朝"/>
          <w:sz w:val="20"/>
        </w:rPr>
      </w:pPr>
    </w:p>
    <w:p>
      <w:pPr>
        <w:pStyle w:val="0"/>
        <w:rPr>
          <w:rFonts w:hint="default" w:ascii="ＭＳ 明朝" w:hAnsi="ＭＳ 明朝" w:eastAsia="ＭＳ 明朝"/>
        </w:rPr>
      </w:pPr>
    </w:p>
    <w:p>
      <w:pPr>
        <w:pStyle w:val="0"/>
        <w:autoSpaceDE w:val="1"/>
        <w:autoSpaceDN w:val="1"/>
        <w:jc w:val="center"/>
        <w:rPr>
          <w:rFonts w:hint="default"/>
          <w:kern w:val="2"/>
          <w:sz w:val="21"/>
        </w:rPr>
      </w:pPr>
      <w:r>
        <w:rPr>
          <w:rFonts w:hint="eastAsia"/>
          <w:kern w:val="2"/>
          <w:sz w:val="21"/>
        </w:rPr>
        <w:t>表２３　一般廃棄物最終処分場の処理可能量（公称能力を最大限活用する方法）</w:t>
      </w:r>
    </w:p>
    <w:tbl>
      <w:tblPr>
        <w:tblStyle w:val="11"/>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tblCellMar>
        <w:tblLook w:firstRow="1" w:lastRow="0" w:firstColumn="1" w:lastColumn="0" w:noHBand="0" w:noVBand="1" w:val="04A0"/>
      </w:tblPr>
      <w:tblGrid>
        <w:gridCol w:w="2122"/>
        <w:gridCol w:w="6950"/>
      </w:tblGrid>
      <w:tr>
        <w:trPr>
          <w:trHeight w:val="984" w:hRule="atLeast"/>
        </w:trPr>
        <w:tc>
          <w:tcPr>
            <w:tcW w:w="212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9D9D9"/>
            <w:vAlign w:val="center"/>
          </w:tcPr>
          <w:p>
            <w:pPr>
              <w:pStyle w:val="0"/>
              <w:autoSpaceDE w:val="1"/>
              <w:autoSpaceDN w:val="1"/>
              <w:jc w:val="center"/>
              <w:rPr>
                <w:rFonts w:hint="default" w:ascii="HGPｺﾞｼｯｸM" w:hAnsi="HGPｺﾞｼｯｸM" w:eastAsia="HGPｺﾞｼｯｸM"/>
                <w:kern w:val="2"/>
                <w:sz w:val="21"/>
              </w:rPr>
            </w:pPr>
            <w:r>
              <w:rPr>
                <w:rFonts w:hint="eastAsia" w:ascii="HGPｺﾞｼｯｸM" w:hAnsi="HGPｺﾞｼｯｸM" w:eastAsia="HGPｺﾞｼｯｸM"/>
                <w:kern w:val="2"/>
                <w:sz w:val="21"/>
              </w:rPr>
              <w:t>処理可能量（</w:t>
            </w:r>
            <w:r>
              <w:rPr>
                <w:rFonts w:hint="eastAsia" w:ascii="HGPｺﾞｼｯｸM" w:hAnsi="HGPｺﾞｼｯｸM" w:eastAsia="HGPｺﾞｼｯｸM"/>
                <w:kern w:val="2"/>
                <w:sz w:val="21"/>
              </w:rPr>
              <w:t>t</w:t>
            </w:r>
            <w:r>
              <w:rPr>
                <w:rFonts w:hint="eastAsia" w:ascii="HGPｺﾞｼｯｸM" w:hAnsi="HGPｺﾞｼｯｸM" w:eastAsia="HGPｺﾞｼｯｸM"/>
                <w:kern w:val="2"/>
                <w:sz w:val="21"/>
              </w:rPr>
              <w:t>）</w:t>
            </w:r>
          </w:p>
        </w:tc>
        <w:tc>
          <w:tcPr>
            <w:tcW w:w="69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autoSpaceDE w:val="1"/>
              <w:autoSpaceDN w:val="1"/>
              <w:jc w:val="both"/>
              <w:rPr>
                <w:rFonts w:hint="default" w:ascii="HGPｺﾞｼｯｸM" w:hAnsi="HGPｺﾞｼｯｸM" w:eastAsia="HGPｺﾞｼｯｸM"/>
                <w:kern w:val="2"/>
                <w:sz w:val="21"/>
              </w:rPr>
            </w:pPr>
            <w:r>
              <w:rPr>
                <w:rFonts w:hint="eastAsia" w:ascii="HGPｺﾞｼｯｸM" w:hAnsi="HGPｺﾞｼｯｸM" w:eastAsia="HGPｺﾞｼｯｸM"/>
                <w:kern w:val="2"/>
                <w:sz w:val="21"/>
              </w:rPr>
              <w:t>（残余容量（</w:t>
            </w:r>
            <w:r>
              <w:rPr>
                <w:rFonts w:hint="eastAsia" w:ascii="HGPｺﾞｼｯｸM" w:hAnsi="HGPｺﾞｼｯｸM" w:eastAsia="HGPｺﾞｼｯｸM"/>
                <w:kern w:val="2"/>
                <w:sz w:val="21"/>
              </w:rPr>
              <w:t>m</w:t>
            </w:r>
            <w:r>
              <w:rPr>
                <w:rFonts w:hint="eastAsia" w:ascii="HGPｺﾞｼｯｸM" w:hAnsi="HGPｺﾞｼｯｸM" w:eastAsia="HGPｺﾞｼｯｸM"/>
                <w:kern w:val="2"/>
                <w:sz w:val="21"/>
                <w:vertAlign w:val="superscript"/>
              </w:rPr>
              <w:t>3</w:t>
            </w:r>
            <w:r>
              <w:rPr>
                <w:rFonts w:hint="eastAsia" w:ascii="HGPｺﾞｼｯｸM" w:hAnsi="HGPｺﾞｼｯｸM" w:eastAsia="HGPｺﾞｼｯｸM"/>
                <w:kern w:val="2"/>
                <w:sz w:val="21"/>
              </w:rPr>
              <w:t>）―年間埋立処分量（実績）（</w:t>
            </w:r>
            <w:r>
              <w:rPr>
                <w:rFonts w:hint="eastAsia" w:ascii="HGPｺﾞｼｯｸM" w:hAnsi="HGPｺﾞｼｯｸM" w:eastAsia="HGPｺﾞｼｯｸM"/>
                <w:kern w:val="2"/>
                <w:sz w:val="21"/>
              </w:rPr>
              <w:t>m</w:t>
            </w:r>
            <w:r>
              <w:rPr>
                <w:rFonts w:hint="eastAsia" w:ascii="HGPｺﾞｼｯｸM" w:hAnsi="HGPｺﾞｼｯｸM" w:eastAsia="HGPｺﾞｼｯｸM"/>
                <w:kern w:val="2"/>
                <w:sz w:val="21"/>
                <w:vertAlign w:val="superscript"/>
              </w:rPr>
              <w:t>3</w:t>
            </w:r>
            <w:r>
              <w:rPr>
                <w:rFonts w:hint="eastAsia" w:ascii="HGPｺﾞｼｯｸM" w:hAnsi="HGPｺﾞｼｯｸM" w:eastAsia="HGPｺﾞｼｯｸM"/>
                <w:kern w:val="2"/>
                <w:sz w:val="21"/>
              </w:rPr>
              <w:t>/</w:t>
            </w:r>
            <w:r>
              <w:rPr>
                <w:rFonts w:hint="eastAsia" w:ascii="HGPｺﾞｼｯｸM" w:hAnsi="HGPｺﾞｼｯｸM" w:eastAsia="HGPｺﾞｼｯｸM"/>
                <w:kern w:val="2"/>
                <w:sz w:val="21"/>
              </w:rPr>
              <w:t>年度）×</w:t>
            </w:r>
            <w:r>
              <w:rPr>
                <w:rFonts w:hint="eastAsia" w:ascii="HGPｺﾞｼｯｸM" w:hAnsi="HGPｺﾞｼｯｸM" w:eastAsia="HGPｺﾞｼｯｸM"/>
                <w:kern w:val="2"/>
                <w:sz w:val="21"/>
              </w:rPr>
              <w:t>10</w:t>
            </w:r>
            <w:r>
              <w:rPr>
                <w:rFonts w:hint="eastAsia" w:ascii="HGPｺﾞｼｯｸM" w:hAnsi="HGPｺﾞｼｯｸM" w:eastAsia="HGPｺﾞｼｯｸM"/>
                <w:kern w:val="2"/>
                <w:sz w:val="21"/>
              </w:rPr>
              <w:t>年）×</w:t>
            </w:r>
            <w:r>
              <w:rPr>
                <w:rFonts w:hint="eastAsia" w:ascii="HGPｺﾞｼｯｸM" w:hAnsi="HGPｺﾞｼｯｸM" w:eastAsia="HGPｺﾞｼｯｸM"/>
                <w:kern w:val="2"/>
                <w:sz w:val="21"/>
              </w:rPr>
              <w:t>1.5</w:t>
            </w:r>
            <w:r>
              <w:rPr>
                <w:rFonts w:hint="eastAsia" w:ascii="HGPｺﾞｼｯｸM" w:hAnsi="HGPｺﾞｼｯｸM" w:eastAsia="HGPｺﾞｼｯｸM"/>
                <w:kern w:val="2"/>
                <w:sz w:val="21"/>
              </w:rPr>
              <w:t>（</w:t>
            </w:r>
            <w:r>
              <w:rPr>
                <w:rFonts w:hint="eastAsia" w:ascii="HGPｺﾞｼｯｸM" w:hAnsi="HGPｺﾞｼｯｸM" w:eastAsia="HGPｺﾞｼｯｸM"/>
                <w:kern w:val="2"/>
                <w:sz w:val="21"/>
              </w:rPr>
              <w:t>t/m</w:t>
            </w:r>
            <w:r>
              <w:rPr>
                <w:rFonts w:hint="eastAsia" w:ascii="HGPｺﾞｼｯｸM" w:hAnsi="HGPｺﾞｼｯｸM" w:eastAsia="HGPｺﾞｼｯｸM"/>
                <w:kern w:val="2"/>
                <w:sz w:val="21"/>
                <w:vertAlign w:val="superscript"/>
              </w:rPr>
              <w:t>3</w:t>
            </w:r>
            <w:r>
              <w:rPr>
                <w:rFonts w:hint="eastAsia" w:ascii="HGPｺﾞｼｯｸM" w:hAnsi="HGPｺﾞｼｯｸM" w:eastAsia="HGPｺﾞｼｯｸM"/>
                <w:kern w:val="2"/>
                <w:sz w:val="21"/>
              </w:rPr>
              <w:t>）</w:t>
            </w:r>
          </w:p>
        </w:tc>
      </w:tr>
    </w:tbl>
    <w:p>
      <w:pPr>
        <w:pStyle w:val="0"/>
        <w:tabs>
          <w:tab w:val="left" w:leader="none" w:pos="887"/>
        </w:tabs>
        <w:spacing w:before="10" w:beforeLines="0" w:beforeAutospacing="0" w:after="43" w:afterLines="0" w:afterAutospacing="0"/>
        <w:ind w:right="358"/>
        <w:rPr>
          <w:rFonts w:hint="default"/>
          <w:sz w:val="21"/>
        </w:rPr>
      </w:pPr>
      <w:r>
        <w:rPr>
          <w:rFonts w:hint="eastAsia" w:ascii="ＭＳ 明朝" w:hAnsi="ＭＳ 明朝" w:eastAsia="ＭＳ 明朝"/>
          <w:sz w:val="18"/>
        </w:rPr>
        <w:t>出典：災害廃棄物対策指針【技</w:t>
      </w:r>
      <w:r>
        <w:rPr>
          <w:rFonts w:hint="eastAsia" w:ascii="ＭＳ 明朝" w:hAnsi="ＭＳ 明朝" w:eastAsia="ＭＳ 明朝"/>
          <w:sz w:val="18"/>
        </w:rPr>
        <w:t>14-4</w:t>
      </w:r>
      <w:r>
        <w:rPr>
          <w:rFonts w:hint="eastAsia" w:ascii="ＭＳ 明朝" w:hAnsi="ＭＳ 明朝" w:eastAsia="ＭＳ 明朝"/>
          <w:sz w:val="18"/>
        </w:rPr>
        <w:t>】</w:t>
      </w:r>
    </w:p>
    <w:p>
      <w:pPr>
        <w:pStyle w:val="0"/>
        <w:tabs>
          <w:tab w:val="left" w:leader="none" w:pos="887"/>
        </w:tabs>
        <w:spacing w:before="10" w:beforeLines="0" w:beforeAutospacing="0" w:after="43" w:afterLines="0" w:afterAutospacing="0"/>
        <w:ind w:right="358"/>
        <w:rPr>
          <w:rFonts w:hint="default"/>
          <w:sz w:val="21"/>
        </w:rPr>
      </w:pPr>
    </w:p>
    <w:p>
      <w:pPr>
        <w:pStyle w:val="0"/>
        <w:tabs>
          <w:tab w:val="left" w:leader="none" w:pos="887"/>
        </w:tabs>
        <w:spacing w:before="10" w:beforeLines="0" w:beforeAutospacing="0" w:after="43" w:afterLines="0" w:afterAutospacing="0"/>
        <w:ind w:right="358"/>
        <w:jc w:val="center"/>
        <w:rPr>
          <w:rFonts w:hint="default"/>
          <w:sz w:val="21"/>
        </w:rPr>
      </w:pPr>
      <w:r>
        <w:rPr>
          <w:rFonts w:hint="eastAsia"/>
          <w:sz w:val="21"/>
        </w:rPr>
        <w:t>表２４　最終処分場（不燃物）の処理可能量</w:t>
      </w:r>
    </w:p>
    <w:tbl>
      <w:tblPr>
        <w:tblStyle w:val="69"/>
        <w:tblW w:w="90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2694"/>
        <w:gridCol w:w="1134"/>
        <w:gridCol w:w="1134"/>
        <w:gridCol w:w="1134"/>
        <w:gridCol w:w="1275"/>
        <w:gridCol w:w="1701"/>
      </w:tblGrid>
      <w:tr>
        <w:trPr>
          <w:trHeight w:val="391" w:hRule="exact"/>
        </w:trPr>
        <w:tc>
          <w:tcPr>
            <w:tcW w:w="2694" w:type="dxa"/>
            <w:vMerge w:val="restart"/>
            <w:tcBorders>
              <w:top w:val="single" w:color="000000" w:sz="4" w:space="0"/>
              <w:left w:val="single" w:color="auto" w:sz="4" w:space="0"/>
              <w:bottom w:val="none" w:color="auto" w:sz="0"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PｺﾞｼｯｸM" w:hAnsi="HGPｺﾞｼｯｸM" w:eastAsia="HGPｺﾞｼｯｸM"/>
                <w:sz w:val="21"/>
              </w:rPr>
            </w:pPr>
            <w:r>
              <w:rPr>
                <w:rFonts w:hint="eastAsia" w:ascii="HGPｺﾞｼｯｸM" w:hAnsi="HGPｺﾞｼｯｸM" w:eastAsia="HGPｺﾞｼｯｸM"/>
                <w:sz w:val="21"/>
              </w:rPr>
              <w:t>施設名</w:t>
            </w:r>
          </w:p>
        </w:tc>
        <w:tc>
          <w:tcPr>
            <w:tcW w:w="1134" w:type="dxa"/>
            <w:vMerge w:val="restart"/>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PｺﾞｼｯｸM" w:hAnsi="HGPｺﾞｼｯｸM" w:eastAsia="HGPｺﾞｼｯｸM"/>
                <w:sz w:val="21"/>
              </w:rPr>
            </w:pPr>
            <w:r>
              <w:rPr>
                <w:rFonts w:hint="eastAsia" w:ascii="HGPｺﾞｼｯｸM" w:hAnsi="HGPｺﾞｼｯｸM" w:eastAsia="HGPｺﾞｼｯｸM"/>
                <w:sz w:val="21"/>
              </w:rPr>
              <w:t>残余容量</w:t>
            </w:r>
          </w:p>
          <w:p>
            <w:pPr>
              <w:pStyle w:val="0"/>
              <w:spacing w:line="300" w:lineRule="exact"/>
              <w:jc w:val="center"/>
              <w:rPr>
                <w:rFonts w:hint="default" w:ascii="HGPｺﾞｼｯｸM" w:hAnsi="HGPｺﾞｼｯｸM" w:eastAsia="HGPｺﾞｼｯｸM"/>
                <w:sz w:val="21"/>
              </w:rPr>
            </w:pPr>
            <w:r>
              <w:rPr>
                <w:rFonts w:hint="eastAsia" w:ascii="HGPｺﾞｼｯｸM" w:hAnsi="HGPｺﾞｼｯｸM" w:eastAsia="HGPｺﾞｼｯｸM"/>
                <w:sz w:val="21"/>
              </w:rPr>
              <w:t>（</w:t>
            </w:r>
            <w:r>
              <w:rPr>
                <w:rFonts w:hint="eastAsia" w:ascii="HGPｺﾞｼｯｸM" w:hAnsi="HGPｺﾞｼｯｸM" w:eastAsia="HGPｺﾞｼｯｸM"/>
                <w:kern w:val="2"/>
                <w:sz w:val="20"/>
              </w:rPr>
              <w:t>m</w:t>
            </w:r>
            <w:r>
              <w:rPr>
                <w:rFonts w:hint="eastAsia" w:ascii="HGPｺﾞｼｯｸM" w:hAnsi="HGPｺﾞｼｯｸM" w:eastAsia="HGPｺﾞｼｯｸM"/>
                <w:kern w:val="2"/>
                <w:sz w:val="20"/>
                <w:vertAlign w:val="superscript"/>
              </w:rPr>
              <w:t>3</w:t>
            </w:r>
            <w:r>
              <w:rPr>
                <w:rFonts w:hint="eastAsia" w:ascii="HGPｺﾞｼｯｸM" w:hAnsi="HGPｺﾞｼｯｸM" w:eastAsia="HGPｺﾞｼｯｸM"/>
                <w:sz w:val="21"/>
              </w:rPr>
              <w:t>)</w:t>
            </w:r>
          </w:p>
        </w:tc>
        <w:tc>
          <w:tcPr>
            <w:tcW w:w="1134" w:type="dxa"/>
            <w:vMerge w:val="restart"/>
            <w:tcBorders>
              <w:top w:val="single" w:color="000000" w:sz="4" w:space="0"/>
              <w:left w:val="single" w:color="000000"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PｺﾞｼｯｸM" w:hAnsi="HGPｺﾞｼｯｸM" w:eastAsia="HGPｺﾞｼｯｸM"/>
                <w:sz w:val="21"/>
              </w:rPr>
            </w:pPr>
            <w:r>
              <w:rPr>
                <w:rFonts w:hint="eastAsia" w:ascii="HGPｺﾞｼｯｸM" w:hAnsi="HGPｺﾞｼｯｸM" w:eastAsia="HGPｺﾞｼｯｸM"/>
                <w:sz w:val="21"/>
              </w:rPr>
              <w:t>処理実績</w:t>
            </w:r>
          </w:p>
          <w:p>
            <w:pPr>
              <w:pStyle w:val="0"/>
              <w:spacing w:line="300" w:lineRule="exact"/>
              <w:jc w:val="center"/>
              <w:rPr>
                <w:rFonts w:hint="default" w:ascii="HGPｺﾞｼｯｸM" w:hAnsi="HGPｺﾞｼｯｸM" w:eastAsia="HGPｺﾞｼｯｸM"/>
                <w:sz w:val="21"/>
              </w:rPr>
            </w:pPr>
            <w:r>
              <w:rPr>
                <w:rFonts w:hint="eastAsia" w:ascii="HGPｺﾞｼｯｸM" w:hAnsi="HGPｺﾞｼｯｸM" w:eastAsia="HGPｺﾞｼｯｸM"/>
                <w:sz w:val="21"/>
              </w:rPr>
              <w:t>(</w:t>
            </w:r>
            <w:r>
              <w:rPr>
                <w:rFonts w:hint="eastAsia" w:ascii="HGPｺﾞｼｯｸM" w:hAnsi="HGPｺﾞｼｯｸM" w:eastAsia="HGPｺﾞｼｯｸM"/>
                <w:kern w:val="2"/>
                <w:sz w:val="20"/>
              </w:rPr>
              <w:t>m</w:t>
            </w:r>
            <w:r>
              <w:rPr>
                <w:rFonts w:hint="eastAsia" w:ascii="HGPｺﾞｼｯｸM" w:hAnsi="HGPｺﾞｼｯｸM" w:eastAsia="HGPｺﾞｼｯｸM"/>
                <w:kern w:val="2"/>
                <w:sz w:val="20"/>
                <w:vertAlign w:val="superscript"/>
              </w:rPr>
              <w:t>3</w:t>
            </w:r>
            <w:r>
              <w:rPr>
                <w:rFonts w:hint="default" w:ascii="HGPｺﾞｼｯｸM" w:hAnsi="HGPｺﾞｼｯｸM" w:eastAsia="HGPｺﾞｼｯｸM"/>
                <w:sz w:val="21"/>
              </w:rPr>
              <w:t>/</w:t>
            </w:r>
            <w:r>
              <w:rPr>
                <w:rFonts w:hint="eastAsia" w:ascii="HGPｺﾞｼｯｸM" w:hAnsi="HGPｺﾞｼｯｸM" w:eastAsia="HGPｺﾞｼｯｸM"/>
                <w:sz w:val="21"/>
              </w:rPr>
              <w:t>年）</w:t>
            </w:r>
          </w:p>
        </w:tc>
        <w:tc>
          <w:tcPr>
            <w:tcW w:w="4110" w:type="dxa"/>
            <w:gridSpan w:val="3"/>
            <w:tcBorders>
              <w:top w:val="single" w:color="000000" w:sz="4" w:space="0"/>
              <w:left w:val="single" w:color="auto" w:sz="4" w:space="0"/>
              <w:bottom w:val="none" w:color="auto" w:sz="0"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PｺﾞｼｯｸM" w:hAnsi="HGPｺﾞｼｯｸM" w:eastAsia="HGPｺﾞｼｯｸM"/>
                <w:sz w:val="21"/>
              </w:rPr>
            </w:pPr>
            <w:r>
              <w:rPr>
                <w:rFonts w:hint="eastAsia" w:ascii="HGPｺﾞｼｯｸM" w:hAnsi="HGPｺﾞｼｯｸM" w:eastAsia="HGPｺﾞｼｯｸM"/>
                <w:sz w:val="21"/>
              </w:rPr>
              <w:t>処理可能量</w:t>
            </w:r>
            <w:r>
              <w:rPr>
                <w:rFonts w:hint="eastAsia" w:ascii="HGPｺﾞｼｯｸM" w:hAnsi="HGPｺﾞｼｯｸM" w:eastAsia="HGPｺﾞｼｯｸM"/>
                <w:sz w:val="21"/>
              </w:rPr>
              <w:t>(</w:t>
            </w:r>
            <w:r>
              <w:rPr>
                <w:rFonts w:hint="eastAsia" w:ascii="Segoe UI Symbol" w:hAnsi="Segoe UI Symbol" w:eastAsiaTheme="minorEastAsia"/>
                <w:sz w:val="21"/>
              </w:rPr>
              <w:t>t</w:t>
            </w:r>
            <w:r>
              <w:rPr>
                <w:rFonts w:hint="eastAsia" w:ascii="HGPｺﾞｼｯｸM" w:hAnsi="HGPｺﾞｼｯｸM" w:eastAsia="HGPｺﾞｼｯｸM"/>
                <w:sz w:val="21"/>
              </w:rPr>
              <w:t>)</w:t>
            </w:r>
          </w:p>
        </w:tc>
      </w:tr>
      <w:tr>
        <w:trPr>
          <w:trHeight w:val="392" w:hRule="atLeast"/>
        </w:trPr>
        <w:tc>
          <w:tcPr>
            <w:tcW w:w="2694" w:type="dxa"/>
            <w:vMerge w:val="continue"/>
            <w:tcBorders>
              <w:top w:val="none" w:color="auto" w:sz="0" w:space="0"/>
              <w:left w:val="single" w:color="auto" w:sz="4" w:space="0"/>
              <w:bottom w:val="none" w:color="auto" w:sz="0" w:space="0"/>
              <w:right w:val="single" w:color="000000" w:sz="4" w:space="0"/>
              <w:tl2br w:val="none" w:color="auto" w:sz="0" w:space="0"/>
              <w:tr2bl w:val="none" w:color="auto" w:sz="0" w:space="0"/>
            </w:tcBorders>
            <w:vAlign w:val="center"/>
          </w:tcPr>
          <w:p>
            <w:pPr>
              <w:pStyle w:val="0"/>
              <w:spacing w:line="300" w:lineRule="exact"/>
              <w:ind w:left="880" w:right="101"/>
              <w:jc w:val="center"/>
              <w:rPr>
                <w:rFonts w:hint="default" w:ascii="HGPｺﾞｼｯｸM" w:hAnsi="HGPｺﾞｼｯｸM" w:eastAsia="HGPｺﾞｼｯｸM"/>
                <w:sz w:val="21"/>
              </w:rPr>
            </w:pPr>
          </w:p>
        </w:tc>
        <w:tc>
          <w:tcPr>
            <w:tcW w:w="1134" w:type="dxa"/>
            <w:vMerge w:val="continue"/>
            <w:tcBorders>
              <w:top w:val="none" w:color="auto" w:sz="0" w:space="0"/>
              <w:left w:val="single" w:color="000000" w:sz="4" w:space="0"/>
              <w:bottom w:val="none" w:color="auto" w:sz="0" w:space="0"/>
              <w:right w:val="single" w:color="000000" w:sz="4" w:space="0"/>
              <w:tl2br w:val="none" w:color="auto" w:sz="0" w:space="0"/>
              <w:tr2bl w:val="none" w:color="auto" w:sz="0" w:space="0"/>
            </w:tcBorders>
            <w:vAlign w:val="center"/>
          </w:tcPr>
          <w:p>
            <w:pPr>
              <w:pStyle w:val="0"/>
              <w:spacing w:line="300" w:lineRule="exact"/>
              <w:ind w:left="880" w:right="101"/>
              <w:jc w:val="center"/>
              <w:rPr>
                <w:rFonts w:hint="default" w:ascii="HGPｺﾞｼｯｸM" w:hAnsi="HGPｺﾞｼｯｸM" w:eastAsia="HGPｺﾞｼｯｸM"/>
                <w:sz w:val="21"/>
              </w:rPr>
            </w:pPr>
          </w:p>
        </w:tc>
        <w:tc>
          <w:tcPr>
            <w:tcW w:w="1134" w:type="dxa"/>
            <w:vMerge w:val="continue"/>
            <w:tcBorders>
              <w:top w:val="none" w:color="auto" w:sz="0" w:space="0"/>
              <w:left w:val="single" w:color="000000" w:sz="4" w:space="0"/>
              <w:bottom w:val="none" w:color="auto" w:sz="0" w:space="0"/>
              <w:right w:val="single" w:color="auto" w:sz="4" w:space="0"/>
              <w:tl2br w:val="none" w:color="auto" w:sz="0" w:space="0"/>
              <w:tr2bl w:val="none" w:color="auto" w:sz="0" w:space="0"/>
            </w:tcBorders>
            <w:vAlign w:val="center"/>
          </w:tcPr>
          <w:p>
            <w:pPr>
              <w:pStyle w:val="0"/>
              <w:spacing w:line="300" w:lineRule="exact"/>
              <w:ind w:left="880" w:right="101"/>
              <w:jc w:val="center"/>
              <w:rPr>
                <w:rFonts w:hint="default" w:ascii="HGPｺﾞｼｯｸM" w:hAnsi="HGPｺﾞｼｯｸM" w:eastAsia="HGPｺﾞｼｯｸM"/>
                <w:sz w:val="21"/>
              </w:rPr>
            </w:pPr>
          </w:p>
        </w:tc>
        <w:tc>
          <w:tcPr>
            <w:tcW w:w="2409" w:type="dxa"/>
            <w:gridSpan w:val="2"/>
            <w:tcBorders>
              <w:top w:val="single" w:color="000000"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300" w:lineRule="exact"/>
              <w:ind w:right="101"/>
              <w:jc w:val="center"/>
              <w:rPr>
                <w:rFonts w:hint="default" w:ascii="HGPｺﾞｼｯｸM" w:hAnsi="HGPｺﾞｼｯｸM" w:eastAsia="HGPｺﾞｼｯｸM"/>
                <w:sz w:val="21"/>
              </w:rPr>
            </w:pPr>
            <w:r>
              <w:rPr>
                <w:rFonts w:hint="eastAsia" w:ascii="HGPｺﾞｼｯｸM" w:hAnsi="HGPｺﾞｼｯｸM" w:eastAsia="HGPｺﾞｼｯｸM"/>
                <w:sz w:val="21"/>
              </w:rPr>
              <w:t>高位シナリオ</w:t>
            </w:r>
          </w:p>
        </w:tc>
        <w:tc>
          <w:tcPr>
            <w:tcW w:w="1701" w:type="dxa"/>
            <w:vMerge w:val="restart"/>
            <w:tcBorders>
              <w:top w:val="single" w:color="000000" w:sz="4" w:space="0"/>
              <w:left w:val="single" w:color="auto" w:sz="4" w:space="0"/>
              <w:bottom w:val="none" w:color="auto" w:sz="0"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300" w:lineRule="exact"/>
              <w:ind w:right="101"/>
              <w:jc w:val="center"/>
              <w:rPr>
                <w:rFonts w:hint="default" w:ascii="HGPｺﾞｼｯｸM" w:hAnsi="HGPｺﾞｼｯｸM" w:eastAsia="HGPｺﾞｼｯｸM"/>
                <w:sz w:val="21"/>
              </w:rPr>
            </w:pPr>
            <w:r>
              <w:rPr>
                <w:rFonts w:hint="eastAsia" w:ascii="HGPｺﾞｼｯｸM" w:hAnsi="HGPｺﾞｼｯｸM" w:eastAsia="HGPｺﾞｼｯｸM"/>
                <w:sz w:val="21"/>
              </w:rPr>
              <w:t>残余容量</w:t>
            </w:r>
            <w:r>
              <w:rPr>
                <w:rFonts w:hint="eastAsia" w:ascii="HGPｺﾞｼｯｸM" w:hAnsi="HGPｺﾞｼｯｸM" w:eastAsia="HGPｺﾞｼｯｸM"/>
                <w:sz w:val="21"/>
              </w:rPr>
              <w:t>(</w:t>
            </w:r>
            <w:r>
              <w:rPr>
                <w:rFonts w:hint="default" w:ascii="HGPｺﾞｼｯｸM" w:hAnsi="HGPｺﾞｼｯｸM" w:eastAsia="HGPｺﾞｼｯｸM"/>
                <w:sz w:val="21"/>
              </w:rPr>
              <w:t>t)</w:t>
            </w:r>
            <w:r>
              <w:rPr>
                <w:rFonts w:hint="eastAsia" w:ascii="HGPｺﾞｼｯｸM" w:hAnsi="HGPｺﾞｼｯｸM" w:eastAsia="HGPｺﾞｼｯｸM"/>
                <w:sz w:val="21"/>
              </w:rPr>
              <w:t>-</w:t>
            </w:r>
          </w:p>
          <w:p>
            <w:pPr>
              <w:pStyle w:val="0"/>
              <w:spacing w:line="300" w:lineRule="exact"/>
              <w:ind w:right="101"/>
              <w:jc w:val="center"/>
              <w:rPr>
                <w:rFonts w:hint="default" w:ascii="HGPｺﾞｼｯｸM" w:hAnsi="HGPｺﾞｼｯｸM" w:eastAsia="HGPｺﾞｼｯｸM"/>
                <w:sz w:val="21"/>
              </w:rPr>
            </w:pPr>
            <w:r>
              <w:rPr>
                <w:rFonts w:hint="eastAsia" w:ascii="HGPｺﾞｼｯｸM" w:hAnsi="HGPｺﾞｼｯｸM" w:eastAsia="HGPｺﾞｼｯｸM"/>
                <w:sz w:val="21"/>
              </w:rPr>
              <w:t>1</w:t>
            </w:r>
            <w:r>
              <w:rPr>
                <w:rFonts w:hint="default" w:ascii="HGPｺﾞｼｯｸM" w:hAnsi="HGPｺﾞｼｯｸM" w:eastAsia="HGPｺﾞｼｯｸM"/>
                <w:sz w:val="21"/>
              </w:rPr>
              <w:t>0</w:t>
            </w:r>
            <w:r>
              <w:rPr>
                <w:rFonts w:hint="eastAsia" w:ascii="HGPｺﾞｼｯｸM" w:hAnsi="HGPｺﾞｼｯｸM" w:eastAsia="HGPｺﾞｼｯｸM"/>
                <w:sz w:val="21"/>
              </w:rPr>
              <w:t>年分埋立量</w:t>
            </w:r>
            <w:r>
              <w:rPr>
                <w:rFonts w:hint="eastAsia" w:ascii="HGPｺﾞｼｯｸM" w:hAnsi="HGPｺﾞｼｯｸM" w:eastAsia="HGPｺﾞｼｯｸM"/>
                <w:sz w:val="21"/>
              </w:rPr>
              <w:t>(</w:t>
            </w:r>
            <w:r>
              <w:rPr>
                <w:rFonts w:hint="default" w:ascii="HGPｺﾞｼｯｸM" w:hAnsi="HGPｺﾞｼｯｸM" w:eastAsia="HGPｺﾞｼｯｸM"/>
                <w:sz w:val="21"/>
              </w:rPr>
              <w:t>t)</w:t>
            </w:r>
          </w:p>
        </w:tc>
      </w:tr>
      <w:tr>
        <w:trPr>
          <w:trHeight w:val="392" w:hRule="atLeast"/>
        </w:trPr>
        <w:tc>
          <w:tcPr>
            <w:tcW w:w="2694" w:type="dxa"/>
            <w:vMerge w:val="continue"/>
            <w:tcBorders>
              <w:top w:val="none" w:color="auto" w:sz="0" w:space="0"/>
              <w:left w:val="single" w:color="auto" w:sz="4" w:space="0"/>
              <w:bottom w:val="single" w:color="auto" w:sz="4" w:space="0"/>
              <w:right w:val="single" w:color="000000" w:sz="4" w:space="0"/>
              <w:tl2br w:val="none" w:color="auto" w:sz="0" w:space="0"/>
              <w:tr2bl w:val="none" w:color="auto" w:sz="0" w:space="0"/>
            </w:tcBorders>
            <w:vAlign w:val="center"/>
          </w:tcPr>
          <w:p>
            <w:pPr>
              <w:pStyle w:val="0"/>
              <w:spacing w:line="300" w:lineRule="exact"/>
              <w:ind w:left="880" w:right="101"/>
              <w:jc w:val="center"/>
              <w:rPr>
                <w:rFonts w:hint="default" w:ascii="HGPｺﾞｼｯｸM" w:hAnsi="HGPｺﾞｼｯｸM" w:eastAsia="HGPｺﾞｼｯｸM"/>
                <w:sz w:val="21"/>
              </w:rPr>
            </w:pPr>
          </w:p>
        </w:tc>
        <w:tc>
          <w:tcPr>
            <w:tcW w:w="1134" w:type="dxa"/>
            <w:vMerge w:val="continue"/>
            <w:tcBorders>
              <w:top w:val="none" w:color="auto" w:sz="0" w:space="0"/>
              <w:left w:val="single" w:color="000000" w:sz="4" w:space="0"/>
              <w:bottom w:val="single" w:color="auto" w:sz="4" w:space="0"/>
              <w:right w:val="single" w:color="000000" w:sz="4" w:space="0"/>
              <w:tl2br w:val="none" w:color="auto" w:sz="0" w:space="0"/>
              <w:tr2bl w:val="none" w:color="auto" w:sz="0" w:space="0"/>
            </w:tcBorders>
            <w:vAlign w:val="center"/>
          </w:tcPr>
          <w:p>
            <w:pPr>
              <w:pStyle w:val="0"/>
              <w:spacing w:line="300" w:lineRule="exact"/>
              <w:ind w:left="880" w:right="101"/>
              <w:jc w:val="center"/>
              <w:rPr>
                <w:rFonts w:hint="default" w:ascii="HGPｺﾞｼｯｸM" w:hAnsi="HGPｺﾞｼｯｸM" w:eastAsia="HGPｺﾞｼｯｸM"/>
                <w:sz w:val="21"/>
              </w:rPr>
            </w:pPr>
          </w:p>
        </w:tc>
        <w:tc>
          <w:tcPr>
            <w:tcW w:w="1134" w:type="dxa"/>
            <w:vMerge w:val="continue"/>
            <w:tcBorders>
              <w:top w:val="none" w:color="auto" w:sz="0" w:space="0"/>
              <w:left w:val="single" w:color="000000" w:sz="4" w:space="0"/>
              <w:bottom w:val="single" w:color="auto" w:sz="4" w:space="0"/>
              <w:right w:val="single" w:color="auto" w:sz="4" w:space="0"/>
              <w:tl2br w:val="none" w:color="auto" w:sz="0" w:space="0"/>
              <w:tr2bl w:val="none" w:color="auto" w:sz="0" w:space="0"/>
            </w:tcBorders>
            <w:vAlign w:val="center"/>
          </w:tcPr>
          <w:p>
            <w:pPr>
              <w:pStyle w:val="0"/>
              <w:spacing w:line="300" w:lineRule="exact"/>
              <w:ind w:left="880" w:right="101"/>
              <w:jc w:val="center"/>
              <w:rPr>
                <w:rFonts w:hint="default" w:ascii="HGPｺﾞｼｯｸM" w:hAnsi="HGPｺﾞｼｯｸM" w:eastAsia="HGPｺﾞｼｯｸM"/>
                <w:sz w:val="21"/>
              </w:rPr>
            </w:pPr>
          </w:p>
        </w:tc>
        <w:tc>
          <w:tcPr>
            <w:tcW w:w="1134" w:type="dxa"/>
            <w:tcBorders>
              <w:top w:val="single" w:color="000000" w:sz="4" w:space="0"/>
              <w:left w:val="single" w:color="auto" w:sz="4" w:space="0"/>
              <w:bottom w:val="single" w:color="auto"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ind w:left="-4" w:right="101"/>
              <w:jc w:val="center"/>
              <w:rPr>
                <w:rFonts w:hint="default" w:ascii="HGPｺﾞｼｯｸM" w:hAnsi="HGPｺﾞｼｯｸM" w:eastAsia="HGPｺﾞｼｯｸM"/>
                <w:sz w:val="21"/>
              </w:rPr>
            </w:pPr>
            <w:r>
              <w:rPr>
                <w:rFonts w:hint="eastAsia" w:ascii="HGPｺﾞｼｯｸM" w:hAnsi="HGPｺﾞｼｯｸM" w:eastAsia="HGPｺﾞｼｯｸM"/>
                <w:sz w:val="21"/>
              </w:rPr>
              <w:t>(t/</w:t>
            </w:r>
            <w:r>
              <w:rPr>
                <w:rFonts w:hint="eastAsia" w:ascii="HGPｺﾞｼｯｸM" w:hAnsi="HGPｺﾞｼｯｸM" w:eastAsia="HGPｺﾞｼｯｸM"/>
                <w:sz w:val="21"/>
              </w:rPr>
              <w:t>年</w:t>
            </w:r>
            <w:r>
              <w:rPr>
                <w:rFonts w:hint="eastAsia" w:ascii="HGPｺﾞｼｯｸM" w:hAnsi="HGPｺﾞｼｯｸM" w:eastAsia="HGPｺﾞｼｯｸM"/>
                <w:sz w:val="21"/>
              </w:rPr>
              <w:t>)</w:t>
            </w:r>
          </w:p>
        </w:tc>
        <w:tc>
          <w:tcPr>
            <w:tcW w:w="1275" w:type="dxa"/>
            <w:tcBorders>
              <w:top w:val="single" w:color="000000"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300" w:lineRule="exact"/>
              <w:ind w:right="101"/>
              <w:jc w:val="center"/>
              <w:rPr>
                <w:rFonts w:hint="default" w:ascii="HGPｺﾞｼｯｸM" w:hAnsi="HGPｺﾞｼｯｸM" w:eastAsia="HGPｺﾞｼｯｸM"/>
                <w:sz w:val="21"/>
              </w:rPr>
            </w:pPr>
            <w:r>
              <w:rPr>
                <w:rFonts w:hint="eastAsia" w:ascii="HGPｺﾞｼｯｸM" w:hAnsi="HGPｺﾞｼｯｸM" w:eastAsia="HGPｺﾞｼｯｸM"/>
                <w:sz w:val="21"/>
              </w:rPr>
              <w:t>(t/2</w:t>
            </w:r>
            <w:r>
              <w:rPr>
                <w:rFonts w:hint="default" w:ascii="HGPｺﾞｼｯｸM" w:hAnsi="HGPｺﾞｼｯｸM" w:eastAsia="HGPｺﾞｼｯｸM"/>
                <w:sz w:val="21"/>
              </w:rPr>
              <w:t>.7</w:t>
            </w:r>
            <w:r>
              <w:rPr>
                <w:rFonts w:hint="eastAsia" w:ascii="HGPｺﾞｼｯｸM" w:hAnsi="HGPｺﾞｼｯｸM" w:eastAsia="HGPｺﾞｼｯｸM"/>
                <w:sz w:val="21"/>
              </w:rPr>
              <w:t>年</w:t>
            </w:r>
            <w:r>
              <w:rPr>
                <w:rFonts w:hint="eastAsia" w:ascii="HGPｺﾞｼｯｸM" w:hAnsi="HGPｺﾞｼｯｸM" w:eastAsia="HGPｺﾞｼｯｸM"/>
                <w:sz w:val="21"/>
              </w:rPr>
              <w:t>)</w:t>
            </w:r>
          </w:p>
        </w:tc>
        <w:tc>
          <w:tcPr>
            <w:tcW w:w="1701"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line="300" w:lineRule="exact"/>
              <w:ind w:right="101"/>
              <w:jc w:val="center"/>
              <w:rPr>
                <w:rFonts w:hint="default" w:ascii="HGPｺﾞｼｯｸM" w:hAnsi="HGPｺﾞｼｯｸM" w:eastAsia="HGPｺﾞｼｯｸM"/>
                <w:sz w:val="21"/>
              </w:rPr>
            </w:pPr>
          </w:p>
        </w:tc>
      </w:tr>
      <w:tr>
        <w:trPr>
          <w:trHeight w:val="529" w:hRule="atLeast"/>
        </w:trPr>
        <w:tc>
          <w:tcPr>
            <w:tcW w:w="2694"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jc w:val="center"/>
              <w:rPr>
                <w:rFonts w:hint="default" w:ascii="HGPｺﾞｼｯｸM" w:hAnsi="HGPｺﾞｼｯｸM" w:eastAsia="HGPｺﾞｼｯｸM"/>
              </w:rPr>
            </w:pPr>
            <w:r>
              <w:rPr>
                <w:rFonts w:hint="eastAsia" w:ascii="HGPｺﾞｼｯｸM" w:hAnsi="HGPｺﾞｼｯｸM" w:eastAsia="HGPｺﾞｼｯｸM"/>
              </w:rPr>
              <w:t>那覇エコアイランド</w:t>
            </w:r>
          </w:p>
        </w:tc>
        <w:tc>
          <w:tcPr>
            <w:tcW w:w="1134"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spacing w:line="300" w:lineRule="exact"/>
              <w:ind w:left="103" w:right="101"/>
              <w:jc w:val="center"/>
              <w:rPr>
                <w:rFonts w:hint="default" w:ascii="HGPｺﾞｼｯｸM" w:hAnsi="HGPｺﾞｼｯｸM" w:eastAsia="HGPｺﾞｼｯｸM"/>
                <w:b w:val="0"/>
                <w:sz w:val="21"/>
                <w:u w:val="none" w:color="auto"/>
              </w:rPr>
            </w:pPr>
            <w:r>
              <w:rPr>
                <w:rFonts w:hint="eastAsia" w:ascii="HGPｺﾞｼｯｸM" w:hAnsi="HGPｺﾞｼｯｸM" w:eastAsia="HGPｺﾞｼｯｸM"/>
                <w:b w:val="0"/>
                <w:sz w:val="21"/>
                <w:u w:val="none" w:color="auto"/>
              </w:rPr>
              <w:t>46,331</w:t>
            </w:r>
          </w:p>
        </w:tc>
        <w:tc>
          <w:tcPr>
            <w:tcW w:w="1134"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spacing w:line="300" w:lineRule="exact"/>
              <w:ind w:left="103" w:right="101"/>
              <w:jc w:val="center"/>
              <w:rPr>
                <w:rFonts w:hint="default" w:ascii="HGPｺﾞｼｯｸM" w:hAnsi="HGPｺﾞｼｯｸM" w:eastAsia="HGPｺﾞｼｯｸM"/>
                <w:b w:val="0"/>
                <w:sz w:val="21"/>
                <w:u w:val="none" w:color="auto"/>
              </w:rPr>
            </w:pPr>
            <w:r>
              <w:rPr>
                <w:rFonts w:hint="eastAsia" w:ascii="HGPｺﾞｼｯｸM" w:hAnsi="HGPｺﾞｼｯｸM" w:eastAsia="HGPｺﾞｼｯｸM"/>
                <w:b w:val="0"/>
                <w:sz w:val="21"/>
                <w:u w:val="none" w:color="auto"/>
              </w:rPr>
              <w:t>3</w:t>
            </w:r>
            <w:r>
              <w:rPr>
                <w:rFonts w:hint="default" w:ascii="HGPｺﾞｼｯｸM" w:hAnsi="HGPｺﾞｼｯｸM" w:eastAsia="HGPｺﾞｼｯｸM"/>
                <w:b w:val="0"/>
                <w:sz w:val="21"/>
                <w:u w:val="none" w:color="auto"/>
              </w:rPr>
              <w:t>,</w:t>
            </w:r>
            <w:r>
              <w:rPr>
                <w:rFonts w:hint="eastAsia" w:ascii="HGPｺﾞｼｯｸM" w:hAnsi="HGPｺﾞｼｯｸM" w:eastAsia="HGPｺﾞｼｯｸM"/>
                <w:b w:val="0"/>
                <w:sz w:val="21"/>
                <w:u w:val="none" w:color="auto"/>
              </w:rPr>
              <w:t>683</w:t>
            </w:r>
          </w:p>
        </w:tc>
        <w:tc>
          <w:tcPr>
            <w:tcW w:w="1134" w:type="dxa"/>
            <w:tcBorders>
              <w:top w:val="single" w:color="000000" w:sz="4" w:space="0"/>
              <w:left w:val="single" w:color="auto" w:sz="4" w:space="0"/>
              <w:bottom w:val="single" w:color="000000" w:sz="4" w:space="0"/>
              <w:right w:val="single" w:color="000000" w:sz="4" w:space="0"/>
              <w:tl2br w:val="none" w:color="auto" w:sz="0" w:space="0"/>
              <w:tr2bl w:val="none" w:color="auto" w:sz="0" w:space="0"/>
            </w:tcBorders>
            <w:vAlign w:val="center"/>
          </w:tcPr>
          <w:p>
            <w:pPr>
              <w:pStyle w:val="0"/>
              <w:spacing w:line="300" w:lineRule="exact"/>
              <w:ind w:right="101"/>
              <w:jc w:val="center"/>
              <w:rPr>
                <w:rFonts w:hint="default" w:ascii="HGPｺﾞｼｯｸM" w:hAnsi="HGPｺﾞｼｯｸM" w:eastAsia="HGPｺﾞｼｯｸM"/>
                <w:b w:val="0"/>
                <w:sz w:val="21"/>
                <w:u w:val="none" w:color="auto"/>
              </w:rPr>
            </w:pPr>
            <w:r>
              <w:rPr>
                <w:rFonts w:hint="default" w:ascii="HGPｺﾞｼｯｸM" w:hAnsi="HGPｺﾞｼｯｸM" w:eastAsia="HGPｺﾞｼｯｸM"/>
                <w:b w:val="0"/>
                <w:sz w:val="21"/>
                <w:u w:val="none" w:color="auto"/>
              </w:rPr>
              <w:t>1,</w:t>
            </w:r>
            <w:r>
              <w:rPr>
                <w:rFonts w:hint="eastAsia" w:ascii="HGPｺﾞｼｯｸM" w:hAnsi="HGPｺﾞｼｯｸM" w:eastAsia="HGPｺﾞｼｯｸM"/>
                <w:b w:val="0"/>
                <w:sz w:val="21"/>
                <w:u w:val="none" w:color="auto"/>
              </w:rPr>
              <w:t>600</w:t>
            </w:r>
          </w:p>
        </w:tc>
        <w:tc>
          <w:tcPr>
            <w:tcW w:w="1275"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spacing w:line="300" w:lineRule="exact"/>
              <w:ind w:left="103" w:right="101"/>
              <w:jc w:val="center"/>
              <w:rPr>
                <w:rFonts w:hint="default" w:ascii="HGPｺﾞｼｯｸM" w:hAnsi="HGPｺﾞｼｯｸM" w:eastAsia="HGPｺﾞｼｯｸM"/>
                <w:b w:val="0"/>
                <w:sz w:val="21"/>
                <w:u w:val="none" w:color="auto"/>
              </w:rPr>
            </w:pPr>
            <w:r>
              <w:rPr>
                <w:rFonts w:hint="eastAsia" w:ascii="HGPｺﾞｼｯｸM" w:hAnsi="HGPｺﾞｼｯｸM" w:eastAsia="HGPｺﾞｼｯｸM"/>
                <w:b w:val="0"/>
                <w:sz w:val="21"/>
                <w:u w:val="none" w:color="auto"/>
              </w:rPr>
              <w:t>4,300</w:t>
            </w:r>
          </w:p>
        </w:tc>
        <w:tc>
          <w:tcPr>
            <w:tcW w:w="1701" w:type="dxa"/>
            <w:tcBorders>
              <w:top w:val="single" w:color="000000" w:sz="4" w:space="0"/>
              <w:left w:val="single" w:color="auto" w:sz="4" w:space="0"/>
              <w:bottom w:val="single" w:color="000000" w:sz="4" w:space="0"/>
              <w:right w:val="single" w:color="auto" w:sz="4" w:space="0"/>
              <w:tl2br w:val="none" w:color="auto" w:sz="0" w:space="0"/>
              <w:tr2bl w:val="none" w:color="auto" w:sz="0" w:space="0"/>
            </w:tcBorders>
            <w:vAlign w:val="center"/>
          </w:tcPr>
          <w:p>
            <w:pPr>
              <w:pStyle w:val="0"/>
              <w:spacing w:line="300" w:lineRule="exact"/>
              <w:ind w:right="101"/>
              <w:jc w:val="center"/>
              <w:rPr>
                <w:rFonts w:hint="default" w:ascii="HGPｺﾞｼｯｸM" w:hAnsi="HGPｺﾞｼｯｸM" w:eastAsia="HGPｺﾞｼｯｸM"/>
                <w:b w:val="0"/>
                <w:sz w:val="21"/>
                <w:u w:val="none" w:color="auto"/>
              </w:rPr>
            </w:pPr>
            <w:r>
              <w:rPr>
                <w:rFonts w:hint="eastAsia" w:ascii="HGPｺﾞｼｯｸM" w:hAnsi="HGPｺﾞｼｯｸM" w:eastAsia="HGPｺﾞｼｯｸM"/>
                <w:b w:val="0"/>
                <w:sz w:val="21"/>
                <w:u w:val="none" w:color="auto"/>
              </w:rPr>
              <w:t>14,200</w:t>
            </w:r>
          </w:p>
        </w:tc>
      </w:tr>
    </w:tbl>
    <w:p>
      <w:pPr>
        <w:pStyle w:val="0"/>
        <w:widowControl w:val="1"/>
        <w:autoSpaceDE w:val="1"/>
        <w:spacing w:line="276" w:lineRule="auto"/>
        <w:rPr>
          <w:rFonts w:hint="default" w:ascii="ＭＳ 明朝" w:hAnsi="ＭＳ 明朝" w:eastAsia="ＭＳ 明朝"/>
          <w:sz w:val="18"/>
        </w:rPr>
      </w:pPr>
      <w:r>
        <w:rPr>
          <w:rFonts w:hint="eastAsia" w:ascii="ＭＳ 明朝" w:hAnsi="ＭＳ 明朝" w:eastAsia="ＭＳ 明朝"/>
          <w:b w:val="0"/>
          <w:sz w:val="18"/>
          <w:u w:val="none" w:color="auto"/>
        </w:rPr>
        <w:t>出典：環境省一般廃棄物処理実態調査（令和４年度調査結果）</w:t>
      </w:r>
    </w:p>
    <w:p>
      <w:pPr>
        <w:pStyle w:val="0"/>
        <w:tabs>
          <w:tab w:val="left" w:leader="none" w:pos="887"/>
        </w:tabs>
        <w:spacing w:before="10" w:beforeLines="0" w:beforeAutospacing="0" w:after="43" w:afterLines="0" w:afterAutospacing="0"/>
        <w:ind w:right="358"/>
        <w:rPr>
          <w:rFonts w:hint="default"/>
          <w:sz w:val="21"/>
        </w:rPr>
      </w:pPr>
    </w:p>
    <w:p>
      <w:pPr>
        <w:pStyle w:val="0"/>
        <w:tabs>
          <w:tab w:val="left" w:leader="none" w:pos="887"/>
        </w:tabs>
        <w:spacing w:before="10" w:beforeLines="0" w:beforeAutospacing="0" w:after="43" w:afterLines="0" w:afterAutospacing="0"/>
        <w:ind w:right="358"/>
        <w:rPr>
          <w:rFonts w:hint="default"/>
          <w:sz w:val="21"/>
        </w:rPr>
      </w:pPr>
    </w:p>
    <w:p>
      <w:pPr>
        <w:pStyle w:val="0"/>
        <w:tabs>
          <w:tab w:val="left" w:leader="none" w:pos="887"/>
        </w:tabs>
        <w:spacing w:before="10" w:beforeLines="0" w:beforeAutospacing="0" w:after="43" w:afterLines="0" w:afterAutospacing="0"/>
        <w:ind w:right="358"/>
        <w:rPr>
          <w:rFonts w:hint="default"/>
          <w:sz w:val="21"/>
        </w:rPr>
      </w:pPr>
    </w:p>
    <w:p>
      <w:pPr>
        <w:pStyle w:val="0"/>
        <w:tabs>
          <w:tab w:val="left" w:leader="none" w:pos="887"/>
        </w:tabs>
        <w:spacing w:before="10" w:beforeLines="0" w:beforeAutospacing="0" w:after="43" w:afterLines="0" w:afterAutospacing="0"/>
        <w:ind w:right="358"/>
        <w:rPr>
          <w:rFonts w:hint="default"/>
          <w:sz w:val="21"/>
        </w:rPr>
      </w:pPr>
    </w:p>
    <w:p>
      <w:pPr>
        <w:pStyle w:val="0"/>
        <w:widowControl w:val="1"/>
        <w:autoSpaceDE w:val="1"/>
        <w:autoSpaceDN w:val="1"/>
        <w:rPr>
          <w:rFonts w:hint="default"/>
          <w:sz w:val="21"/>
        </w:rPr>
      </w:pPr>
      <w:r>
        <w:rPr>
          <w:rFonts w:hint="default"/>
          <w:sz w:val="21"/>
        </w:rPr>
        <w:br w:type="page"/>
      </w:r>
    </w:p>
    <w:p>
      <w:pPr>
        <w:pStyle w:val="0"/>
        <w:keepNext w:val="1"/>
        <w:outlineLvl w:val="2"/>
        <w:rPr>
          <w:rFonts w:hint="default"/>
        </w:rPr>
      </w:pPr>
      <w:bookmarkStart w:id="45" w:name="_Toc27146514"/>
      <w:bookmarkStart w:id="46" w:name="_Toc60838760"/>
      <w:r>
        <w:rPr>
          <w:rFonts w:hint="eastAsia"/>
        </w:rPr>
        <w:t>（３）処理フローに係る項目</w:t>
      </w:r>
      <w:bookmarkEnd w:id="45"/>
      <w:bookmarkEnd w:id="46"/>
    </w:p>
    <w:p>
      <w:pPr>
        <w:pStyle w:val="0"/>
        <w:spacing w:before="46" w:beforeLines="0" w:beforeAutospacing="0" w:line="276" w:lineRule="auto"/>
        <w:ind w:right="233" w:firstLine="206" w:firstLineChars="100"/>
        <w:jc w:val="both"/>
        <w:rPr>
          <w:rFonts w:hint="default" w:ascii="ＭＳ 明朝" w:hAnsi="ＭＳ 明朝" w:eastAsia="ＭＳ 明朝"/>
          <w:sz w:val="21"/>
        </w:rPr>
      </w:pPr>
      <w:r>
        <w:rPr>
          <w:rFonts w:hint="eastAsia" w:ascii="ＭＳ 明朝" w:hAnsi="ＭＳ 明朝" w:eastAsia="ＭＳ 明朝"/>
          <w:spacing w:val="-2"/>
          <w:sz w:val="21"/>
        </w:rPr>
        <w:t>災害廃棄物の処理のスピード化と再資源化率を高めるためには、混合状態を防</w:t>
      </w:r>
      <w:r>
        <w:rPr>
          <w:rFonts w:hint="eastAsia" w:ascii="ＭＳ 明朝" w:hAnsi="ＭＳ 明朝" w:eastAsia="ＭＳ 明朝"/>
          <w:spacing w:val="-1"/>
          <w:sz w:val="21"/>
        </w:rPr>
        <w:t>ぐことが重要であることから、その後の処理方法を踏まえた分別を徹底するも</w:t>
      </w:r>
      <w:r>
        <w:rPr>
          <w:rFonts w:hint="eastAsia" w:ascii="ＭＳ 明朝" w:hAnsi="ＭＳ 明朝" w:eastAsia="ＭＳ 明朝"/>
          <w:sz w:val="21"/>
        </w:rPr>
        <w:t>のとする。混合廃棄物を減らすことが、復旧のスピードを高め、再資源化・中間処理・最終処分のトータルコストを低減できることを十分に念頭に置くも</w:t>
      </w:r>
      <w:r>
        <w:rPr>
          <w:rFonts w:hint="eastAsia" w:ascii="ＭＳ 明朝" w:hAnsi="ＭＳ 明朝" w:eastAsia="ＭＳ 明朝"/>
          <w:spacing w:val="-1"/>
          <w:sz w:val="21"/>
        </w:rPr>
        <w:t>のとする。</w:t>
      </w:r>
      <w:r>
        <w:rPr>
          <w:rFonts w:hint="eastAsia" w:ascii="ＭＳ 明朝" w:hAnsi="ＭＳ 明朝" w:eastAsia="ＭＳ 明朝"/>
          <w:sz w:val="21"/>
        </w:rPr>
        <w:t>災害廃棄物処理の基本方針、発生量、廃棄物処理施設の被災状況を想定しつつ、分別・処理フローを設定する。</w:t>
      </w:r>
    </w:p>
    <w:p>
      <w:pPr>
        <w:pStyle w:val="0"/>
        <w:spacing w:before="46" w:beforeLines="0" w:beforeAutospacing="0" w:line="276" w:lineRule="auto"/>
        <w:ind w:right="233" w:firstLine="210" w:firstLineChars="100"/>
        <w:jc w:val="both"/>
        <w:rPr>
          <w:rFonts w:hint="default" w:ascii="ＭＳ 明朝" w:hAnsi="ＭＳ 明朝" w:eastAsia="ＭＳ 明朝"/>
          <w:sz w:val="21"/>
        </w:rPr>
      </w:pPr>
      <w:r>
        <w:rPr>
          <w:rFonts w:hint="eastAsia" w:ascii="ＭＳ 明朝" w:hAnsi="ＭＳ 明朝" w:eastAsia="ＭＳ 明朝"/>
          <w:sz w:val="21"/>
        </w:rPr>
        <w:t>本町においては焼却処理施設および最終処分場が近隣自治体との共同利用であり、大規模災害時には共同利用先自治体から発生する廃棄物の受入余力等も検討する必要がある。本処理フローは本町から発生する災害廃棄物のみを対象として試算を行っている。</w:t>
      </w:r>
    </w:p>
    <w:p>
      <w:pPr>
        <w:pStyle w:val="0"/>
        <w:spacing w:before="46" w:beforeLines="0" w:beforeAutospacing="0" w:line="276" w:lineRule="auto"/>
        <w:ind w:right="233" w:firstLine="210" w:firstLineChars="100"/>
        <w:jc w:val="both"/>
        <w:rPr>
          <w:rFonts w:hint="default" w:ascii="ＭＳ 明朝" w:hAnsi="ＭＳ 明朝" w:eastAsia="ＭＳ 明朝"/>
          <w:sz w:val="21"/>
        </w:rPr>
      </w:pPr>
    </w:p>
    <w:p>
      <w:pPr>
        <w:pStyle w:val="0"/>
        <w:spacing w:before="46" w:beforeLines="0" w:beforeAutospacing="0"/>
        <w:ind w:right="233"/>
        <w:jc w:val="both"/>
        <w:rPr>
          <w:rFonts w:hint="default" w:ascii="ＭＳ 明朝" w:hAnsi="ＭＳ 明朝" w:eastAsia="ＭＳ 明朝"/>
          <w:spacing w:val="-2"/>
          <w:sz w:val="21"/>
        </w:rPr>
      </w:pPr>
      <w:r>
        <w:rPr>
          <w:rFonts w:hint="eastAsia"/>
          <w:sz w:val="21"/>
        </w:rPr>
        <w:t>１）処理フロー</w:t>
      </w:r>
    </w:p>
    <w:p>
      <w:pPr>
        <w:pStyle w:val="0"/>
        <w:spacing w:before="46" w:beforeLines="0" w:beforeAutospacing="0" w:line="276" w:lineRule="auto"/>
        <w:ind w:right="233"/>
        <w:jc w:val="both"/>
        <w:rPr>
          <w:rFonts w:hint="default" w:ascii="ＭＳ 明朝" w:hAnsi="ＭＳ 明朝" w:eastAsia="ＭＳ 明朝"/>
          <w:sz w:val="21"/>
        </w:rPr>
      </w:pPr>
      <w:r>
        <w:rPr>
          <w:rFonts w:hint="eastAsia" w:ascii="ＭＳ 明朝" w:hAnsi="ＭＳ 明朝" w:eastAsia="ＭＳ 明朝"/>
          <w:sz w:val="21"/>
        </w:rPr>
        <w:t>〇沖縄本島南部スラブ内地震での災害廃棄物処理フロー</w:t>
      </w:r>
    </w:p>
    <w:p>
      <w:pPr>
        <w:pStyle w:val="0"/>
        <w:spacing w:before="46" w:beforeLines="0" w:beforeAutospacing="0" w:line="276" w:lineRule="auto"/>
        <w:ind w:right="233" w:firstLine="210" w:firstLineChars="100"/>
        <w:jc w:val="both"/>
        <w:rPr>
          <w:rFonts w:hint="default" w:ascii="ＭＳ 明朝" w:hAnsi="ＭＳ 明朝" w:eastAsia="ＭＳ 明朝"/>
          <w:sz w:val="21"/>
        </w:rPr>
      </w:pPr>
      <w:r>
        <w:rPr>
          <w:rFonts w:hint="eastAsia" w:ascii="ＭＳ 明朝" w:hAnsi="ＭＳ 明朝" w:eastAsia="ＭＳ 明朝"/>
          <w:sz w:val="21"/>
        </w:rPr>
        <w:t>本町での処理では、想定される災害が発生した場合、焼却処理、最終処分ともに不足する可能性が考えられるため、大規模災害発生時には広域的な処理について検討する。</w:t>
      </w:r>
    </w:p>
    <w:p>
      <w:pPr>
        <w:pStyle w:val="0"/>
        <w:spacing w:before="46" w:beforeLines="0" w:beforeAutospacing="0" w:line="276" w:lineRule="auto"/>
        <w:ind w:right="233" w:firstLine="210" w:firstLineChars="100"/>
        <w:jc w:val="both"/>
        <w:rPr>
          <w:rFonts w:hint="default" w:ascii="ＭＳ 明朝" w:hAnsi="ＭＳ 明朝" w:eastAsia="ＭＳ 明朝"/>
          <w:sz w:val="21"/>
        </w:rPr>
      </w:pPr>
      <w:r>
        <w:rPr>
          <w:rFonts w:hint="eastAsia"/>
        </w:rPr>
        <w:t>　</w:t>
      </w:r>
      <w:r>
        <w:rPr>
          <w:rFonts w:hint="eastAsia"/>
        </w:rPr>
        <w:drawing>
          <wp:inline distT="0" distB="0" distL="203200" distR="203200">
            <wp:extent cx="5039360" cy="5594350"/>
            <wp:effectExtent l="0" t="0" r="0" b="0"/>
            <wp:docPr id="1109" name="オブジェクト 0"/>
            <a:graphic xmlns:a="http://schemas.openxmlformats.org/drawingml/2006/main">
              <a:graphicData uri="http://schemas.openxmlformats.org/drawingml/2006/picture">
                <pic:pic xmlns:pic="http://schemas.openxmlformats.org/drawingml/2006/picture">
                  <pic:nvPicPr>
                    <pic:cNvPr id="1109" name="オブジェクト 0"/>
                    <pic:cNvPicPr>
                      <a:picLocks noChangeAspect="1"/>
                    </pic:cNvPicPr>
                  </pic:nvPicPr>
                  <pic:blipFill>
                    <a:blip r:embed="rId15"/>
                    <a:stretch>
                      <a:fillRect/>
                    </a:stretch>
                  </pic:blipFill>
                  <pic:spPr>
                    <a:xfrm>
                      <a:off x="0" y="0"/>
                      <a:ext cx="5039360" cy="5594350"/>
                    </a:xfrm>
                    <a:prstGeom prst="rect"/>
                  </pic:spPr>
                </pic:pic>
              </a:graphicData>
            </a:graphic>
          </wp:inline>
        </w:drawing>
      </w:r>
    </w:p>
    <w:p>
      <w:pPr>
        <w:pStyle w:val="0"/>
        <w:jc w:val="center"/>
        <w:rPr>
          <w:rFonts w:hint="default"/>
          <w:sz w:val="21"/>
        </w:rPr>
      </w:pPr>
      <w:r>
        <w:rPr>
          <w:rFonts w:hint="eastAsia"/>
          <w:sz w:val="21"/>
        </w:rPr>
        <w:t>図９　沖縄本島南部スラブ内地震における災害廃棄物処理フロー</w:t>
      </w:r>
    </w:p>
    <w:p>
      <w:pPr>
        <w:pStyle w:val="0"/>
        <w:widowControl w:val="1"/>
        <w:autoSpaceDE w:val="1"/>
        <w:autoSpaceDN w:val="1"/>
        <w:rPr>
          <w:rFonts w:hint="default"/>
          <w:sz w:val="21"/>
        </w:rPr>
      </w:pPr>
      <w:r>
        <w:rPr>
          <w:rFonts w:hint="eastAsia"/>
          <w:sz w:val="21"/>
        </w:rPr>
        <w:t>〇想定風水害で</w:t>
      </w:r>
      <w:r>
        <w:rPr>
          <w:rFonts w:hint="eastAsia" w:ascii="ＭＳ ゴシック" w:hAnsi="ＭＳ ゴシック" w:eastAsia="ＭＳ ゴシック"/>
          <w:sz w:val="21"/>
        </w:rPr>
        <w:t>の災害廃棄物処理</w:t>
      </w:r>
      <w:r>
        <w:rPr>
          <w:rFonts w:hint="eastAsia"/>
          <w:sz w:val="21"/>
        </w:rPr>
        <w:t>フロー</w:t>
      </w:r>
    </w:p>
    <w:p>
      <w:pPr>
        <w:pStyle w:val="0"/>
        <w:widowControl w:val="1"/>
        <w:autoSpaceDE w:val="1"/>
        <w:autoSpaceDN w:val="1"/>
        <w:ind w:firstLine="210" w:firstLineChars="100"/>
        <w:rPr>
          <w:rFonts w:hint="default"/>
        </w:rPr>
      </w:pPr>
      <w:r>
        <w:rPr>
          <w:rFonts w:hint="eastAsia" w:ascii="ＭＳ 明朝" w:hAnsi="ＭＳ 明朝" w:eastAsia="ＭＳ 明朝"/>
          <w:sz w:val="21"/>
        </w:rPr>
        <w:t>現在の処理フローでは最終処分について処理能力が不足する可能性が示唆されている。不燃物について発災時に処理能力が不足した場合に広域的な処理を検討する。</w:t>
      </w:r>
      <w:bookmarkStart w:id="47" w:name="_GoBack"/>
      <w:bookmarkEnd w:id="47"/>
    </w:p>
    <w:p>
      <w:pPr>
        <w:pStyle w:val="0"/>
        <w:widowControl w:val="1"/>
        <w:autoSpaceDE w:val="1"/>
        <w:autoSpaceDN w:val="1"/>
        <w:ind w:firstLine="210" w:firstLineChars="100"/>
        <w:rPr>
          <w:rFonts w:hint="default"/>
        </w:rPr>
      </w:pPr>
      <w:r>
        <w:rPr>
          <w:rFonts w:hint="eastAsia"/>
        </w:rPr>
        <w:drawing>
          <wp:inline distT="0" distB="0" distL="203200" distR="203200">
            <wp:extent cx="5607050" cy="6280150"/>
            <wp:effectExtent l="0" t="0" r="0" b="0"/>
            <wp:docPr id="1110" name="オブジェクト 0"/>
            <a:graphic xmlns:a="http://schemas.openxmlformats.org/drawingml/2006/main">
              <a:graphicData uri="http://schemas.openxmlformats.org/drawingml/2006/picture">
                <pic:pic xmlns:pic="http://schemas.openxmlformats.org/drawingml/2006/picture">
                  <pic:nvPicPr>
                    <pic:cNvPr id="1110" name="オブジェクト 0"/>
                    <pic:cNvPicPr>
                      <a:picLocks noChangeAspect="1"/>
                    </pic:cNvPicPr>
                  </pic:nvPicPr>
                  <pic:blipFill>
                    <a:blip r:embed="rId16"/>
                    <a:stretch>
                      <a:fillRect/>
                    </a:stretch>
                  </pic:blipFill>
                  <pic:spPr>
                    <a:xfrm>
                      <a:off x="0" y="0"/>
                      <a:ext cx="5607050" cy="6280150"/>
                    </a:xfrm>
                    <a:prstGeom prst="rect"/>
                  </pic:spPr>
                </pic:pic>
              </a:graphicData>
            </a:graphic>
          </wp:inline>
        </w:drawing>
      </w:r>
    </w:p>
    <w:p>
      <w:pPr>
        <w:pStyle w:val="0"/>
        <w:widowControl w:val="1"/>
        <w:autoSpaceDE w:val="1"/>
        <w:autoSpaceDN w:val="1"/>
        <w:ind w:firstLine="220" w:firstLineChars="100"/>
        <w:rPr>
          <w:rFonts w:hint="default" w:ascii="ＭＳ 明朝" w:hAnsi="ＭＳ 明朝" w:eastAsia="ＭＳ 明朝"/>
          <w:sz w:val="21"/>
        </w:rPr>
      </w:pPr>
    </w:p>
    <w:p>
      <w:pPr>
        <w:pStyle w:val="0"/>
        <w:jc w:val="center"/>
        <w:rPr>
          <w:rFonts w:hint="default"/>
          <w:sz w:val="21"/>
        </w:rPr>
      </w:pPr>
      <w:r>
        <w:rPr>
          <w:rFonts w:hint="eastAsia"/>
          <w:sz w:val="21"/>
        </w:rPr>
        <w:t>図１０　　想定風水害における災害廃棄物処理フロー</w:t>
      </w:r>
    </w:p>
    <w:p>
      <w:pPr>
        <w:pStyle w:val="0"/>
        <w:widowControl w:val="1"/>
        <w:autoSpaceDE w:val="1"/>
        <w:autoSpaceDN w:val="1"/>
        <w:ind w:firstLine="210" w:firstLineChars="100"/>
        <w:rPr>
          <w:rFonts w:hint="default" w:ascii="ＭＳ 明朝" w:hAnsi="ＭＳ 明朝" w:eastAsia="ＭＳ 明朝"/>
          <w:sz w:val="21"/>
        </w:rPr>
      </w:pPr>
    </w:p>
    <w:p>
      <w:pPr>
        <w:pStyle w:val="0"/>
        <w:widowControl w:val="1"/>
        <w:autoSpaceDE w:val="1"/>
        <w:autoSpaceDN w:val="1"/>
        <w:ind w:firstLine="210" w:firstLineChars="100"/>
        <w:rPr>
          <w:rFonts w:hint="default" w:ascii="ＭＳ 明朝" w:hAnsi="ＭＳ 明朝" w:eastAsia="ＭＳ 明朝"/>
          <w:sz w:val="21"/>
        </w:rPr>
      </w:pPr>
      <w:r>
        <w:rPr>
          <w:rFonts w:hint="default" w:ascii="ＭＳ 明朝" w:hAnsi="ＭＳ 明朝" w:eastAsia="ＭＳ 明朝"/>
          <w:sz w:val="21"/>
        </w:rPr>
        <w:br w:type="page"/>
      </w:r>
    </w:p>
    <w:p>
      <w:pPr>
        <w:pStyle w:val="0"/>
        <w:rPr>
          <w:rFonts w:hint="default"/>
        </w:rPr>
      </w:pPr>
      <w:r>
        <w:rPr>
          <w:rFonts w:hint="eastAsia"/>
          <w:sz w:val="21"/>
        </w:rPr>
        <w:t>２）</w:t>
      </w:r>
      <w:r>
        <w:rPr>
          <w:rFonts w:hint="eastAsia"/>
        </w:rPr>
        <w:t>広域的な処理・処分</w:t>
      </w:r>
    </w:p>
    <w:p>
      <w:pPr>
        <w:pStyle w:val="0"/>
        <w:spacing w:before="45" w:beforeLines="0" w:beforeAutospacing="0" w:line="276" w:lineRule="auto"/>
        <w:ind w:right="114" w:firstLine="210" w:firstLineChars="100"/>
        <w:rPr>
          <w:rFonts w:hint="default" w:ascii="ＭＳ 明朝" w:hAnsi="ＭＳ 明朝" w:eastAsia="ＭＳ 明朝"/>
          <w:sz w:val="21"/>
        </w:rPr>
      </w:pPr>
      <w:r>
        <w:rPr>
          <w:rFonts w:hint="eastAsia" w:ascii="ＭＳ 明朝" w:hAnsi="ＭＳ 明朝" w:eastAsia="ＭＳ 明朝"/>
          <w:sz w:val="21"/>
        </w:rPr>
        <w:t>自区域内で計画的に廃棄物処理を完結することが困難であると判断した場合は、県への事務委託（地方自治法第</w:t>
      </w:r>
      <w:r>
        <w:rPr>
          <w:rFonts w:hint="eastAsia" w:ascii="ＭＳ 明朝" w:hAnsi="ＭＳ 明朝" w:eastAsia="ＭＳ 明朝"/>
          <w:sz w:val="21"/>
        </w:rPr>
        <w:t>2</w:t>
      </w:r>
      <w:r>
        <w:rPr>
          <w:rFonts w:hint="default" w:ascii="ＭＳ 明朝" w:hAnsi="ＭＳ 明朝" w:eastAsia="ＭＳ 明朝"/>
          <w:sz w:val="21"/>
        </w:rPr>
        <w:t>52</w:t>
      </w:r>
      <w:r>
        <w:rPr>
          <w:rFonts w:hint="eastAsia" w:ascii="ＭＳ 明朝" w:hAnsi="ＭＳ 明朝" w:eastAsia="ＭＳ 明朝"/>
          <w:sz w:val="21"/>
        </w:rPr>
        <w:t>条の</w:t>
      </w:r>
      <w:r>
        <w:rPr>
          <w:rFonts w:hint="eastAsia" w:ascii="ＭＳ 明朝" w:hAnsi="ＭＳ 明朝" w:eastAsia="ＭＳ 明朝"/>
          <w:sz w:val="21"/>
        </w:rPr>
        <w:t>1</w:t>
      </w:r>
      <w:r>
        <w:rPr>
          <w:rFonts w:hint="default" w:ascii="ＭＳ 明朝" w:hAnsi="ＭＳ 明朝" w:eastAsia="ＭＳ 明朝"/>
          <w:sz w:val="21"/>
        </w:rPr>
        <w:t>4</w:t>
      </w:r>
      <w:r>
        <w:rPr>
          <w:rFonts w:hint="eastAsia" w:ascii="ＭＳ 明朝" w:hAnsi="ＭＳ 明朝" w:eastAsia="ＭＳ 明朝"/>
          <w:sz w:val="21"/>
        </w:rPr>
        <w:t>）を含めて広域処理を検討する。県への事務委託の内容には次のようなものが考えられる。</w:t>
      </w:r>
    </w:p>
    <w:p>
      <w:pPr>
        <w:pStyle w:val="0"/>
        <w:spacing w:before="45" w:beforeLines="0" w:beforeAutospacing="0" w:line="276" w:lineRule="auto"/>
        <w:ind w:right="114" w:firstLine="210" w:firstLineChars="100"/>
        <w:rPr>
          <w:rFonts w:hint="default" w:ascii="ＭＳ 明朝" w:hAnsi="ＭＳ 明朝" w:eastAsia="ＭＳ 明朝"/>
          <w:sz w:val="21"/>
        </w:rPr>
      </w:pPr>
    </w:p>
    <w:p>
      <w:pPr>
        <w:pStyle w:val="0"/>
        <w:spacing w:before="16" w:beforeLines="0" w:beforeAutospacing="0"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①</w:t>
      </w:r>
      <w:r>
        <w:rPr>
          <w:rFonts w:hint="eastAsia" w:ascii="ＭＳ 明朝" w:hAnsi="ＭＳ 明朝" w:eastAsia="ＭＳ 明朝"/>
          <w:sz w:val="21"/>
        </w:rPr>
        <w:t xml:space="preserve"> </w:t>
      </w:r>
      <w:r>
        <w:rPr>
          <w:rFonts w:hint="eastAsia" w:ascii="ＭＳ 明朝" w:hAnsi="ＭＳ 明朝" w:eastAsia="ＭＳ 明朝"/>
          <w:sz w:val="21"/>
        </w:rPr>
        <w:t>倒壊建物等の解体・撤去</w:t>
      </w:r>
    </w:p>
    <w:p>
      <w:pPr>
        <w:pStyle w:val="0"/>
        <w:spacing w:before="45" w:beforeLines="0" w:beforeAutospacing="0"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②</w:t>
      </w:r>
      <w:r>
        <w:rPr>
          <w:rFonts w:hint="eastAsia" w:ascii="ＭＳ 明朝" w:hAnsi="ＭＳ 明朝" w:eastAsia="ＭＳ 明朝"/>
          <w:sz w:val="21"/>
        </w:rPr>
        <w:t xml:space="preserve"> </w:t>
      </w:r>
      <w:r>
        <w:rPr>
          <w:rFonts w:hint="eastAsia" w:ascii="ＭＳ 明朝" w:hAnsi="ＭＳ 明朝" w:eastAsia="ＭＳ 明朝"/>
          <w:sz w:val="21"/>
        </w:rPr>
        <w:t>一次仮置場までの収集運搬・一次仮置場における分別、処理</w:t>
      </w:r>
    </w:p>
    <w:p>
      <w:pPr>
        <w:pStyle w:val="0"/>
        <w:spacing w:before="45" w:beforeLines="0" w:beforeAutospacing="0"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③</w:t>
      </w:r>
      <w:r>
        <w:rPr>
          <w:rFonts w:hint="eastAsia" w:ascii="ＭＳ 明朝" w:hAnsi="ＭＳ 明朝" w:eastAsia="ＭＳ 明朝"/>
          <w:sz w:val="21"/>
        </w:rPr>
        <w:t xml:space="preserve"> </w:t>
      </w:r>
      <w:r>
        <w:rPr>
          <w:rFonts w:hint="eastAsia" w:ascii="ＭＳ 明朝" w:hAnsi="ＭＳ 明朝" w:eastAsia="ＭＳ 明朝"/>
          <w:sz w:val="21"/>
        </w:rPr>
        <w:t>一次仮置場からの収集運搬・二次仮置場における分別、処理</w:t>
      </w:r>
    </w:p>
    <w:p>
      <w:pPr>
        <w:pStyle w:val="0"/>
        <w:spacing w:before="45" w:beforeLines="0" w:beforeAutospacing="0"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④</w:t>
      </w:r>
      <w:r>
        <w:rPr>
          <w:rFonts w:hint="eastAsia" w:ascii="ＭＳ 明朝" w:hAnsi="ＭＳ 明朝" w:eastAsia="ＭＳ 明朝"/>
          <w:sz w:val="21"/>
        </w:rPr>
        <w:t xml:space="preserve"> </w:t>
      </w:r>
      <w:r>
        <w:rPr>
          <w:rFonts w:hint="eastAsia" w:ascii="ＭＳ 明朝" w:hAnsi="ＭＳ 明朝" w:eastAsia="ＭＳ 明朝"/>
          <w:sz w:val="21"/>
        </w:rPr>
        <w:t>二次仮置場からの収集運搬</w:t>
      </w:r>
    </w:p>
    <w:p>
      <w:pPr>
        <w:pStyle w:val="0"/>
        <w:spacing w:before="46" w:beforeLines="0" w:beforeAutospacing="0"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⑤</w:t>
      </w:r>
      <w:r>
        <w:rPr>
          <w:rFonts w:hint="eastAsia" w:ascii="ＭＳ 明朝" w:hAnsi="ＭＳ 明朝" w:eastAsia="ＭＳ 明朝"/>
          <w:sz w:val="21"/>
        </w:rPr>
        <w:t xml:space="preserve"> </w:t>
      </w:r>
      <w:r>
        <w:rPr>
          <w:rFonts w:hint="eastAsia" w:ascii="ＭＳ 明朝" w:hAnsi="ＭＳ 明朝" w:eastAsia="ＭＳ 明朝"/>
          <w:sz w:val="21"/>
        </w:rPr>
        <w:t>処理（自動車、家電、</w:t>
      </w:r>
      <w:r>
        <w:rPr>
          <w:rFonts w:hint="eastAsia" w:ascii="ＭＳ 明朝" w:hAnsi="ＭＳ 明朝" w:eastAsia="ＭＳ 明朝"/>
          <w:sz w:val="21"/>
        </w:rPr>
        <w:t>PCB</w:t>
      </w:r>
      <w:r>
        <w:rPr>
          <w:rFonts w:hint="default" w:ascii="ＭＳ 明朝" w:hAnsi="ＭＳ 明朝" w:eastAsia="ＭＳ 明朝"/>
          <w:sz w:val="21"/>
        </w:rPr>
        <w:t xml:space="preserve"> </w:t>
      </w:r>
      <w:r>
        <w:rPr>
          <w:rFonts w:hint="eastAsia" w:ascii="ＭＳ 明朝" w:hAnsi="ＭＳ 明朝" w:eastAsia="ＭＳ 明朝"/>
          <w:sz w:val="21"/>
        </w:rPr>
        <w:t>等特別管理廃棄物、災害廃棄物等）</w:t>
      </w:r>
    </w:p>
    <w:p>
      <w:pPr>
        <w:pStyle w:val="0"/>
        <w:spacing w:before="46" w:beforeLines="0" w:beforeAutospacing="0"/>
        <w:rPr>
          <w:rFonts w:hint="default" w:ascii="ＭＳ 明朝" w:hAnsi="ＭＳ 明朝" w:eastAsia="ＭＳ 明朝"/>
          <w:sz w:val="21"/>
        </w:rPr>
      </w:pPr>
    </w:p>
    <w:p>
      <w:pPr>
        <w:pStyle w:val="0"/>
        <w:widowControl w:val="1"/>
        <w:autoSpaceDE w:val="1"/>
        <w:autoSpaceDN w:val="1"/>
        <w:rPr>
          <w:rFonts w:hint="default"/>
        </w:rPr>
      </w:pPr>
      <w:r>
        <w:rPr>
          <w:rFonts w:hint="eastAsia"/>
        </w:rPr>
        <w:t>３）処理スケジュール</w:t>
      </w:r>
    </w:p>
    <w:p>
      <w:pPr>
        <w:pStyle w:val="0"/>
        <w:spacing w:before="45" w:beforeLines="0" w:beforeAutospacing="0" w:line="276" w:lineRule="auto"/>
        <w:ind w:right="117" w:firstLine="210" w:firstLineChars="100"/>
        <w:jc w:val="both"/>
        <w:rPr>
          <w:rFonts w:hint="default" w:ascii="ＭＳ 明朝" w:hAnsi="ＭＳ 明朝" w:eastAsia="ＭＳ 明朝"/>
          <w:sz w:val="21"/>
        </w:rPr>
      </w:pPr>
      <w:r>
        <w:rPr>
          <w:rFonts w:hint="eastAsia" w:ascii="ＭＳ 明朝" w:hAnsi="ＭＳ 明朝" w:eastAsia="ＭＳ 明朝"/>
          <w:sz w:val="21"/>
        </w:rPr>
        <w:t>過去の大規模災害の事例では、最大３年以内に処理業務を完了していることから、処理期間を３年とした場合、表２５のスケジュールを目安とする。風水害の事例においては１年以内での処理業務を完了することとし、表２６のスケジュールを目安とする。</w:t>
      </w:r>
    </w:p>
    <w:p>
      <w:pPr>
        <w:pStyle w:val="0"/>
        <w:spacing w:before="45" w:beforeLines="0" w:beforeAutospacing="0" w:line="276" w:lineRule="auto"/>
        <w:ind w:right="117" w:firstLine="210" w:firstLineChars="100"/>
        <w:jc w:val="both"/>
        <w:rPr>
          <w:rFonts w:hint="default" w:ascii="ＭＳ 明朝" w:hAnsi="ＭＳ 明朝" w:eastAsia="ＭＳ 明朝"/>
          <w:sz w:val="21"/>
        </w:rPr>
      </w:pPr>
      <w:r>
        <w:rPr>
          <w:rFonts w:hint="eastAsia" w:ascii="ＭＳ 明朝" w:hAnsi="ＭＳ 明朝" w:eastAsia="ＭＳ 明朝"/>
          <w:sz w:val="21"/>
        </w:rPr>
        <w:t>実際に災害が発生した際には、被災状況によって処理期間を再検討する。</w:t>
      </w:r>
    </w:p>
    <w:p>
      <w:pPr>
        <w:pStyle w:val="0"/>
        <w:spacing w:before="8" w:beforeLines="0" w:beforeAutospacing="0"/>
        <w:rPr>
          <w:rFonts w:hint="default" w:ascii="ＭＳ 明朝" w:hAnsi="ＭＳ 明朝" w:eastAsia="ＭＳ 明朝"/>
          <w:sz w:val="24"/>
        </w:rPr>
      </w:pPr>
    </w:p>
    <w:p>
      <w:pPr>
        <w:pStyle w:val="0"/>
        <w:tabs>
          <w:tab w:val="left" w:leader="none" w:pos="3896"/>
        </w:tabs>
        <w:spacing w:after="43" w:afterLines="0" w:afterAutospacing="0"/>
        <w:jc w:val="center"/>
        <w:rPr>
          <w:rFonts w:hint="default"/>
          <w:sz w:val="21"/>
        </w:rPr>
      </w:pPr>
      <w:r>
        <w:rPr>
          <w:rFonts w:hint="eastAsia"/>
          <w:sz w:val="21"/>
        </w:rPr>
        <w:t>表２５　大規模災害での処理スケジュール</w:t>
      </w:r>
    </w:p>
    <w:tbl>
      <w:tblPr>
        <w:tblStyle w:val="54"/>
        <w:tblW w:w="876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1957"/>
        <w:gridCol w:w="1116"/>
        <w:gridCol w:w="25"/>
        <w:gridCol w:w="1132"/>
        <w:gridCol w:w="1135"/>
        <w:gridCol w:w="1132"/>
        <w:gridCol w:w="1135"/>
        <w:gridCol w:w="1132"/>
      </w:tblGrid>
      <w:tr>
        <w:trPr>
          <w:trHeight w:val="595" w:hRule="exact"/>
        </w:trPr>
        <w:tc>
          <w:tcPr>
            <w:tcW w:w="1957"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top"/>
          </w:tcPr>
          <w:p>
            <w:pPr>
              <w:pStyle w:val="0"/>
              <w:ind w:left="880"/>
              <w:rPr>
                <w:rFonts w:hint="default" w:ascii="HGPｺﾞｼｯｸM" w:hAnsi="HGPｺﾞｼｯｸM" w:eastAsia="HGPｺﾞｼｯｸM"/>
                <w:sz w:val="21"/>
              </w:rPr>
            </w:pPr>
          </w:p>
          <w:p>
            <w:pPr>
              <w:pStyle w:val="0"/>
              <w:ind w:left="880"/>
              <w:rPr>
                <w:rFonts w:hint="default" w:ascii="HGPｺﾞｼｯｸM" w:hAnsi="HGPｺﾞｼｯｸM" w:eastAsia="HGPｺﾞｼｯｸM"/>
                <w:sz w:val="21"/>
              </w:rPr>
            </w:pPr>
          </w:p>
          <w:p>
            <w:pPr>
              <w:pStyle w:val="0"/>
              <w:spacing w:before="10" w:beforeLines="0" w:beforeAutospacing="0"/>
              <w:ind w:left="880"/>
              <w:rPr>
                <w:rFonts w:hint="default" w:ascii="HGPｺﾞｼｯｸM" w:hAnsi="HGPｺﾞｼｯｸM" w:eastAsia="HGPｺﾞｼｯｸM"/>
                <w:sz w:val="21"/>
              </w:rPr>
            </w:pPr>
          </w:p>
        </w:tc>
        <w:tc>
          <w:tcPr>
            <w:tcW w:w="2269" w:type="dxa"/>
            <w:gridSpan w:val="3"/>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SｺﾞｼｯｸM" w:hAnsi="HGSｺﾞｼｯｸM" w:eastAsia="HGSｺﾞｼｯｸM"/>
                <w:sz w:val="21"/>
              </w:rPr>
            </w:pPr>
            <w:r>
              <w:rPr>
                <w:rFonts w:hint="eastAsia" w:ascii="HGSｺﾞｼｯｸM" w:hAnsi="HGSｺﾞｼｯｸM" w:eastAsia="HGSｺﾞｼｯｸM"/>
                <w:sz w:val="21"/>
              </w:rPr>
              <w:t>１年目</w:t>
            </w:r>
          </w:p>
        </w:tc>
        <w:tc>
          <w:tcPr>
            <w:tcW w:w="2269"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SｺﾞｼｯｸM" w:hAnsi="HGSｺﾞｼｯｸM" w:eastAsia="HGSｺﾞｼｯｸM"/>
                <w:sz w:val="21"/>
              </w:rPr>
            </w:pPr>
            <w:r>
              <w:rPr>
                <w:rFonts w:hint="eastAsia" w:ascii="HGSｺﾞｼｯｸM" w:hAnsi="HGSｺﾞｼｯｸM" w:eastAsia="HGSｺﾞｼｯｸM"/>
                <w:sz w:val="21"/>
              </w:rPr>
              <w:t>２年目</w:t>
            </w:r>
          </w:p>
        </w:tc>
        <w:tc>
          <w:tcPr>
            <w:tcW w:w="2269"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SｺﾞｼｯｸM" w:hAnsi="HGSｺﾞｼｯｸM" w:eastAsia="HGSｺﾞｼｯｸM"/>
                <w:sz w:val="21"/>
              </w:rPr>
            </w:pPr>
            <w:r>
              <w:rPr>
                <w:rFonts w:hint="eastAsia" w:ascii="HGSｺﾞｼｯｸM" w:hAnsi="HGSｺﾞｼｯｸM" w:eastAsia="HGSｺﾞｼｯｸM"/>
                <w:sz w:val="21"/>
              </w:rPr>
              <w:t>３年目</w:t>
            </w:r>
          </w:p>
        </w:tc>
      </w:tr>
      <w:tr>
        <w:trPr>
          <w:trHeight w:val="561" w:hRule="exact"/>
        </w:trPr>
        <w:tc>
          <w:tcPr>
            <w:tcW w:w="1957"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rPr>
                <w:rFonts w:hint="default" w:ascii="HGPｺﾞｼｯｸM" w:hAnsi="HGPｺﾞｼｯｸM" w:eastAsia="HGPｺﾞｼｯｸM"/>
                <w:sz w:val="21"/>
              </w:rPr>
            </w:pPr>
          </w:p>
        </w:tc>
        <w:tc>
          <w:tcPr>
            <w:tcW w:w="1136"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ＭＳ 明朝" w:hAnsi="ＭＳ 明朝" w:eastAsia="ＭＳ 明朝"/>
                <w:sz w:val="21"/>
              </w:rPr>
            </w:pPr>
            <w:r>
              <w:rPr>
                <w:rFonts w:hint="eastAsia" w:ascii="ＭＳ 明朝" w:hAnsi="ＭＳ 明朝" w:eastAsia="ＭＳ 明朝"/>
                <w:sz w:val="21"/>
              </w:rPr>
              <w:t>前期</w:t>
            </w:r>
          </w:p>
        </w:tc>
        <w:tc>
          <w:tcPr>
            <w:tcW w:w="113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SｺﾞｼｯｸM" w:hAnsi="HGSｺﾞｼｯｸM" w:eastAsia="HGSｺﾞｼｯｸM"/>
                <w:sz w:val="21"/>
              </w:rPr>
            </w:pPr>
            <w:r>
              <w:rPr>
                <w:rFonts w:hint="eastAsia" w:ascii="HGSｺﾞｼｯｸM" w:hAnsi="HGSｺﾞｼｯｸM" w:eastAsia="HGSｺﾞｼｯｸM"/>
                <w:sz w:val="21"/>
              </w:rPr>
              <w:t>後期</w:t>
            </w:r>
          </w:p>
        </w:tc>
        <w:tc>
          <w:tcPr>
            <w:tcW w:w="113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SｺﾞｼｯｸM" w:hAnsi="HGSｺﾞｼｯｸM" w:eastAsia="HGSｺﾞｼｯｸM"/>
                <w:sz w:val="21"/>
              </w:rPr>
            </w:pPr>
            <w:r>
              <w:rPr>
                <w:rFonts w:hint="eastAsia" w:ascii="HGSｺﾞｼｯｸM" w:hAnsi="HGSｺﾞｼｯｸM" w:eastAsia="HGSｺﾞｼｯｸM"/>
                <w:sz w:val="21"/>
              </w:rPr>
              <w:t>前期</w:t>
            </w:r>
          </w:p>
        </w:tc>
        <w:tc>
          <w:tcPr>
            <w:tcW w:w="113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SｺﾞｼｯｸM" w:hAnsi="HGSｺﾞｼｯｸM" w:eastAsia="HGSｺﾞｼｯｸM"/>
                <w:sz w:val="21"/>
              </w:rPr>
            </w:pPr>
            <w:r>
              <w:rPr>
                <w:rFonts w:hint="eastAsia" w:ascii="HGSｺﾞｼｯｸM" w:hAnsi="HGSｺﾞｼｯｸM" w:eastAsia="HGSｺﾞｼｯｸM"/>
                <w:sz w:val="21"/>
              </w:rPr>
              <w:t>後期</w:t>
            </w:r>
          </w:p>
        </w:tc>
        <w:tc>
          <w:tcPr>
            <w:tcW w:w="113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SｺﾞｼｯｸM" w:hAnsi="HGSｺﾞｼｯｸM" w:eastAsia="HGSｺﾞｼｯｸM"/>
                <w:sz w:val="21"/>
              </w:rPr>
            </w:pPr>
            <w:r>
              <w:rPr>
                <w:rFonts w:hint="eastAsia" w:ascii="HGSｺﾞｼｯｸM" w:hAnsi="HGSｺﾞｼｯｸM" w:eastAsia="HGSｺﾞｼｯｸM"/>
                <w:sz w:val="21"/>
              </w:rPr>
              <w:t>前期</w:t>
            </w:r>
          </w:p>
        </w:tc>
        <w:tc>
          <w:tcPr>
            <w:tcW w:w="113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SｺﾞｼｯｸM" w:hAnsi="HGSｺﾞｼｯｸM" w:eastAsia="HGSｺﾞｼｯｸM"/>
                <w:sz w:val="21"/>
              </w:rPr>
            </w:pPr>
            <w:r>
              <w:rPr>
                <w:rFonts w:hint="eastAsia" w:ascii="HGSｺﾞｼｯｸM" w:hAnsi="HGSｺﾞｼｯｸM" w:eastAsia="HGSｺﾞｼｯｸM"/>
                <w:sz w:val="21"/>
              </w:rPr>
              <w:t>後期</w:t>
            </w:r>
          </w:p>
        </w:tc>
      </w:tr>
      <w:tr>
        <w:trPr>
          <w:trHeight w:val="219" w:hRule="exact"/>
        </w:trPr>
        <w:tc>
          <w:tcPr>
            <w:tcW w:w="1957"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300" w:lineRule="exact"/>
              <w:ind w:left="103"/>
              <w:rPr>
                <w:rFonts w:hint="default" w:ascii="HGSｺﾞｼｯｸM" w:hAnsi="HGSｺﾞｼｯｸM" w:eastAsia="HGSｺﾞｼｯｸM"/>
                <w:sz w:val="21"/>
              </w:rPr>
            </w:pPr>
            <w:r>
              <w:rPr>
                <w:rFonts w:hint="eastAsia" w:ascii="HGSｺﾞｼｯｸM" w:hAnsi="HGSｺﾞｼｯｸM" w:eastAsia="HGSｺﾞｼｯｸM"/>
                <w:sz w:val="21"/>
              </w:rPr>
              <w:t>仮置場設置</w:t>
            </w:r>
          </w:p>
        </w:tc>
        <w:tc>
          <w:tcPr>
            <w:tcW w:w="1116" w:type="dxa"/>
            <w:tcBorders>
              <w:top w:val="single" w:color="000000" w:sz="4" w:space="0"/>
              <w:left w:val="single" w:color="000000" w:sz="4" w:space="0"/>
              <w:bottom w:val="single" w:color="000000" w:sz="48" w:space="0"/>
              <w:right w:val="nil"/>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20" w:type="dxa"/>
            <w:vMerge w:val="restart"/>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3"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SｺﾞｼｯｸM" w:hAnsi="HGSｺﾞｼｯｸM" w:eastAsia="HGSｺﾞｼｯｸM"/>
                <w:sz w:val="21"/>
              </w:rPr>
            </w:pPr>
          </w:p>
        </w:tc>
        <w:tc>
          <w:tcPr>
            <w:tcW w:w="1136"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SｺﾞｼｯｸM" w:hAnsi="HGSｺﾞｼｯｸM" w:eastAsia="HGSｺﾞｼｯｸM"/>
                <w:sz w:val="21"/>
              </w:rPr>
            </w:pPr>
          </w:p>
        </w:tc>
        <w:tc>
          <w:tcPr>
            <w:tcW w:w="1133"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SｺﾞｼｯｸM" w:hAnsi="HGSｺﾞｼｯｸM" w:eastAsia="HGSｺﾞｼｯｸM"/>
                <w:sz w:val="21"/>
              </w:rPr>
            </w:pPr>
          </w:p>
        </w:tc>
        <w:tc>
          <w:tcPr>
            <w:tcW w:w="1136"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SｺﾞｼｯｸM" w:hAnsi="HGSｺﾞｼｯｸM" w:eastAsia="HGSｺﾞｼｯｸM"/>
                <w:sz w:val="21"/>
              </w:rPr>
            </w:pPr>
          </w:p>
        </w:tc>
        <w:tc>
          <w:tcPr>
            <w:tcW w:w="1133"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SｺﾞｼｯｸM" w:hAnsi="HGSｺﾞｼｯｸM" w:eastAsia="HGSｺﾞｼｯｸM"/>
                <w:sz w:val="21"/>
              </w:rPr>
            </w:pPr>
          </w:p>
        </w:tc>
      </w:tr>
      <w:tr>
        <w:trPr>
          <w:trHeight w:val="95" w:hRule="atLeast"/>
        </w:trPr>
        <w:tc>
          <w:tcPr>
            <w:tcW w:w="1957"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SｺﾞｼｯｸM" w:hAnsi="HGSｺﾞｼｯｸM" w:eastAsia="HGSｺﾞｼｯｸM"/>
                <w:sz w:val="21"/>
              </w:rPr>
            </w:pPr>
          </w:p>
        </w:tc>
        <w:tc>
          <w:tcPr>
            <w:tcW w:w="1116" w:type="dxa"/>
            <w:tcBorders>
              <w:top w:val="single" w:color="000000" w:sz="48" w:space="0"/>
              <w:left w:val="single" w:color="000000" w:sz="4" w:space="0"/>
              <w:bottom w:val="single" w:color="000000" w:sz="4" w:space="0"/>
              <w:right w:val="nil"/>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20"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c>
          <w:tcPr>
            <w:tcW w:w="1133"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c>
          <w:tcPr>
            <w:tcW w:w="1136"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c>
          <w:tcPr>
            <w:tcW w:w="1133"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c>
          <w:tcPr>
            <w:tcW w:w="1136"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c>
          <w:tcPr>
            <w:tcW w:w="1133"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r>
      <w:tr>
        <w:trPr>
          <w:trHeight w:val="420" w:hRule="atLeast"/>
        </w:trPr>
        <w:tc>
          <w:tcPr>
            <w:tcW w:w="1957"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276" w:lineRule="auto"/>
              <w:ind w:left="103" w:right="95"/>
              <w:rPr>
                <w:rFonts w:hint="default" w:ascii="HGSｺﾞｼｯｸM" w:hAnsi="HGSｺﾞｼｯｸM" w:eastAsia="HGSｺﾞｼｯｸM"/>
                <w:sz w:val="21"/>
              </w:rPr>
            </w:pPr>
            <w:r>
              <w:rPr>
                <w:rFonts w:hint="eastAsia" w:ascii="HGSｺﾞｼｯｸM" w:hAnsi="HGSｺﾞｼｯｸM" w:eastAsia="HGSｺﾞｼｯｸM"/>
                <w:sz w:val="21"/>
              </w:rPr>
              <w:t>災害廃棄物の搬入</w:t>
            </w:r>
          </w:p>
        </w:tc>
        <w:tc>
          <w:tcPr>
            <w:tcW w:w="1116" w:type="dxa"/>
            <w:vMerge w:val="restart"/>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rPr>
                <w:rFonts w:hint="default" w:ascii="HGPｺﾞｼｯｸM" w:hAnsi="HGPｺﾞｼｯｸM" w:eastAsia="HGPｺﾞｼｯｸM"/>
                <w:sz w:val="21"/>
              </w:rPr>
            </w:pPr>
            <w:r>
              <w:rPr>
                <w:rFonts w:hint="default" w:ascii="HGPｺﾞｼｯｸM" w:hAnsi="HGPｺﾞｼｯｸM" w:eastAsia="HGPｺﾞｼｯｸM"/>
                <w:sz w:val="21"/>
              </w:rPr>
              <mc:AlternateContent>
                <mc:Choice Requires="wps">
                  <w:drawing>
                    <wp:anchor distT="0" distB="0" distL="114300" distR="114300" simplePos="0" relativeHeight="56" behindDoc="0" locked="0" layoutInCell="1" hidden="0" allowOverlap="1">
                      <wp:simplePos x="0" y="0"/>
                      <wp:positionH relativeFrom="column">
                        <wp:posOffset>721360</wp:posOffset>
                      </wp:positionH>
                      <wp:positionV relativeFrom="paragraph">
                        <wp:posOffset>170815</wp:posOffset>
                      </wp:positionV>
                      <wp:extent cx="1423670" cy="62865"/>
                      <wp:effectExtent l="635" t="635" r="29845" b="10795"/>
                      <wp:wrapNone/>
                      <wp:docPr id="1111" name="正方形/長方形 3209"/>
                      <a:graphic xmlns:a="http://schemas.openxmlformats.org/drawingml/2006/main">
                        <a:graphicData uri="http://schemas.microsoft.com/office/word/2010/wordprocessingShape">
                          <wps:wsp>
                            <wps:cNvPr id="1111" name="正方形/長方形 3209"/>
                            <wps:cNvSpPr/>
                            <wps:spPr>
                              <a:xfrm>
                                <a:off x="0" y="0"/>
                                <a:ext cx="1423670" cy="62865"/>
                              </a:xfrm>
                              <a:prstGeom prst="rect">
                                <a:avLst/>
                              </a:prstGeom>
                              <a:solidFill>
                                <a:sysClr val="windowText" lastClr="000000"/>
                              </a:solidFill>
                              <a:ln w="12700" cap="flat" cmpd="sng" algn="ctr">
                                <a:solidFill>
                                  <a:sysClr val="windowText" lastClr="000000"/>
                                </a:solidFill>
                                <a:prstDash val="solid"/>
                                <a:miter lim="800000"/>
                              </a:ln>
                              <a:effectLst/>
                            </wps:spPr>
                            <wps:bodyPr/>
                          </wps:wsp>
                        </a:graphicData>
                      </a:graphic>
                    </wp:anchor>
                  </w:drawing>
                </mc:Choice>
                <mc:Fallback>
                  <w:pict>
                    <v:rect id="正方形/長方形 3209" style="mso-wrap-distance-right:9pt;mso-wrap-distance-bottom:0pt;margin-top:13.45pt;mso-position-vertical-relative:text;mso-position-horizontal-relative:text;position:absolute;height:4.95pt;mso-wrap-distance-top:0pt;width:112.1pt;mso-wrap-distance-left:9pt;margin-left:56.8pt;z-index:56;" o:spid="_x0000_s1111" o:allowincell="t" o:allowoverlap="t" filled="t" fillcolor="#000000" stroked="t" strokecolor="#000000" strokeweight="1pt" o:spt="1">
                      <v:fill/>
                      <v:stroke linestyle="single" miterlimit="8" endcap="flat" dashstyle="solid" filltype="solid"/>
                      <v:textbox style="layout-flow:horizontal;"/>
                      <v:imagedata o:title=""/>
                      <w10:wrap type="none" anchorx="text" anchory="text"/>
                    </v:rect>
                  </w:pict>
                </mc:Fallback>
              </mc:AlternateContent>
            </w:r>
          </w:p>
        </w:tc>
        <w:tc>
          <w:tcPr>
            <w:tcW w:w="20" w:type="dxa"/>
            <w:tcBorders>
              <w:top w:val="single" w:color="000000" w:sz="4" w:space="0"/>
              <w:left w:val="nil"/>
              <w:bottom w:val="nil"/>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3"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6"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3"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6"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3"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r>
      <w:tr>
        <w:trPr>
          <w:trHeight w:val="223" w:hRule="exact"/>
        </w:trPr>
        <w:tc>
          <w:tcPr>
            <w:tcW w:w="1957"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SｺﾞｼｯｸM" w:hAnsi="HGSｺﾞｼｯｸM" w:eastAsia="HGSｺﾞｼｯｸM"/>
                <w:sz w:val="21"/>
              </w:rPr>
            </w:pPr>
          </w:p>
        </w:tc>
        <w:tc>
          <w:tcPr>
            <w:tcW w:w="1116" w:type="dxa"/>
            <w:vMerge w:val="continue"/>
            <w:tcBorders>
              <w:top w:val="single" w:color="000000" w:sz="4" w:space="0"/>
              <w:left w:val="single" w:color="000000" w:sz="4" w:space="0"/>
              <w:bottom w:val="single" w:color="000000" w:sz="4" w:space="0"/>
              <w:right w:val="nil"/>
              <w:tl2br w:val="none" w:color="auto" w:sz="0" w:space="0"/>
              <w:tr2bl w:val="none" w:color="auto" w:sz="0" w:space="0"/>
            </w:tcBorders>
            <w:vAlign w:val="center"/>
          </w:tcPr>
          <w:p>
            <w:pPr>
              <w:pStyle w:val="0"/>
              <w:rPr>
                <w:rFonts w:hint="default" w:ascii="HGPｺﾞｼｯｸM" w:hAnsi="HGPｺﾞｼｯｸM" w:eastAsia="HGPｺﾞｼｯｸM"/>
                <w:sz w:val="21"/>
              </w:rPr>
            </w:pPr>
          </w:p>
        </w:tc>
        <w:tc>
          <w:tcPr>
            <w:tcW w:w="20" w:type="dxa"/>
            <w:tcBorders>
              <w:top w:val="nil"/>
              <w:left w:val="nil"/>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3" w:type="dxa"/>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6" w:type="dxa"/>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3" w:type="dxa"/>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6" w:type="dxa"/>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3"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r>
      <w:tr>
        <w:trPr>
          <w:trHeight w:val="249" w:hRule="atLeast"/>
        </w:trPr>
        <w:tc>
          <w:tcPr>
            <w:tcW w:w="1957"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276" w:lineRule="auto"/>
              <w:ind w:left="103" w:right="95"/>
              <w:rPr>
                <w:rFonts w:hint="default" w:ascii="HGSｺﾞｼｯｸM" w:hAnsi="HGSｺﾞｼｯｸM" w:eastAsia="HGSｺﾞｼｯｸM"/>
                <w:sz w:val="21"/>
              </w:rPr>
            </w:pPr>
            <w:r>
              <w:rPr>
                <w:rFonts w:hint="eastAsia" w:ascii="HGSｺﾞｼｯｸM" w:hAnsi="HGSｺﾞｼｯｸM" w:eastAsia="HGSｺﾞｼｯｸM"/>
                <w:sz w:val="21"/>
              </w:rPr>
              <w:t>災害廃棄物の処理</w:t>
            </w:r>
          </w:p>
        </w:tc>
        <w:tc>
          <w:tcPr>
            <w:tcW w:w="1136" w:type="dxa"/>
            <w:gridSpan w:val="2"/>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line="200" w:lineRule="exact"/>
              <w:rPr>
                <w:rFonts w:hint="default" w:ascii="HGPｺﾞｼｯｸM" w:hAnsi="HGPｺﾞｼｯｸM" w:eastAsia="HGPｺﾞｼｯｸM"/>
                <w:sz w:val="21"/>
              </w:rPr>
            </w:pPr>
          </w:p>
        </w:tc>
        <w:tc>
          <w:tcPr>
            <w:tcW w:w="1133" w:type="dxa"/>
            <w:tcBorders>
              <w:top w:val="single" w:color="000000" w:sz="4" w:space="0"/>
              <w:left w:val="single" w:color="000000" w:sz="4" w:space="0"/>
              <w:bottom w:val="single" w:color="000000" w:sz="48" w:space="0"/>
              <w:right w:val="single" w:color="000000" w:sz="4" w:space="0"/>
              <w:tl2br w:val="none" w:color="auto" w:sz="0" w:space="0"/>
              <w:tr2bl w:val="none" w:color="auto" w:sz="0" w:space="0"/>
            </w:tcBorders>
            <w:vAlign w:val="top"/>
          </w:tcPr>
          <w:p>
            <w:pPr>
              <w:pStyle w:val="0"/>
              <w:spacing w:line="200" w:lineRule="exact"/>
              <w:rPr>
                <w:rFonts w:hint="default" w:ascii="HGPｺﾞｼｯｸM" w:hAnsi="HGPｺﾞｼｯｸM" w:eastAsia="HGPｺﾞｼｯｸM"/>
                <w:sz w:val="21"/>
              </w:rPr>
            </w:pPr>
          </w:p>
        </w:tc>
        <w:tc>
          <w:tcPr>
            <w:tcW w:w="1136" w:type="dxa"/>
            <w:tcBorders>
              <w:top w:val="single" w:color="000000" w:sz="4" w:space="0"/>
              <w:left w:val="single" w:color="000000" w:sz="4" w:space="0"/>
              <w:bottom w:val="single" w:color="000000" w:sz="48" w:space="0"/>
              <w:right w:val="single" w:color="000000" w:sz="4" w:space="0"/>
              <w:tl2br w:val="none" w:color="auto" w:sz="0" w:space="0"/>
              <w:tr2bl w:val="none" w:color="auto" w:sz="0" w:space="0"/>
            </w:tcBorders>
            <w:vAlign w:val="top"/>
          </w:tcPr>
          <w:p>
            <w:pPr>
              <w:pStyle w:val="0"/>
              <w:spacing w:line="200" w:lineRule="exact"/>
              <w:rPr>
                <w:rFonts w:hint="default" w:ascii="HGPｺﾞｼｯｸM" w:hAnsi="HGPｺﾞｼｯｸM" w:eastAsia="HGPｺﾞｼｯｸM"/>
                <w:sz w:val="21"/>
              </w:rPr>
            </w:pPr>
          </w:p>
        </w:tc>
        <w:tc>
          <w:tcPr>
            <w:tcW w:w="1133" w:type="dxa"/>
            <w:tcBorders>
              <w:top w:val="single" w:color="000000" w:sz="4" w:space="0"/>
              <w:left w:val="single" w:color="000000" w:sz="4" w:space="0"/>
              <w:bottom w:val="single" w:color="000000" w:sz="48" w:space="0"/>
              <w:right w:val="single" w:color="000000" w:sz="4" w:space="0"/>
              <w:tl2br w:val="none" w:color="auto" w:sz="0" w:space="0"/>
              <w:tr2bl w:val="none" w:color="auto" w:sz="0" w:space="0"/>
            </w:tcBorders>
            <w:vAlign w:val="top"/>
          </w:tcPr>
          <w:p>
            <w:pPr>
              <w:pStyle w:val="0"/>
              <w:spacing w:line="200" w:lineRule="exact"/>
              <w:rPr>
                <w:rFonts w:hint="default" w:ascii="HGPｺﾞｼｯｸM" w:hAnsi="HGPｺﾞｼｯｸM" w:eastAsia="HGPｺﾞｼｯｸM"/>
                <w:sz w:val="21"/>
              </w:rPr>
            </w:pPr>
          </w:p>
        </w:tc>
        <w:tc>
          <w:tcPr>
            <w:tcW w:w="1136" w:type="dxa"/>
            <w:tcBorders>
              <w:top w:val="single" w:color="000000" w:sz="4" w:space="0"/>
              <w:left w:val="single" w:color="000000" w:sz="4" w:space="0"/>
              <w:bottom w:val="single" w:color="000000" w:sz="48" w:space="0"/>
              <w:right w:val="single" w:color="000000" w:sz="4" w:space="0"/>
              <w:tl2br w:val="none" w:color="auto" w:sz="0" w:space="0"/>
              <w:tr2bl w:val="none" w:color="auto" w:sz="0" w:space="0"/>
            </w:tcBorders>
            <w:vAlign w:val="top"/>
          </w:tcPr>
          <w:p>
            <w:pPr>
              <w:pStyle w:val="0"/>
              <w:spacing w:line="200" w:lineRule="exact"/>
              <w:rPr>
                <w:rFonts w:hint="default" w:ascii="HGPｺﾞｼｯｸM" w:hAnsi="HGPｺﾞｼｯｸM" w:eastAsia="HGPｺﾞｼｯｸM"/>
                <w:sz w:val="21"/>
              </w:rPr>
            </w:pPr>
          </w:p>
        </w:tc>
        <w:tc>
          <w:tcPr>
            <w:tcW w:w="1133"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line="200" w:lineRule="exact"/>
              <w:rPr>
                <w:rFonts w:hint="default" w:ascii="HGPｺﾞｼｯｸM" w:hAnsi="HGPｺﾞｼｯｸM" w:eastAsia="HGPｺﾞｼｯｸM"/>
                <w:sz w:val="21"/>
              </w:rPr>
            </w:pPr>
          </w:p>
        </w:tc>
      </w:tr>
      <w:tr>
        <w:trPr>
          <w:trHeight w:val="286" w:hRule="exact"/>
        </w:trPr>
        <w:tc>
          <w:tcPr>
            <w:tcW w:w="1957"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SｺﾞｼｯｸM" w:hAnsi="HGSｺﾞｼｯｸM" w:eastAsia="HGSｺﾞｼｯｸM"/>
                <w:sz w:val="21"/>
              </w:rPr>
            </w:pPr>
          </w:p>
        </w:tc>
        <w:tc>
          <w:tcPr>
            <w:tcW w:w="1136" w:type="dxa"/>
            <w:gridSpan w:val="2"/>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c>
          <w:tcPr>
            <w:tcW w:w="1133" w:type="dxa"/>
            <w:tcBorders>
              <w:top w:val="single" w:color="000000" w:sz="48"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rPr>
            </w:pPr>
          </w:p>
        </w:tc>
        <w:tc>
          <w:tcPr>
            <w:tcW w:w="1136" w:type="dxa"/>
            <w:tcBorders>
              <w:top w:val="single" w:color="000000" w:sz="48"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3" w:type="dxa"/>
            <w:tcBorders>
              <w:top w:val="single" w:color="000000" w:sz="48"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6" w:type="dxa"/>
            <w:tcBorders>
              <w:top w:val="single" w:color="000000" w:sz="48"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3"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r>
      <w:tr>
        <w:trPr>
          <w:trHeight w:val="291" w:hRule="exact"/>
        </w:trPr>
        <w:tc>
          <w:tcPr>
            <w:tcW w:w="1957"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300" w:lineRule="exact"/>
              <w:ind w:left="103"/>
              <w:rPr>
                <w:rFonts w:hint="default" w:ascii="HGSｺﾞｼｯｸM" w:hAnsi="HGSｺﾞｼｯｸM" w:eastAsia="HGSｺﾞｼｯｸM"/>
                <w:sz w:val="21"/>
              </w:rPr>
            </w:pPr>
            <w:r>
              <w:rPr>
                <w:rFonts w:hint="eastAsia" w:ascii="HGSｺﾞｼｯｸM" w:hAnsi="HGSｺﾞｼｯｸM" w:eastAsia="HGSｺﾞｼｯｸM"/>
                <w:sz w:val="21"/>
              </w:rPr>
              <w:t>仮置場の撤去</w:t>
            </w:r>
          </w:p>
        </w:tc>
        <w:tc>
          <w:tcPr>
            <w:tcW w:w="1136" w:type="dxa"/>
            <w:gridSpan w:val="2"/>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3"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6"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3"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6"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3" w:type="dxa"/>
            <w:tcBorders>
              <w:top w:val="single" w:color="000000" w:sz="4" w:space="0"/>
              <w:left w:val="single" w:color="000000" w:sz="4" w:space="0"/>
              <w:bottom w:val="single" w:color="000000" w:sz="48"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4"/>
              </w:rPr>
            </w:pPr>
          </w:p>
        </w:tc>
      </w:tr>
      <w:tr>
        <w:trPr>
          <w:trHeight w:val="184" w:hRule="atLeast"/>
        </w:trPr>
        <w:tc>
          <w:tcPr>
            <w:tcW w:w="1957"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4"/>
              </w:rPr>
            </w:pPr>
          </w:p>
        </w:tc>
        <w:tc>
          <w:tcPr>
            <w:tcW w:w="1136" w:type="dxa"/>
            <w:gridSpan w:val="2"/>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rPr>
            </w:pPr>
          </w:p>
        </w:tc>
        <w:tc>
          <w:tcPr>
            <w:tcW w:w="1133"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rPr>
            </w:pPr>
          </w:p>
        </w:tc>
        <w:tc>
          <w:tcPr>
            <w:tcW w:w="1136"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rPr>
            </w:pPr>
          </w:p>
        </w:tc>
        <w:tc>
          <w:tcPr>
            <w:tcW w:w="1133"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rPr>
            </w:pPr>
          </w:p>
        </w:tc>
        <w:tc>
          <w:tcPr>
            <w:tcW w:w="1136"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rPr>
            </w:pPr>
          </w:p>
        </w:tc>
        <w:tc>
          <w:tcPr>
            <w:tcW w:w="1133" w:type="dxa"/>
            <w:tcBorders>
              <w:top w:val="single" w:color="000000" w:sz="48"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rPr>
            </w:pPr>
          </w:p>
        </w:tc>
      </w:tr>
    </w:tbl>
    <w:p>
      <w:pPr>
        <w:pStyle w:val="0"/>
        <w:rPr>
          <w:rFonts w:hint="default"/>
        </w:rPr>
      </w:pPr>
    </w:p>
    <w:p>
      <w:pPr>
        <w:pStyle w:val="0"/>
        <w:tabs>
          <w:tab w:val="left" w:leader="none" w:pos="3896"/>
        </w:tabs>
        <w:spacing w:after="43" w:afterLines="0" w:afterAutospacing="0"/>
        <w:jc w:val="center"/>
        <w:rPr>
          <w:rFonts w:hint="default"/>
          <w:sz w:val="21"/>
        </w:rPr>
      </w:pPr>
      <w:r>
        <w:rPr>
          <w:rFonts w:hint="eastAsia"/>
          <w:sz w:val="21"/>
        </w:rPr>
        <w:t>表２６　風水害での処理スケジュール</w:t>
      </w:r>
    </w:p>
    <w:tbl>
      <w:tblPr>
        <w:tblStyle w:val="54"/>
        <w:tblW w:w="876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1957"/>
        <w:gridCol w:w="1116"/>
        <w:gridCol w:w="25"/>
        <w:gridCol w:w="1132"/>
        <w:gridCol w:w="1135"/>
        <w:gridCol w:w="1132"/>
        <w:gridCol w:w="1135"/>
        <w:gridCol w:w="1132"/>
      </w:tblGrid>
      <w:tr>
        <w:trPr>
          <w:trHeight w:val="595" w:hRule="exact"/>
        </w:trPr>
        <w:tc>
          <w:tcPr>
            <w:tcW w:w="1957"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top"/>
          </w:tcPr>
          <w:p>
            <w:pPr>
              <w:pStyle w:val="0"/>
              <w:ind w:left="880"/>
              <w:rPr>
                <w:rFonts w:hint="default" w:ascii="HGPｺﾞｼｯｸM" w:hAnsi="HGPｺﾞｼｯｸM" w:eastAsia="HGPｺﾞｼｯｸM"/>
                <w:sz w:val="21"/>
              </w:rPr>
            </w:pPr>
          </w:p>
          <w:p>
            <w:pPr>
              <w:pStyle w:val="0"/>
              <w:ind w:left="880"/>
              <w:rPr>
                <w:rFonts w:hint="default" w:ascii="HGPｺﾞｼｯｸM" w:hAnsi="HGPｺﾞｼｯｸM" w:eastAsia="HGPｺﾞｼｯｸM"/>
                <w:sz w:val="21"/>
              </w:rPr>
            </w:pPr>
          </w:p>
          <w:p>
            <w:pPr>
              <w:pStyle w:val="0"/>
              <w:spacing w:before="10" w:beforeLines="0" w:beforeAutospacing="0"/>
              <w:ind w:left="880"/>
              <w:rPr>
                <w:rFonts w:hint="default" w:ascii="HGPｺﾞｼｯｸM" w:hAnsi="HGPｺﾞｼｯｸM" w:eastAsia="HGPｺﾞｼｯｸM"/>
                <w:sz w:val="21"/>
              </w:rPr>
            </w:pPr>
          </w:p>
        </w:tc>
        <w:tc>
          <w:tcPr>
            <w:tcW w:w="6807" w:type="dxa"/>
            <w:gridSpan w:val="7"/>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SｺﾞｼｯｸM" w:hAnsi="HGSｺﾞｼｯｸM" w:eastAsia="HGSｺﾞｼｯｸM"/>
                <w:sz w:val="21"/>
              </w:rPr>
            </w:pPr>
            <w:r>
              <w:rPr>
                <w:rFonts w:hint="eastAsia" w:ascii="HGSｺﾞｼｯｸM" w:hAnsi="HGSｺﾞｼｯｸM" w:eastAsia="HGSｺﾞｼｯｸM"/>
                <w:sz w:val="21"/>
              </w:rPr>
              <w:t>１年間</w:t>
            </w:r>
          </w:p>
        </w:tc>
      </w:tr>
      <w:tr>
        <w:trPr>
          <w:trHeight w:val="561" w:hRule="exact"/>
        </w:trPr>
        <w:tc>
          <w:tcPr>
            <w:tcW w:w="1957"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rPr>
                <w:rFonts w:hint="default" w:ascii="HGPｺﾞｼｯｸM" w:hAnsi="HGPｺﾞｼｯｸM" w:eastAsia="HGPｺﾞｼｯｸM"/>
                <w:sz w:val="21"/>
              </w:rPr>
            </w:pPr>
          </w:p>
        </w:tc>
        <w:tc>
          <w:tcPr>
            <w:tcW w:w="1141"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SｺﾞｼｯｸM" w:hAnsi="HGSｺﾞｼｯｸM" w:eastAsia="HGSｺﾞｼｯｸM"/>
                <w:sz w:val="21"/>
              </w:rPr>
            </w:pPr>
            <w:r>
              <w:rPr>
                <w:rFonts w:hint="eastAsia" w:ascii="HGSｺﾞｼｯｸM" w:hAnsi="HGSｺﾞｼｯｸM" w:eastAsia="HGSｺﾞｼｯｸM"/>
                <w:sz w:val="21"/>
              </w:rPr>
              <w:t>1</w:t>
            </w:r>
            <w:r>
              <w:rPr>
                <w:rFonts w:hint="eastAsia" w:ascii="HGSｺﾞｼｯｸM" w:hAnsi="HGSｺﾞｼｯｸM" w:eastAsia="HGSｺﾞｼｯｸM"/>
                <w:sz w:val="21"/>
              </w:rPr>
              <w:t>週間</w:t>
            </w:r>
          </w:p>
        </w:tc>
        <w:tc>
          <w:tcPr>
            <w:tcW w:w="113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SｺﾞｼｯｸM" w:hAnsi="HGSｺﾞｼｯｸM" w:eastAsia="HGSｺﾞｼｯｸM"/>
                <w:sz w:val="21"/>
              </w:rPr>
            </w:pPr>
            <w:r>
              <w:rPr>
                <w:rFonts w:hint="eastAsia" w:ascii="HGSｺﾞｼｯｸM" w:hAnsi="HGSｺﾞｼｯｸM" w:eastAsia="HGSｺﾞｼｯｸM"/>
                <w:sz w:val="21"/>
              </w:rPr>
              <w:t>１ヶ月</w:t>
            </w:r>
          </w:p>
        </w:tc>
        <w:tc>
          <w:tcPr>
            <w:tcW w:w="113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SｺﾞｼｯｸM" w:hAnsi="HGSｺﾞｼｯｸM" w:eastAsia="HGSｺﾞｼｯｸM"/>
                <w:sz w:val="21"/>
              </w:rPr>
            </w:pPr>
            <w:r>
              <w:rPr>
                <w:rFonts w:hint="eastAsia" w:ascii="HGSｺﾞｼｯｸM" w:hAnsi="HGSｺﾞｼｯｸM" w:eastAsia="HGSｺﾞｼｯｸM"/>
                <w:sz w:val="21"/>
              </w:rPr>
              <w:t>３ヶ月</w:t>
            </w:r>
          </w:p>
        </w:tc>
        <w:tc>
          <w:tcPr>
            <w:tcW w:w="113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SｺﾞｼｯｸM" w:hAnsi="HGSｺﾞｼｯｸM" w:eastAsia="HGSｺﾞｼｯｸM"/>
                <w:sz w:val="21"/>
              </w:rPr>
            </w:pPr>
            <w:r>
              <w:rPr>
                <w:rFonts w:hint="eastAsia" w:ascii="HGSｺﾞｼｯｸM" w:hAnsi="HGSｺﾞｼｯｸM" w:eastAsia="HGSｺﾞｼｯｸM"/>
                <w:sz w:val="21"/>
              </w:rPr>
              <w:t>６ヶ月</w:t>
            </w:r>
          </w:p>
        </w:tc>
        <w:tc>
          <w:tcPr>
            <w:tcW w:w="113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SｺﾞｼｯｸM" w:hAnsi="HGSｺﾞｼｯｸM" w:eastAsia="HGSｺﾞｼｯｸM"/>
                <w:sz w:val="21"/>
              </w:rPr>
            </w:pPr>
            <w:r>
              <w:rPr>
                <w:rFonts w:hint="eastAsia" w:ascii="HGSｺﾞｼｯｸM" w:hAnsi="HGSｺﾞｼｯｸM" w:eastAsia="HGSｺﾞｼｯｸM"/>
                <w:sz w:val="21"/>
              </w:rPr>
              <w:t>９ヶ月</w:t>
            </w:r>
          </w:p>
        </w:tc>
        <w:tc>
          <w:tcPr>
            <w:tcW w:w="113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SｺﾞｼｯｸM" w:hAnsi="HGSｺﾞｼｯｸM" w:eastAsia="HGSｺﾞｼｯｸM"/>
                <w:sz w:val="21"/>
              </w:rPr>
            </w:pPr>
            <w:r>
              <w:rPr>
                <w:rFonts w:hint="eastAsia" w:ascii="HGSｺﾞｼｯｸM" w:hAnsi="HGSｺﾞｼｯｸM" w:eastAsia="HGSｺﾞｼｯｸM"/>
                <w:sz w:val="21"/>
              </w:rPr>
              <w:t>１２ヶ月</w:t>
            </w:r>
          </w:p>
        </w:tc>
      </w:tr>
      <w:tr>
        <w:trPr>
          <w:trHeight w:val="219" w:hRule="exact"/>
        </w:trPr>
        <w:tc>
          <w:tcPr>
            <w:tcW w:w="1957"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300" w:lineRule="exact"/>
              <w:ind w:left="103"/>
              <w:rPr>
                <w:rFonts w:hint="default" w:ascii="HGSｺﾞｼｯｸM" w:hAnsi="HGSｺﾞｼｯｸM" w:eastAsia="HGSｺﾞｼｯｸM"/>
                <w:sz w:val="21"/>
              </w:rPr>
            </w:pPr>
            <w:r>
              <w:rPr>
                <w:rFonts w:hint="eastAsia" w:ascii="HGSｺﾞｼｯｸM" w:hAnsi="HGSｺﾞｼｯｸM" w:eastAsia="HGSｺﾞｼｯｸM"/>
                <w:sz w:val="21"/>
              </w:rPr>
              <w:t>仮置場設置</w:t>
            </w:r>
          </w:p>
        </w:tc>
        <w:tc>
          <w:tcPr>
            <w:tcW w:w="1116" w:type="dxa"/>
            <w:tcBorders>
              <w:top w:val="single" w:color="000000" w:sz="4" w:space="0"/>
              <w:left w:val="single" w:color="000000" w:sz="4" w:space="0"/>
              <w:bottom w:val="single" w:color="000000" w:sz="48" w:space="0"/>
              <w:right w:val="nil"/>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25" w:type="dxa"/>
            <w:vMerge w:val="restart"/>
            <w:tcBorders>
              <w:top w:val="single" w:color="000000" w:sz="4" w:space="0"/>
              <w:left w:val="nil"/>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2"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5"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2"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5"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2"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r>
      <w:tr>
        <w:trPr>
          <w:trHeight w:val="95" w:hRule="atLeast"/>
        </w:trPr>
        <w:tc>
          <w:tcPr>
            <w:tcW w:w="1957"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SｺﾞｼｯｸM" w:hAnsi="HGSｺﾞｼｯｸM" w:eastAsia="HGSｺﾞｼｯｸM"/>
                <w:sz w:val="21"/>
              </w:rPr>
            </w:pPr>
          </w:p>
        </w:tc>
        <w:tc>
          <w:tcPr>
            <w:tcW w:w="1116" w:type="dxa"/>
            <w:tcBorders>
              <w:top w:val="single" w:color="000000" w:sz="48" w:space="0"/>
              <w:left w:val="single" w:color="000000" w:sz="4" w:space="0"/>
              <w:bottom w:val="single" w:color="000000" w:sz="4" w:space="0"/>
              <w:right w:val="nil"/>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25" w:type="dxa"/>
            <w:vMerge w:val="continue"/>
            <w:tcBorders>
              <w:top w:val="single" w:color="000000" w:sz="4" w:space="0"/>
              <w:left w:val="nil"/>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c>
          <w:tcPr>
            <w:tcW w:w="1132"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c>
          <w:tcPr>
            <w:tcW w:w="1135"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c>
          <w:tcPr>
            <w:tcW w:w="1132"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c>
          <w:tcPr>
            <w:tcW w:w="1135"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c>
          <w:tcPr>
            <w:tcW w:w="1132"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r>
      <w:tr>
        <w:trPr>
          <w:trHeight w:val="420" w:hRule="atLeast"/>
        </w:trPr>
        <w:tc>
          <w:tcPr>
            <w:tcW w:w="1957"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276" w:lineRule="auto"/>
              <w:ind w:left="103" w:right="95"/>
              <w:rPr>
                <w:rFonts w:hint="default" w:ascii="HGSｺﾞｼｯｸM" w:hAnsi="HGSｺﾞｼｯｸM" w:eastAsia="HGSｺﾞｼｯｸM"/>
                <w:sz w:val="21"/>
              </w:rPr>
            </w:pPr>
            <w:r>
              <w:rPr>
                <w:rFonts w:hint="eastAsia" w:ascii="HGSｺﾞｼｯｸM" w:hAnsi="HGSｺﾞｼｯｸM" w:eastAsia="HGSｺﾞｼｯｸM"/>
                <w:sz w:val="21"/>
              </w:rPr>
              <w:t>災害廃棄物の搬入</w:t>
            </w:r>
          </w:p>
        </w:tc>
        <w:tc>
          <w:tcPr>
            <w:tcW w:w="1116" w:type="dxa"/>
            <w:vMerge w:val="restart"/>
            <w:tcBorders>
              <w:top w:val="single" w:color="000000" w:sz="4" w:space="0"/>
              <w:left w:val="single" w:color="000000" w:sz="4" w:space="0"/>
              <w:bottom w:val="single" w:color="000000" w:sz="4" w:space="0"/>
              <w:right w:val="nil"/>
              <w:tl2br w:val="none" w:color="auto" w:sz="0" w:space="0"/>
              <w:tr2bl w:val="none" w:color="auto" w:sz="0" w:space="0"/>
            </w:tcBorders>
            <w:vAlign w:val="top"/>
          </w:tcPr>
          <w:p>
            <w:pPr>
              <w:pStyle w:val="0"/>
              <w:rPr>
                <w:rFonts w:hint="default" w:ascii="HGPｺﾞｼｯｸM" w:hAnsi="HGPｺﾞｼｯｸM" w:eastAsia="HGPｺﾞｼｯｸM"/>
                <w:sz w:val="21"/>
              </w:rPr>
            </w:pPr>
            <w:r>
              <w:rPr>
                <w:rFonts w:hint="default" w:ascii="HGPｺﾞｼｯｸM" w:hAnsi="HGPｺﾞｼｯｸM" w:eastAsia="HGPｺﾞｼｯｸM"/>
                <w:sz w:val="21"/>
              </w:rPr>
              <mc:AlternateContent>
                <mc:Choice Requires="wps">
                  <w:drawing>
                    <wp:anchor distT="0" distB="0" distL="114300" distR="114300" simplePos="0" relativeHeight="63" behindDoc="0" locked="0" layoutInCell="1" hidden="0" allowOverlap="1">
                      <wp:simplePos x="0" y="0"/>
                      <wp:positionH relativeFrom="column">
                        <wp:posOffset>721360</wp:posOffset>
                      </wp:positionH>
                      <wp:positionV relativeFrom="paragraph">
                        <wp:posOffset>170815</wp:posOffset>
                      </wp:positionV>
                      <wp:extent cx="1423670" cy="62865"/>
                      <wp:effectExtent l="635" t="635" r="29845" b="10795"/>
                      <wp:wrapNone/>
                      <wp:docPr id="1112" name="正方形/長方形 2916"/>
                      <a:graphic xmlns:a="http://schemas.openxmlformats.org/drawingml/2006/main">
                        <a:graphicData uri="http://schemas.microsoft.com/office/word/2010/wordprocessingShape">
                          <wps:wsp>
                            <wps:cNvPr id="1112" name="正方形/長方形 2916"/>
                            <wps:cNvSpPr/>
                            <wps:spPr>
                              <a:xfrm>
                                <a:off x="0" y="0"/>
                                <a:ext cx="1423670" cy="62865"/>
                              </a:xfrm>
                              <a:prstGeom prst="rect">
                                <a:avLst/>
                              </a:prstGeom>
                              <a:solidFill>
                                <a:sysClr val="windowText" lastClr="000000"/>
                              </a:solidFill>
                              <a:ln w="12700" cap="flat" cmpd="sng" algn="ctr">
                                <a:solidFill>
                                  <a:sysClr val="windowText" lastClr="000000"/>
                                </a:solidFill>
                                <a:prstDash val="solid"/>
                                <a:miter lim="800000"/>
                              </a:ln>
                              <a:effectLst/>
                            </wps:spPr>
                            <wps:bodyPr/>
                          </wps:wsp>
                        </a:graphicData>
                      </a:graphic>
                    </wp:anchor>
                  </w:drawing>
                </mc:Choice>
                <mc:Fallback>
                  <w:pict>
                    <v:rect id="正方形/長方形 2916" style="mso-wrap-distance-right:9pt;mso-wrap-distance-bottom:0pt;margin-top:13.45pt;mso-position-vertical-relative:text;mso-position-horizontal-relative:text;position:absolute;height:4.95pt;mso-wrap-distance-top:0pt;width:112.1pt;mso-wrap-distance-left:9pt;margin-left:56.8pt;z-index:63;" o:spid="_x0000_s1112" o:allowincell="t" o:allowoverlap="t" filled="t" fillcolor="#000000" stroked="t" strokecolor="#000000" strokeweight="1pt" o:spt="1">
                      <v:fill/>
                      <v:stroke linestyle="single" miterlimit="8" endcap="flat" dashstyle="solid" filltype="solid"/>
                      <v:textbox style="layout-flow:horizontal;"/>
                      <v:imagedata o:title=""/>
                      <w10:wrap type="none" anchorx="text" anchory="text"/>
                    </v:rect>
                  </w:pict>
                </mc:Fallback>
              </mc:AlternateContent>
            </w:r>
          </w:p>
        </w:tc>
        <w:tc>
          <w:tcPr>
            <w:tcW w:w="25" w:type="dxa"/>
            <w:tcBorders>
              <w:top w:val="single" w:color="000000" w:sz="4" w:space="0"/>
              <w:left w:val="nil"/>
              <w:bottom w:val="nil"/>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2"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5"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2"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5" w:type="dxa"/>
            <w:tcBorders>
              <w:top w:val="single" w:color="000000" w:sz="4" w:space="0"/>
              <w:left w:val="single" w:color="000000" w:sz="4" w:space="0"/>
              <w:bottom w:val="nil"/>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2"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r>
      <w:tr>
        <w:trPr>
          <w:trHeight w:val="223" w:hRule="exact"/>
        </w:trPr>
        <w:tc>
          <w:tcPr>
            <w:tcW w:w="1957"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SｺﾞｼｯｸM" w:hAnsi="HGSｺﾞｼｯｸM" w:eastAsia="HGSｺﾞｼｯｸM"/>
                <w:sz w:val="21"/>
              </w:rPr>
            </w:pPr>
          </w:p>
        </w:tc>
        <w:tc>
          <w:tcPr>
            <w:tcW w:w="1116" w:type="dxa"/>
            <w:vMerge w:val="continue"/>
            <w:tcBorders>
              <w:top w:val="single" w:color="000000" w:sz="4" w:space="0"/>
              <w:left w:val="single" w:color="000000" w:sz="4" w:space="0"/>
              <w:bottom w:val="single" w:color="000000" w:sz="4" w:space="0"/>
              <w:right w:val="nil"/>
              <w:tl2br w:val="none" w:color="auto" w:sz="0" w:space="0"/>
              <w:tr2bl w:val="none" w:color="auto" w:sz="0" w:space="0"/>
            </w:tcBorders>
            <w:vAlign w:val="center"/>
          </w:tcPr>
          <w:p>
            <w:pPr>
              <w:pStyle w:val="0"/>
              <w:rPr>
                <w:rFonts w:hint="default" w:ascii="HGPｺﾞｼｯｸM" w:hAnsi="HGPｺﾞｼｯｸM" w:eastAsia="HGPｺﾞｼｯｸM"/>
                <w:sz w:val="21"/>
              </w:rPr>
            </w:pPr>
          </w:p>
        </w:tc>
        <w:tc>
          <w:tcPr>
            <w:tcW w:w="25" w:type="dxa"/>
            <w:tcBorders>
              <w:top w:val="nil"/>
              <w:left w:val="nil"/>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2" w:type="dxa"/>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5" w:type="dxa"/>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2" w:type="dxa"/>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5" w:type="dxa"/>
            <w:tcBorders>
              <w:top w:val="nil"/>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2"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r>
      <w:tr>
        <w:trPr>
          <w:trHeight w:val="249" w:hRule="atLeast"/>
        </w:trPr>
        <w:tc>
          <w:tcPr>
            <w:tcW w:w="1957"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276" w:lineRule="auto"/>
              <w:ind w:left="103" w:right="95"/>
              <w:rPr>
                <w:rFonts w:hint="default" w:ascii="HGSｺﾞｼｯｸM" w:hAnsi="HGSｺﾞｼｯｸM" w:eastAsia="HGSｺﾞｼｯｸM"/>
                <w:sz w:val="21"/>
              </w:rPr>
            </w:pPr>
            <w:r>
              <w:rPr>
                <w:rFonts w:hint="eastAsia" w:ascii="HGSｺﾞｼｯｸM" w:hAnsi="HGSｺﾞｼｯｸM" w:eastAsia="HGSｺﾞｼｯｸM"/>
                <w:sz w:val="21"/>
              </w:rPr>
              <w:t>災害廃棄物の処理</w:t>
            </w:r>
          </w:p>
        </w:tc>
        <w:tc>
          <w:tcPr>
            <w:tcW w:w="1141" w:type="dxa"/>
            <w:gridSpan w:val="2"/>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line="200" w:lineRule="exact"/>
              <w:rPr>
                <w:rFonts w:hint="default" w:ascii="HGPｺﾞｼｯｸM" w:hAnsi="HGPｺﾞｼｯｸM" w:eastAsia="HGPｺﾞｼｯｸM"/>
                <w:sz w:val="21"/>
              </w:rPr>
            </w:pPr>
          </w:p>
        </w:tc>
        <w:tc>
          <w:tcPr>
            <w:tcW w:w="1132" w:type="dxa"/>
            <w:tcBorders>
              <w:top w:val="single" w:color="000000" w:sz="4" w:space="0"/>
              <w:left w:val="single" w:color="000000" w:sz="4" w:space="0"/>
              <w:bottom w:val="single" w:color="000000" w:sz="48" w:space="0"/>
              <w:right w:val="single" w:color="000000" w:sz="4" w:space="0"/>
              <w:tl2br w:val="none" w:color="auto" w:sz="0" w:space="0"/>
              <w:tr2bl w:val="none" w:color="auto" w:sz="0" w:space="0"/>
            </w:tcBorders>
            <w:vAlign w:val="top"/>
          </w:tcPr>
          <w:p>
            <w:pPr>
              <w:pStyle w:val="0"/>
              <w:spacing w:line="200" w:lineRule="exact"/>
              <w:rPr>
                <w:rFonts w:hint="default" w:ascii="HGPｺﾞｼｯｸM" w:hAnsi="HGPｺﾞｼｯｸM" w:eastAsia="HGPｺﾞｼｯｸM"/>
                <w:sz w:val="21"/>
              </w:rPr>
            </w:pPr>
          </w:p>
        </w:tc>
        <w:tc>
          <w:tcPr>
            <w:tcW w:w="1135" w:type="dxa"/>
            <w:tcBorders>
              <w:top w:val="single" w:color="000000" w:sz="4" w:space="0"/>
              <w:left w:val="single" w:color="000000" w:sz="4" w:space="0"/>
              <w:bottom w:val="single" w:color="000000" w:sz="48" w:space="0"/>
              <w:right w:val="single" w:color="000000" w:sz="4" w:space="0"/>
              <w:tl2br w:val="none" w:color="auto" w:sz="0" w:space="0"/>
              <w:tr2bl w:val="none" w:color="auto" w:sz="0" w:space="0"/>
            </w:tcBorders>
            <w:vAlign w:val="top"/>
          </w:tcPr>
          <w:p>
            <w:pPr>
              <w:pStyle w:val="0"/>
              <w:spacing w:line="200" w:lineRule="exact"/>
              <w:rPr>
                <w:rFonts w:hint="default" w:ascii="HGPｺﾞｼｯｸM" w:hAnsi="HGPｺﾞｼｯｸM" w:eastAsia="HGPｺﾞｼｯｸM"/>
                <w:sz w:val="21"/>
              </w:rPr>
            </w:pPr>
          </w:p>
        </w:tc>
        <w:tc>
          <w:tcPr>
            <w:tcW w:w="1132" w:type="dxa"/>
            <w:tcBorders>
              <w:top w:val="single" w:color="000000" w:sz="4" w:space="0"/>
              <w:left w:val="single" w:color="000000" w:sz="4" w:space="0"/>
              <w:bottom w:val="single" w:color="000000" w:sz="48" w:space="0"/>
              <w:right w:val="single" w:color="000000" w:sz="4" w:space="0"/>
              <w:tl2br w:val="none" w:color="auto" w:sz="0" w:space="0"/>
              <w:tr2bl w:val="none" w:color="auto" w:sz="0" w:space="0"/>
            </w:tcBorders>
            <w:vAlign w:val="top"/>
          </w:tcPr>
          <w:p>
            <w:pPr>
              <w:pStyle w:val="0"/>
              <w:spacing w:line="200" w:lineRule="exact"/>
              <w:rPr>
                <w:rFonts w:hint="default" w:ascii="HGPｺﾞｼｯｸM" w:hAnsi="HGPｺﾞｼｯｸM" w:eastAsia="HGPｺﾞｼｯｸM"/>
                <w:sz w:val="21"/>
              </w:rPr>
            </w:pPr>
          </w:p>
        </w:tc>
        <w:tc>
          <w:tcPr>
            <w:tcW w:w="1135" w:type="dxa"/>
            <w:tcBorders>
              <w:top w:val="single" w:color="000000" w:sz="4" w:space="0"/>
              <w:left w:val="single" w:color="000000" w:sz="4" w:space="0"/>
              <w:bottom w:val="single" w:color="000000" w:sz="48" w:space="0"/>
              <w:right w:val="single" w:color="000000" w:sz="4" w:space="0"/>
              <w:tl2br w:val="none" w:color="auto" w:sz="0" w:space="0"/>
              <w:tr2bl w:val="none" w:color="auto" w:sz="0" w:space="0"/>
            </w:tcBorders>
            <w:vAlign w:val="top"/>
          </w:tcPr>
          <w:p>
            <w:pPr>
              <w:pStyle w:val="0"/>
              <w:spacing w:line="200" w:lineRule="exact"/>
              <w:rPr>
                <w:rFonts w:hint="default" w:ascii="HGPｺﾞｼｯｸM" w:hAnsi="HGPｺﾞｼｯｸM" w:eastAsia="HGPｺﾞｼｯｸM"/>
                <w:sz w:val="21"/>
              </w:rPr>
            </w:pPr>
          </w:p>
        </w:tc>
        <w:tc>
          <w:tcPr>
            <w:tcW w:w="1132"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spacing w:line="200" w:lineRule="exact"/>
              <w:rPr>
                <w:rFonts w:hint="default" w:ascii="HGPｺﾞｼｯｸM" w:hAnsi="HGPｺﾞｼｯｸM" w:eastAsia="HGPｺﾞｼｯｸM"/>
                <w:sz w:val="21"/>
              </w:rPr>
            </w:pPr>
          </w:p>
        </w:tc>
      </w:tr>
      <w:tr>
        <w:trPr>
          <w:trHeight w:val="286" w:hRule="exact"/>
        </w:trPr>
        <w:tc>
          <w:tcPr>
            <w:tcW w:w="1957"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SｺﾞｼｯｸM" w:hAnsi="HGSｺﾞｼｯｸM" w:eastAsia="HGSｺﾞｼｯｸM"/>
                <w:sz w:val="21"/>
              </w:rPr>
            </w:pPr>
          </w:p>
        </w:tc>
        <w:tc>
          <w:tcPr>
            <w:tcW w:w="1141" w:type="dxa"/>
            <w:gridSpan w:val="2"/>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c>
          <w:tcPr>
            <w:tcW w:w="1132" w:type="dxa"/>
            <w:tcBorders>
              <w:top w:val="single" w:color="000000" w:sz="48"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rPr>
            </w:pPr>
          </w:p>
        </w:tc>
        <w:tc>
          <w:tcPr>
            <w:tcW w:w="1135" w:type="dxa"/>
            <w:tcBorders>
              <w:top w:val="single" w:color="000000" w:sz="48"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2" w:type="dxa"/>
            <w:tcBorders>
              <w:top w:val="single" w:color="000000" w:sz="48"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5" w:type="dxa"/>
            <w:tcBorders>
              <w:top w:val="single" w:color="000000" w:sz="48"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2"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1"/>
              </w:rPr>
            </w:pPr>
          </w:p>
        </w:tc>
      </w:tr>
      <w:tr>
        <w:trPr>
          <w:trHeight w:val="291" w:hRule="exact"/>
        </w:trPr>
        <w:tc>
          <w:tcPr>
            <w:tcW w:w="1957"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300" w:lineRule="exact"/>
              <w:ind w:left="103"/>
              <w:rPr>
                <w:rFonts w:hint="default" w:ascii="HGSｺﾞｼｯｸM" w:hAnsi="HGSｺﾞｼｯｸM" w:eastAsia="HGSｺﾞｼｯｸM"/>
                <w:sz w:val="21"/>
              </w:rPr>
            </w:pPr>
            <w:r>
              <w:rPr>
                <w:rFonts w:hint="eastAsia" w:ascii="HGSｺﾞｼｯｸM" w:hAnsi="HGSｺﾞｼｯｸM" w:eastAsia="HGSｺﾞｼｯｸM"/>
                <w:sz w:val="21"/>
              </w:rPr>
              <w:t>仮置場の撤去</w:t>
            </w:r>
          </w:p>
        </w:tc>
        <w:tc>
          <w:tcPr>
            <w:tcW w:w="1141" w:type="dxa"/>
            <w:gridSpan w:val="2"/>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2"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5"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2"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5" w:type="dxa"/>
            <w:vMerge w:val="restart"/>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1"/>
              </w:rPr>
            </w:pPr>
          </w:p>
        </w:tc>
        <w:tc>
          <w:tcPr>
            <w:tcW w:w="1132" w:type="dxa"/>
            <w:tcBorders>
              <w:top w:val="single" w:color="000000" w:sz="4" w:space="0"/>
              <w:left w:val="single" w:color="000000" w:sz="4" w:space="0"/>
              <w:bottom w:val="single" w:color="000000" w:sz="48"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sz w:val="24"/>
              </w:rPr>
            </w:pPr>
          </w:p>
        </w:tc>
      </w:tr>
      <w:tr>
        <w:trPr>
          <w:trHeight w:val="184" w:hRule="atLeast"/>
        </w:trPr>
        <w:tc>
          <w:tcPr>
            <w:tcW w:w="1957"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sz w:val="24"/>
              </w:rPr>
            </w:pPr>
          </w:p>
        </w:tc>
        <w:tc>
          <w:tcPr>
            <w:tcW w:w="1141" w:type="dxa"/>
            <w:gridSpan w:val="2"/>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rPr>
            </w:pPr>
          </w:p>
        </w:tc>
        <w:tc>
          <w:tcPr>
            <w:tcW w:w="1132"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rPr>
            </w:pPr>
          </w:p>
        </w:tc>
        <w:tc>
          <w:tcPr>
            <w:tcW w:w="1135"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rPr>
            </w:pPr>
          </w:p>
        </w:tc>
        <w:tc>
          <w:tcPr>
            <w:tcW w:w="1132"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rPr>
            </w:pPr>
          </w:p>
        </w:tc>
        <w:tc>
          <w:tcPr>
            <w:tcW w:w="1135" w:type="dxa"/>
            <w:vMerge w:val="continue"/>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rPr>
                <w:rFonts w:hint="default" w:ascii="HGPｺﾞｼｯｸM" w:hAnsi="HGPｺﾞｼｯｸM" w:eastAsia="HGPｺﾞｼｯｸM"/>
              </w:rPr>
            </w:pPr>
          </w:p>
        </w:tc>
        <w:tc>
          <w:tcPr>
            <w:tcW w:w="1132" w:type="dxa"/>
            <w:tcBorders>
              <w:top w:val="single" w:color="000000" w:sz="48" w:space="0"/>
              <w:left w:val="single" w:color="000000" w:sz="4" w:space="0"/>
              <w:bottom w:val="single" w:color="000000" w:sz="4" w:space="0"/>
              <w:right w:val="single" w:color="000000" w:sz="4" w:space="0"/>
              <w:tl2br w:val="none" w:color="auto" w:sz="0" w:space="0"/>
              <w:tr2bl w:val="none" w:color="auto" w:sz="0" w:space="0"/>
            </w:tcBorders>
            <w:vAlign w:val="top"/>
          </w:tcPr>
          <w:p>
            <w:pPr>
              <w:pStyle w:val="0"/>
              <w:rPr>
                <w:rFonts w:hint="default" w:ascii="HGPｺﾞｼｯｸM" w:hAnsi="HGPｺﾞｼｯｸM" w:eastAsia="HGPｺﾞｼｯｸM"/>
              </w:rPr>
            </w:pPr>
          </w:p>
        </w:tc>
      </w:tr>
    </w:tbl>
    <w:p>
      <w:pPr>
        <w:pStyle w:val="0"/>
        <w:keepNext w:val="1"/>
        <w:outlineLvl w:val="2"/>
        <w:rPr>
          <w:rFonts w:hint="default"/>
          <w:b w:val="0"/>
          <w:u w:val="none" w:color="auto"/>
        </w:rPr>
      </w:pPr>
      <w:bookmarkStart w:id="48" w:name="_Toc27146515"/>
      <w:bookmarkStart w:id="49" w:name="_Toc60838761"/>
      <w:r>
        <w:rPr>
          <w:rFonts w:hint="eastAsia"/>
          <w:b w:val="0"/>
          <w:u w:val="none" w:color="auto"/>
        </w:rPr>
        <w:t>（４）片付けごみの回収</w:t>
      </w:r>
    </w:p>
    <w:p>
      <w:pPr>
        <w:pStyle w:val="0"/>
        <w:spacing w:before="46" w:beforeLines="0" w:beforeAutospacing="0"/>
        <w:rPr>
          <w:rFonts w:hint="default"/>
          <w:b w:val="0"/>
          <w:sz w:val="21"/>
          <w:u w:val="none" w:color="auto"/>
        </w:rPr>
      </w:pPr>
      <w:r>
        <w:rPr>
          <w:rFonts w:hint="eastAsia"/>
          <w:b w:val="0"/>
          <w:sz w:val="21"/>
          <w:u w:val="none" w:color="auto"/>
        </w:rPr>
        <w:t>１）片付けごみの回収戦略</w:t>
      </w:r>
    </w:p>
    <w:p>
      <w:pPr>
        <w:pStyle w:val="0"/>
        <w:spacing w:before="46" w:beforeLines="0" w:beforeAutospacing="0" w:line="276" w:lineRule="auto"/>
        <w:ind w:left="430" w:leftChars="100" w:right="114" w:rightChars="0" w:hanging="210" w:hangingChars="100"/>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◆災害の種類によって片付けごみの排出時期は異なるが、水害の場合は水が引いた直後からすぐに自宅の片付けが開始されることから、すぐに片付けごみが排出される。</w:t>
      </w:r>
    </w:p>
    <w:p>
      <w:pPr>
        <w:pStyle w:val="0"/>
        <w:spacing w:before="46" w:beforeLines="0" w:beforeAutospacing="0" w:line="276" w:lineRule="auto"/>
        <w:ind w:left="430" w:leftChars="100" w:right="114" w:rightChars="0" w:hanging="210" w:hangingChars="100"/>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◆片付けごみは本町が設置・管理する仮置場へ町民にできるだけ搬入してもらうものとし、発災直後から仮置場を設置する。片付けごみのステーション回収は行わない。</w:t>
      </w:r>
    </w:p>
    <w:p>
      <w:pPr>
        <w:pStyle w:val="0"/>
        <w:spacing w:before="46" w:beforeLines="0" w:beforeAutospacing="0" w:line="276" w:lineRule="auto"/>
        <w:ind w:left="430" w:leftChars="100" w:right="114" w:rightChars="0" w:hanging="210" w:hangingChars="100"/>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◆ごみ出しができない高齢者等の災害弱者に対しては、道路際の自宅敷地内に排出してもらい、災害ボランティアによる支援や状況に応じて本町による個別回収を検討する。</w:t>
      </w:r>
    </w:p>
    <w:p>
      <w:pPr>
        <w:pStyle w:val="0"/>
        <w:spacing w:before="46" w:beforeLines="0" w:beforeAutospacing="0" w:line="276" w:lineRule="auto"/>
        <w:ind w:leftChars="0" w:right="114" w:rightChars="0" w:firstLine="0" w:firstLineChars="0"/>
        <w:rPr>
          <w:rFonts w:hint="default" w:ascii="ＭＳ 明朝" w:hAnsi="ＭＳ 明朝" w:eastAsia="ＭＳ 明朝"/>
          <w:b w:val="0"/>
          <w:sz w:val="21"/>
          <w:u w:val="none" w:color="auto"/>
        </w:rPr>
      </w:pPr>
    </w:p>
    <w:p>
      <w:pPr>
        <w:pStyle w:val="0"/>
        <w:spacing w:before="46" w:beforeLines="0" w:beforeAutospacing="0" w:line="276" w:lineRule="auto"/>
        <w:ind w:leftChars="0" w:right="114" w:rightChars="0" w:firstLine="0" w:firstLineChars="0"/>
        <w:rPr>
          <w:rFonts w:hint="default" w:ascii="ＭＳ 明朝" w:hAnsi="ＭＳ 明朝" w:eastAsia="ＭＳ 明朝"/>
          <w:b w:val="0"/>
          <w:sz w:val="21"/>
          <w:u w:val="none" w:color="auto"/>
        </w:rPr>
      </w:pPr>
      <w:r>
        <w:rPr>
          <w:rFonts w:hint="eastAsia" w:ascii="ＭＳ ゴシック" w:hAnsi="ＭＳ ゴシック" w:eastAsia="ＭＳ ゴシック"/>
          <w:b w:val="0"/>
          <w:sz w:val="21"/>
          <w:u w:val="none" w:color="auto"/>
        </w:rPr>
        <w:t>２）無管理の集積所の対応方法</w:t>
      </w:r>
    </w:p>
    <w:p>
      <w:pPr>
        <w:pStyle w:val="0"/>
        <w:spacing w:before="46" w:beforeLines="0" w:beforeAutospacing="0" w:line="276" w:lineRule="auto"/>
        <w:ind w:left="0" w:leftChars="0" w:right="114" w:rightChars="0" w:hanging="420" w:hangingChars="200"/>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　◆住民や収集運搬業者等から発生場所についての情報を収集し、可能な限り早期に早急に回収する。早期に回収が困難な場合は、地域住民に分別管理を依頼する。</w:t>
      </w:r>
    </w:p>
    <w:p>
      <w:pPr>
        <w:pStyle w:val="0"/>
        <w:spacing w:before="46" w:beforeLines="0" w:beforeAutospacing="0" w:line="276" w:lineRule="auto"/>
        <w:ind w:left="0" w:leftChars="0" w:right="114" w:rightChars="0" w:hanging="420" w:hangingChars="200"/>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　◆無管理の集積所からの搬出が完了したら、本町が指定する排出場所の広報を行い、新たな侵入・排出を避けるため三角コーンやロープで搬出が完了した集積所を囲い、閉鎖する。</w:t>
      </w:r>
    </w:p>
    <w:p>
      <w:pPr>
        <w:pStyle w:val="0"/>
        <w:spacing w:before="46" w:beforeLines="0" w:beforeAutospacing="0" w:line="276" w:lineRule="auto"/>
        <w:ind w:leftChars="0" w:right="114" w:rightChars="0" w:firstLine="0" w:firstLineChars="0"/>
        <w:rPr>
          <w:rFonts w:hint="eastAsia" w:ascii="ＭＳ 明朝" w:hAnsi="ＭＳ 明朝" w:eastAsia="ＭＳ 明朝"/>
          <w:b w:val="0"/>
          <w:sz w:val="21"/>
          <w:u w:val="none" w:color="auto"/>
        </w:rPr>
      </w:pPr>
    </w:p>
    <w:p>
      <w:pPr>
        <w:pStyle w:val="0"/>
        <w:keepNext w:val="1"/>
        <w:outlineLvl w:val="2"/>
        <w:rPr>
          <w:rFonts w:hint="default"/>
        </w:rPr>
      </w:pPr>
      <w:r>
        <w:rPr>
          <w:rFonts w:hint="eastAsia"/>
        </w:rPr>
        <w:t>（５）仮置場</w:t>
      </w:r>
      <w:bookmarkEnd w:id="48"/>
      <w:bookmarkEnd w:id="49"/>
    </w:p>
    <w:p>
      <w:pPr>
        <w:pStyle w:val="0"/>
        <w:spacing w:before="46" w:beforeLines="0" w:beforeAutospacing="0"/>
        <w:rPr>
          <w:rFonts w:hint="default"/>
          <w:sz w:val="21"/>
        </w:rPr>
      </w:pPr>
      <w:r>
        <w:rPr>
          <w:rFonts w:hint="eastAsia"/>
          <w:sz w:val="21"/>
        </w:rPr>
        <w:t>１）仮置場候補地の選定</w:t>
      </w:r>
    </w:p>
    <w:p>
      <w:pPr>
        <w:pStyle w:val="0"/>
        <w:spacing w:before="46" w:beforeLines="0" w:beforeAutospacing="0" w:line="276" w:lineRule="auto"/>
        <w:ind w:right="114" w:firstLine="210" w:firstLineChars="100"/>
        <w:rPr>
          <w:rFonts w:hint="default" w:ascii="ＭＳ 明朝" w:hAnsi="ＭＳ 明朝" w:eastAsia="ＭＳ 明朝"/>
          <w:sz w:val="21"/>
        </w:rPr>
      </w:pPr>
      <w:r>
        <w:rPr>
          <w:rFonts w:hint="eastAsia" w:ascii="ＭＳ 明朝" w:hAnsi="ＭＳ 明朝" w:eastAsia="ＭＳ 明朝"/>
          <w:sz w:val="21"/>
        </w:rPr>
        <w:t>災害廃棄物により生活環境に支障が生じないようにするためには、発災後、速やかに仮置場を設置し、生活圏から災害廃棄物を撤去することが重要である。災害廃棄物は膨大な量になることが見込まれることから、直接処理施設への搬入が困難となることが想定されるため、仮置場を設置するものとし、平常時にその候補地を選定する。</w:t>
      </w:r>
    </w:p>
    <w:p>
      <w:pPr>
        <w:pStyle w:val="0"/>
        <w:spacing w:before="46" w:beforeLines="0" w:beforeAutospacing="0" w:line="276" w:lineRule="auto"/>
        <w:ind w:right="114" w:firstLine="210" w:firstLineChars="100"/>
        <w:rPr>
          <w:rFonts w:hint="default" w:ascii="ＭＳ 明朝" w:hAnsi="ＭＳ 明朝" w:eastAsia="ＭＳ 明朝"/>
          <w:sz w:val="21"/>
        </w:rPr>
      </w:pPr>
      <w:r>
        <w:rPr>
          <w:rFonts w:hint="eastAsia" w:ascii="ＭＳ 明朝" w:hAnsi="ＭＳ 明朝" w:eastAsia="ＭＳ 明朝"/>
          <w:sz w:val="21"/>
        </w:rPr>
        <w:t>本町における仮置場候補地は現在検討中である。災害発生時に不足が生じる場合は県有地、国有地について利用を検討し、県、国に支援を要請する。本計画で想定した災害の仮置場必要面積を表２７に示す。</w:t>
      </w:r>
    </w:p>
    <w:p>
      <w:pPr>
        <w:pStyle w:val="0"/>
        <w:spacing w:before="1" w:beforeLines="0" w:beforeAutospacing="0"/>
        <w:rPr>
          <w:rFonts w:hint="default" w:ascii="ＭＳ 明朝" w:hAnsi="ＭＳ 明朝" w:eastAsia="ＭＳ 明朝"/>
          <w:sz w:val="21"/>
        </w:rPr>
      </w:pPr>
    </w:p>
    <w:p>
      <w:pPr>
        <w:pStyle w:val="0"/>
        <w:spacing w:before="1" w:beforeLines="0" w:beforeAutospacing="0"/>
        <w:ind w:left="358"/>
        <w:rPr>
          <w:rFonts w:hint="default" w:ascii="ＭＳ 明朝" w:hAnsi="ＭＳ 明朝" w:eastAsia="ＭＳ 明朝"/>
          <w:sz w:val="21"/>
        </w:rPr>
      </w:pPr>
    </w:p>
    <w:p>
      <w:pPr>
        <w:pStyle w:val="0"/>
        <w:spacing w:before="1" w:beforeLines="0" w:beforeAutospacing="0"/>
        <w:ind w:left="358"/>
        <w:rPr>
          <w:rFonts w:hint="default"/>
          <w:sz w:val="21"/>
        </w:rPr>
      </w:pPr>
      <w:r>
        <w:rPr>
          <w:rFonts w:hint="eastAsia" w:ascii="ＭＳ 明朝" w:hAnsi="ＭＳ 明朝" w:eastAsia="ＭＳ 明朝"/>
          <w:sz w:val="21"/>
        </w:rPr>
        <mc:AlternateContent>
          <mc:Choice Requires="wps">
            <w:drawing>
              <wp:anchor distT="0" distB="0" distL="0" distR="0" simplePos="0" relativeHeight="58" behindDoc="0" locked="0" layoutInCell="1" hidden="0" allowOverlap="1">
                <wp:simplePos x="0" y="0"/>
                <wp:positionH relativeFrom="margin">
                  <wp:align>center</wp:align>
                </wp:positionH>
                <wp:positionV relativeFrom="paragraph">
                  <wp:posOffset>208280</wp:posOffset>
                </wp:positionV>
                <wp:extent cx="5312410" cy="3140710"/>
                <wp:effectExtent l="635" t="635" r="29845" b="10795"/>
                <wp:wrapTopAndBottom/>
                <wp:docPr id="1113" name="テキスト ボックス 4"/>
                <a:graphic xmlns:a="http://schemas.openxmlformats.org/drawingml/2006/main">
                  <a:graphicData uri="http://schemas.microsoft.com/office/word/2010/wordprocessingShape">
                    <wps:wsp>
                      <wps:cNvPr id="1113" name="テキスト ボックス 4"/>
                      <wps:cNvSpPr txBox="1">
                        <a:spLocks noChangeArrowheads="1"/>
                      </wps:cNvSpPr>
                      <wps:spPr>
                        <a:xfrm>
                          <a:off x="0" y="0"/>
                          <a:ext cx="5312410" cy="3140710"/>
                        </a:xfrm>
                        <a:prstGeom prst="rect">
                          <a:avLst/>
                        </a:prstGeom>
                        <a:noFill/>
                        <a:ln w="6096">
                          <a:solidFill>
                            <a:srgbClr val="000000"/>
                          </a:solidFill>
                          <a:prstDash val="sysDot"/>
                          <a:miter lim="800000"/>
                          <a:headEnd/>
                          <a:tailEnd/>
                        </a:ln>
                      </wps:spPr>
                      <wps:txbx>
                        <w:txbxContent>
                          <w:p>
                            <w:pPr>
                              <w:pStyle w:val="15"/>
                              <w:spacing w:line="300" w:lineRule="exact"/>
                              <w:ind w:left="103"/>
                              <w:rPr>
                                <w:rFonts w:hint="default" w:ascii="ＭＳ 明朝" w:hAnsi="ＭＳ 明朝" w:eastAsia="ＭＳ 明朝"/>
                                <w:sz w:val="21"/>
                              </w:rPr>
                            </w:pPr>
                            <w:r>
                              <w:rPr>
                                <w:rFonts w:hint="eastAsia" w:ascii="ＭＳ 明朝" w:hAnsi="ＭＳ 明朝" w:eastAsia="ＭＳ 明朝"/>
                                <w:sz w:val="21"/>
                              </w:rPr>
                              <w:t>≪選定を避けるべき場所≫</w:t>
                            </w:r>
                          </w:p>
                          <w:p>
                            <w:pPr>
                              <w:pStyle w:val="15"/>
                              <w:spacing w:before="46" w:beforeLines="0" w:beforeAutospacing="0"/>
                              <w:ind w:left="103"/>
                              <w:rPr>
                                <w:rFonts w:hint="default" w:ascii="ＭＳ 明朝" w:hAnsi="ＭＳ 明朝" w:eastAsia="ＭＳ 明朝"/>
                                <w:sz w:val="21"/>
                              </w:rPr>
                            </w:pPr>
                            <w:r>
                              <w:rPr>
                                <w:rFonts w:hint="eastAsia" w:ascii="ＭＳ 明朝" w:hAnsi="ＭＳ 明朝" w:eastAsia="ＭＳ 明朝"/>
                                <w:sz w:val="21"/>
                              </w:rPr>
                              <w:t>・学校等の避難場所として指定されている施設及びその周辺は避ける。</w:t>
                            </w:r>
                          </w:p>
                          <w:p>
                            <w:pPr>
                              <w:pStyle w:val="15"/>
                              <w:spacing w:before="46" w:beforeLines="0" w:beforeAutospacing="0"/>
                              <w:ind w:left="103"/>
                              <w:rPr>
                                <w:rFonts w:hint="default" w:ascii="ＭＳ 明朝" w:hAnsi="ＭＳ 明朝" w:eastAsia="ＭＳ 明朝"/>
                                <w:sz w:val="21"/>
                              </w:rPr>
                            </w:pPr>
                            <w:r>
                              <w:rPr>
                                <w:rFonts w:hint="eastAsia" w:ascii="ＭＳ 明朝" w:hAnsi="ＭＳ 明朝" w:eastAsia="ＭＳ 明朝"/>
                                <w:sz w:val="21"/>
                              </w:rPr>
                              <w:t>・周辺住民、環境、地域の基幹産業への影響が大きい地域は避ける。</w:t>
                            </w:r>
                          </w:p>
                          <w:p>
                            <w:pPr>
                              <w:pStyle w:val="15"/>
                              <w:spacing w:before="46" w:beforeLines="0" w:beforeAutospacing="0"/>
                              <w:ind w:left="103"/>
                              <w:rPr>
                                <w:rFonts w:hint="default" w:ascii="ＭＳ 明朝" w:hAnsi="ＭＳ 明朝" w:eastAsia="ＭＳ 明朝"/>
                                <w:sz w:val="21"/>
                              </w:rPr>
                            </w:pPr>
                            <w:r>
                              <w:rPr>
                                <w:rFonts w:hint="eastAsia" w:ascii="ＭＳ 明朝" w:hAnsi="ＭＳ 明朝" w:eastAsia="ＭＳ 明朝"/>
                                <w:sz w:val="21"/>
                              </w:rPr>
                              <w:t>・土壌汚染の恐れがあるため、農地はできるだけ避ける。</w:t>
                            </w:r>
                          </w:p>
                          <w:p>
                            <w:pPr>
                              <w:pStyle w:val="15"/>
                              <w:spacing w:before="46" w:beforeLines="0" w:beforeAutospacing="0"/>
                              <w:ind w:left="103"/>
                              <w:rPr>
                                <w:rFonts w:hint="default" w:ascii="ＭＳ 明朝" w:hAnsi="ＭＳ 明朝" w:eastAsia="ＭＳ 明朝"/>
                                <w:sz w:val="21"/>
                              </w:rPr>
                            </w:pPr>
                            <w:r>
                              <w:rPr>
                                <w:rFonts w:hint="eastAsia" w:ascii="ＭＳ 明朝" w:hAnsi="ＭＳ 明朝" w:eastAsia="ＭＳ 明朝"/>
                                <w:sz w:val="21"/>
                              </w:rPr>
                              <w:t>・浸水想定区域等は避ける。</w:t>
                            </w:r>
                          </w:p>
                          <w:p>
                            <w:pPr>
                              <w:pStyle w:val="15"/>
                              <w:spacing w:before="46" w:beforeLines="0" w:beforeAutospacing="0"/>
                              <w:ind w:left="103"/>
                              <w:rPr>
                                <w:rFonts w:hint="default" w:ascii="ＭＳ 明朝" w:hAnsi="ＭＳ 明朝" w:eastAsia="ＭＳ 明朝"/>
                                <w:sz w:val="21"/>
                              </w:rPr>
                            </w:pPr>
                            <w:r>
                              <w:rPr>
                                <w:rFonts w:hint="eastAsia" w:ascii="ＭＳ 明朝" w:hAnsi="ＭＳ 明朝" w:eastAsia="ＭＳ 明朝"/>
                                <w:sz w:val="21"/>
                              </w:rPr>
                              <w:t>≪候補地の絞り込み≫</w:t>
                            </w:r>
                          </w:p>
                          <w:p>
                            <w:pPr>
                              <w:pStyle w:val="15"/>
                              <w:spacing w:before="46" w:beforeLines="0" w:beforeAutospacing="0"/>
                              <w:ind w:left="103"/>
                              <w:rPr>
                                <w:rFonts w:hint="default" w:ascii="ＭＳ 明朝" w:hAnsi="ＭＳ 明朝" w:eastAsia="ＭＳ 明朝"/>
                                <w:sz w:val="21"/>
                              </w:rPr>
                            </w:pPr>
                            <w:r>
                              <w:rPr>
                                <w:rFonts w:hint="eastAsia" w:ascii="ＭＳ 明朝" w:hAnsi="ＭＳ 明朝" w:eastAsia="ＭＳ 明朝"/>
                                <w:sz w:val="21"/>
                              </w:rPr>
                              <w:t>・重機等による分別・保管をするため、できる限り広い面積を確保する。</w:t>
                            </w:r>
                          </w:p>
                          <w:p>
                            <w:pPr>
                              <w:pStyle w:val="15"/>
                              <w:spacing w:before="46" w:beforeLines="0" w:beforeAutospacing="0"/>
                              <w:ind w:left="103"/>
                              <w:rPr>
                                <w:rFonts w:hint="default" w:ascii="ＭＳ 明朝" w:hAnsi="ＭＳ 明朝" w:eastAsia="ＭＳ 明朝"/>
                                <w:sz w:val="21"/>
                              </w:rPr>
                            </w:pPr>
                            <w:r>
                              <w:rPr>
                                <w:rFonts w:hint="eastAsia" w:ascii="ＭＳ 明朝" w:hAnsi="ＭＳ 明朝" w:eastAsia="ＭＳ 明朝"/>
                                <w:sz w:val="21"/>
                              </w:rPr>
                              <w:t>・公園、グラウンド、廃棄物処理施設等の公有地。</w:t>
                            </w:r>
                          </w:p>
                          <w:p>
                            <w:pPr>
                              <w:pStyle w:val="15"/>
                              <w:spacing w:before="45" w:beforeLines="0" w:beforeAutospacing="0"/>
                              <w:ind w:left="103"/>
                              <w:rPr>
                                <w:rFonts w:hint="default" w:ascii="ＭＳ 明朝" w:hAnsi="ＭＳ 明朝" w:eastAsia="ＭＳ 明朝"/>
                                <w:sz w:val="21"/>
                              </w:rPr>
                            </w:pPr>
                            <w:r>
                              <w:rPr>
                                <w:rFonts w:hint="eastAsia" w:ascii="ＭＳ 明朝" w:hAnsi="ＭＳ 明朝" w:eastAsia="ＭＳ 明朝"/>
                                <w:sz w:val="21"/>
                              </w:rPr>
                              <w:t>・未利用工場跡地等で長期間利用が見込まれない民有地。</w:t>
                            </w:r>
                          </w:p>
                          <w:p>
                            <w:pPr>
                              <w:pStyle w:val="15"/>
                              <w:spacing w:before="45" w:beforeLines="0" w:beforeAutospacing="0"/>
                              <w:ind w:left="103"/>
                              <w:rPr>
                                <w:rFonts w:hint="default" w:ascii="ＭＳ 明朝" w:hAnsi="ＭＳ 明朝" w:eastAsia="ＭＳ 明朝"/>
                                <w:sz w:val="21"/>
                              </w:rPr>
                            </w:pPr>
                            <w:r>
                              <w:rPr>
                                <w:rFonts w:hint="eastAsia" w:ascii="ＭＳ 明朝" w:hAnsi="ＭＳ 明朝" w:eastAsia="ＭＳ 明朝"/>
                                <w:sz w:val="21"/>
                              </w:rPr>
                              <w:t>・アスファルト等舗装してある場所が望ましい。</w:t>
                            </w:r>
                          </w:p>
                          <w:p>
                            <w:pPr>
                              <w:pStyle w:val="15"/>
                              <w:spacing w:before="45" w:beforeLines="0" w:beforeAutospacing="0" w:line="276" w:lineRule="auto"/>
                              <w:ind w:left="278" w:right="84" w:hanging="176"/>
                              <w:rPr>
                                <w:rFonts w:hint="default" w:ascii="ＭＳ 明朝" w:hAnsi="ＭＳ 明朝" w:eastAsia="ＭＳ 明朝"/>
                                <w:sz w:val="21"/>
                              </w:rPr>
                            </w:pPr>
                            <w:r>
                              <w:rPr>
                                <w:rFonts w:hint="eastAsia" w:ascii="ＭＳ 明朝" w:hAnsi="ＭＳ 明朝" w:eastAsia="ＭＳ 明朝"/>
                                <w:sz w:val="21"/>
                              </w:rPr>
                              <w:t>・候補地に対する災害時の他の土地利用（自衛隊野営場、避難所、応急仮設住宅等）</w:t>
                            </w:r>
                            <w:r>
                              <w:rPr>
                                <w:rFonts w:hint="eastAsia" w:ascii="ＭＳ 明朝" w:hAnsi="ＭＳ 明朝" w:eastAsia="ＭＳ 明朝"/>
                                <w:sz w:val="21"/>
                              </w:rPr>
                              <w:t xml:space="preserve"> </w:t>
                            </w:r>
                            <w:r>
                              <w:rPr>
                                <w:rFonts w:hint="eastAsia" w:ascii="ＭＳ 明朝" w:hAnsi="ＭＳ 明朝" w:eastAsia="ＭＳ 明朝"/>
                                <w:sz w:val="21"/>
                              </w:rPr>
                              <w:t>のニーズの有無を確認する。（防災担当部署と協議しておく）</w:t>
                            </w:r>
                          </w:p>
                          <w:p>
                            <w:pPr>
                              <w:pStyle w:val="15"/>
                              <w:spacing w:before="9" w:beforeLines="0" w:beforeAutospacing="0"/>
                              <w:ind w:left="103"/>
                              <w:rPr>
                                <w:rFonts w:hint="default" w:ascii="ＭＳ 明朝" w:hAnsi="ＭＳ 明朝" w:eastAsia="ＭＳ 明朝"/>
                                <w:sz w:val="21"/>
                              </w:rPr>
                            </w:pPr>
                            <w:r>
                              <w:rPr>
                                <w:rFonts w:hint="eastAsia" w:ascii="ＭＳ 明朝" w:hAnsi="ＭＳ 明朝" w:eastAsia="ＭＳ 明朝"/>
                                <w:sz w:val="21"/>
                              </w:rPr>
                              <w:t>・効率的な搬入出ルート、必要な道路幅員が確保できる。</w:t>
                            </w:r>
                          </w:p>
                          <w:p>
                            <w:pPr>
                              <w:pStyle w:val="15"/>
                              <w:spacing w:before="45" w:beforeLines="0" w:beforeAutospacing="0"/>
                              <w:ind w:left="103"/>
                              <w:rPr>
                                <w:rFonts w:hint="default" w:ascii="ＭＳ 明朝" w:hAnsi="ＭＳ 明朝" w:eastAsia="ＭＳ 明朝"/>
                                <w:sz w:val="21"/>
                              </w:rPr>
                            </w:pPr>
                            <w:r>
                              <w:rPr>
                                <w:rFonts w:hint="eastAsia" w:ascii="ＭＳ 明朝" w:hAnsi="ＭＳ 明朝" w:eastAsia="ＭＳ 明朝"/>
                                <w:sz w:val="21"/>
                              </w:rPr>
                              <w:t>・長期間の使用が可能。</w:t>
                            </w:r>
                          </w:p>
                          <w:p>
                            <w:pPr>
                              <w:pStyle w:val="15"/>
                              <w:spacing w:before="45" w:beforeLines="0" w:beforeAutospacing="0"/>
                              <w:ind w:left="103"/>
                              <w:rPr>
                                <w:rFonts w:hint="default" w:ascii="ＭＳ 明朝" w:hAnsi="ＭＳ 明朝" w:eastAsia="ＭＳ 明朝"/>
                                <w:sz w:val="21"/>
                              </w:rPr>
                            </w:pPr>
                            <w:r>
                              <w:rPr>
                                <w:rFonts w:hint="eastAsia" w:ascii="ＭＳ 明朝" w:hAnsi="ＭＳ 明朝" w:eastAsia="ＭＳ 明朝"/>
                                <w:sz w:val="21"/>
                              </w:rPr>
                              <w:t>・道路渋滞や周辺への環境影響を十分考慮する。</w:t>
                            </w:r>
                          </w:p>
                        </w:txbxContent>
                      </wps:txbx>
                      <wps:bodyPr rot="0" vertOverflow="overflow" horzOverflow="overflow"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4" style="mso-wrap-distance-right:0pt;mso-wrap-distance-bottom:0pt;margin-top:16.39pt;mso-position-vertical-relative:text;mso-position-horizontal:center;mso-position-horizontal-relative:margin;v-text-anchor:top;position:absolute;mso-wrap-mode:top-and-bottom;height:247.3pt;mso-wrap-distance-top:0pt;width:418.3pt;mso-wrap-distance-left:0pt;z-index:58;" o:spid="_x0000_s1113" o:allowincell="t" o:allowoverlap="t" filled="f" stroked="t" strokecolor="#000000" strokeweight="0.48pt" o:spt="202" type="#_x0000_t202">
                <v:fill/>
                <v:stroke miterlimit="8" dashstyle="shortdot" filltype="solid"/>
                <v:textbox style="layout-flow:horizontal;" inset="0mm,0mm,0mm,0mm">
                  <w:txbxContent>
                    <w:p>
                      <w:pPr>
                        <w:pStyle w:val="15"/>
                        <w:spacing w:line="300" w:lineRule="exact"/>
                        <w:ind w:left="103"/>
                        <w:rPr>
                          <w:rFonts w:hint="default" w:ascii="ＭＳ 明朝" w:hAnsi="ＭＳ 明朝" w:eastAsia="ＭＳ 明朝"/>
                          <w:sz w:val="21"/>
                        </w:rPr>
                      </w:pPr>
                      <w:r>
                        <w:rPr>
                          <w:rFonts w:hint="eastAsia" w:ascii="ＭＳ 明朝" w:hAnsi="ＭＳ 明朝" w:eastAsia="ＭＳ 明朝"/>
                          <w:sz w:val="21"/>
                        </w:rPr>
                        <w:t>≪選定を避けるべき場所≫</w:t>
                      </w:r>
                    </w:p>
                    <w:p>
                      <w:pPr>
                        <w:pStyle w:val="15"/>
                        <w:spacing w:before="46" w:beforeLines="0" w:beforeAutospacing="0"/>
                        <w:ind w:left="103"/>
                        <w:rPr>
                          <w:rFonts w:hint="default" w:ascii="ＭＳ 明朝" w:hAnsi="ＭＳ 明朝" w:eastAsia="ＭＳ 明朝"/>
                          <w:sz w:val="21"/>
                        </w:rPr>
                      </w:pPr>
                      <w:r>
                        <w:rPr>
                          <w:rFonts w:hint="eastAsia" w:ascii="ＭＳ 明朝" w:hAnsi="ＭＳ 明朝" w:eastAsia="ＭＳ 明朝"/>
                          <w:sz w:val="21"/>
                        </w:rPr>
                        <w:t>・学校等の避難場所として指定されている施設及びその周辺は避ける。</w:t>
                      </w:r>
                    </w:p>
                    <w:p>
                      <w:pPr>
                        <w:pStyle w:val="15"/>
                        <w:spacing w:before="46" w:beforeLines="0" w:beforeAutospacing="0"/>
                        <w:ind w:left="103"/>
                        <w:rPr>
                          <w:rFonts w:hint="default" w:ascii="ＭＳ 明朝" w:hAnsi="ＭＳ 明朝" w:eastAsia="ＭＳ 明朝"/>
                          <w:sz w:val="21"/>
                        </w:rPr>
                      </w:pPr>
                      <w:r>
                        <w:rPr>
                          <w:rFonts w:hint="eastAsia" w:ascii="ＭＳ 明朝" w:hAnsi="ＭＳ 明朝" w:eastAsia="ＭＳ 明朝"/>
                          <w:sz w:val="21"/>
                        </w:rPr>
                        <w:t>・周辺住民、環境、地域の基幹産業への影響が大きい地域は避ける。</w:t>
                      </w:r>
                    </w:p>
                    <w:p>
                      <w:pPr>
                        <w:pStyle w:val="15"/>
                        <w:spacing w:before="46" w:beforeLines="0" w:beforeAutospacing="0"/>
                        <w:ind w:left="103"/>
                        <w:rPr>
                          <w:rFonts w:hint="default" w:ascii="ＭＳ 明朝" w:hAnsi="ＭＳ 明朝" w:eastAsia="ＭＳ 明朝"/>
                          <w:sz w:val="21"/>
                        </w:rPr>
                      </w:pPr>
                      <w:r>
                        <w:rPr>
                          <w:rFonts w:hint="eastAsia" w:ascii="ＭＳ 明朝" w:hAnsi="ＭＳ 明朝" w:eastAsia="ＭＳ 明朝"/>
                          <w:sz w:val="21"/>
                        </w:rPr>
                        <w:t>・土壌汚染の恐れがあるため、農地はできるだけ避ける。</w:t>
                      </w:r>
                    </w:p>
                    <w:p>
                      <w:pPr>
                        <w:pStyle w:val="15"/>
                        <w:spacing w:before="46" w:beforeLines="0" w:beforeAutospacing="0"/>
                        <w:ind w:left="103"/>
                        <w:rPr>
                          <w:rFonts w:hint="default" w:ascii="ＭＳ 明朝" w:hAnsi="ＭＳ 明朝" w:eastAsia="ＭＳ 明朝"/>
                          <w:sz w:val="21"/>
                        </w:rPr>
                      </w:pPr>
                      <w:r>
                        <w:rPr>
                          <w:rFonts w:hint="eastAsia" w:ascii="ＭＳ 明朝" w:hAnsi="ＭＳ 明朝" w:eastAsia="ＭＳ 明朝"/>
                          <w:sz w:val="21"/>
                        </w:rPr>
                        <w:t>・浸水想定区域等は避ける。</w:t>
                      </w:r>
                    </w:p>
                    <w:p>
                      <w:pPr>
                        <w:pStyle w:val="15"/>
                        <w:spacing w:before="46" w:beforeLines="0" w:beforeAutospacing="0"/>
                        <w:ind w:left="103"/>
                        <w:rPr>
                          <w:rFonts w:hint="default" w:ascii="ＭＳ 明朝" w:hAnsi="ＭＳ 明朝" w:eastAsia="ＭＳ 明朝"/>
                          <w:sz w:val="21"/>
                        </w:rPr>
                      </w:pPr>
                      <w:r>
                        <w:rPr>
                          <w:rFonts w:hint="eastAsia" w:ascii="ＭＳ 明朝" w:hAnsi="ＭＳ 明朝" w:eastAsia="ＭＳ 明朝"/>
                          <w:sz w:val="21"/>
                        </w:rPr>
                        <w:t>≪候補地の絞り込み≫</w:t>
                      </w:r>
                    </w:p>
                    <w:p>
                      <w:pPr>
                        <w:pStyle w:val="15"/>
                        <w:spacing w:before="46" w:beforeLines="0" w:beforeAutospacing="0"/>
                        <w:ind w:left="103"/>
                        <w:rPr>
                          <w:rFonts w:hint="default" w:ascii="ＭＳ 明朝" w:hAnsi="ＭＳ 明朝" w:eastAsia="ＭＳ 明朝"/>
                          <w:sz w:val="21"/>
                        </w:rPr>
                      </w:pPr>
                      <w:r>
                        <w:rPr>
                          <w:rFonts w:hint="eastAsia" w:ascii="ＭＳ 明朝" w:hAnsi="ＭＳ 明朝" w:eastAsia="ＭＳ 明朝"/>
                          <w:sz w:val="21"/>
                        </w:rPr>
                        <w:t>・重機等による分別・保管をするため、できる限り広い面積を確保する。</w:t>
                      </w:r>
                    </w:p>
                    <w:p>
                      <w:pPr>
                        <w:pStyle w:val="15"/>
                        <w:spacing w:before="46" w:beforeLines="0" w:beforeAutospacing="0"/>
                        <w:ind w:left="103"/>
                        <w:rPr>
                          <w:rFonts w:hint="default" w:ascii="ＭＳ 明朝" w:hAnsi="ＭＳ 明朝" w:eastAsia="ＭＳ 明朝"/>
                          <w:sz w:val="21"/>
                        </w:rPr>
                      </w:pPr>
                      <w:r>
                        <w:rPr>
                          <w:rFonts w:hint="eastAsia" w:ascii="ＭＳ 明朝" w:hAnsi="ＭＳ 明朝" w:eastAsia="ＭＳ 明朝"/>
                          <w:sz w:val="21"/>
                        </w:rPr>
                        <w:t>・公園、グラウンド、廃棄物処理施設等の公有地。</w:t>
                      </w:r>
                    </w:p>
                    <w:p>
                      <w:pPr>
                        <w:pStyle w:val="15"/>
                        <w:spacing w:before="45" w:beforeLines="0" w:beforeAutospacing="0"/>
                        <w:ind w:left="103"/>
                        <w:rPr>
                          <w:rFonts w:hint="default" w:ascii="ＭＳ 明朝" w:hAnsi="ＭＳ 明朝" w:eastAsia="ＭＳ 明朝"/>
                          <w:sz w:val="21"/>
                        </w:rPr>
                      </w:pPr>
                      <w:r>
                        <w:rPr>
                          <w:rFonts w:hint="eastAsia" w:ascii="ＭＳ 明朝" w:hAnsi="ＭＳ 明朝" w:eastAsia="ＭＳ 明朝"/>
                          <w:sz w:val="21"/>
                        </w:rPr>
                        <w:t>・未利用工場跡地等で長期間利用が見込まれない民有地。</w:t>
                      </w:r>
                    </w:p>
                    <w:p>
                      <w:pPr>
                        <w:pStyle w:val="15"/>
                        <w:spacing w:before="45" w:beforeLines="0" w:beforeAutospacing="0"/>
                        <w:ind w:left="103"/>
                        <w:rPr>
                          <w:rFonts w:hint="default" w:ascii="ＭＳ 明朝" w:hAnsi="ＭＳ 明朝" w:eastAsia="ＭＳ 明朝"/>
                          <w:sz w:val="21"/>
                        </w:rPr>
                      </w:pPr>
                      <w:r>
                        <w:rPr>
                          <w:rFonts w:hint="eastAsia" w:ascii="ＭＳ 明朝" w:hAnsi="ＭＳ 明朝" w:eastAsia="ＭＳ 明朝"/>
                          <w:sz w:val="21"/>
                        </w:rPr>
                        <w:t>・アスファルト等舗装してある場所が望ましい。</w:t>
                      </w:r>
                    </w:p>
                    <w:p>
                      <w:pPr>
                        <w:pStyle w:val="15"/>
                        <w:spacing w:before="45" w:beforeLines="0" w:beforeAutospacing="0" w:line="276" w:lineRule="auto"/>
                        <w:ind w:left="278" w:right="84" w:hanging="176"/>
                        <w:rPr>
                          <w:rFonts w:hint="default" w:ascii="ＭＳ 明朝" w:hAnsi="ＭＳ 明朝" w:eastAsia="ＭＳ 明朝"/>
                          <w:sz w:val="21"/>
                        </w:rPr>
                      </w:pPr>
                      <w:r>
                        <w:rPr>
                          <w:rFonts w:hint="eastAsia" w:ascii="ＭＳ 明朝" w:hAnsi="ＭＳ 明朝" w:eastAsia="ＭＳ 明朝"/>
                          <w:sz w:val="21"/>
                        </w:rPr>
                        <w:t>・候補地に対する災害時の他の土地利用（自衛隊野営場、避難所、応急仮設住宅等）</w:t>
                      </w:r>
                      <w:r>
                        <w:rPr>
                          <w:rFonts w:hint="eastAsia" w:ascii="ＭＳ 明朝" w:hAnsi="ＭＳ 明朝" w:eastAsia="ＭＳ 明朝"/>
                          <w:sz w:val="21"/>
                        </w:rPr>
                        <w:t xml:space="preserve"> </w:t>
                      </w:r>
                      <w:r>
                        <w:rPr>
                          <w:rFonts w:hint="eastAsia" w:ascii="ＭＳ 明朝" w:hAnsi="ＭＳ 明朝" w:eastAsia="ＭＳ 明朝"/>
                          <w:sz w:val="21"/>
                        </w:rPr>
                        <w:t>のニーズの有無を確認する。（防災担当部署と協議しておく）</w:t>
                      </w:r>
                    </w:p>
                    <w:p>
                      <w:pPr>
                        <w:pStyle w:val="15"/>
                        <w:spacing w:before="9" w:beforeLines="0" w:beforeAutospacing="0"/>
                        <w:ind w:left="103"/>
                        <w:rPr>
                          <w:rFonts w:hint="default" w:ascii="ＭＳ 明朝" w:hAnsi="ＭＳ 明朝" w:eastAsia="ＭＳ 明朝"/>
                          <w:sz w:val="21"/>
                        </w:rPr>
                      </w:pPr>
                      <w:r>
                        <w:rPr>
                          <w:rFonts w:hint="eastAsia" w:ascii="ＭＳ 明朝" w:hAnsi="ＭＳ 明朝" w:eastAsia="ＭＳ 明朝"/>
                          <w:sz w:val="21"/>
                        </w:rPr>
                        <w:t>・効率的な搬入出ルート、必要な道路幅員が確保できる。</w:t>
                      </w:r>
                    </w:p>
                    <w:p>
                      <w:pPr>
                        <w:pStyle w:val="15"/>
                        <w:spacing w:before="45" w:beforeLines="0" w:beforeAutospacing="0"/>
                        <w:ind w:left="103"/>
                        <w:rPr>
                          <w:rFonts w:hint="default" w:ascii="ＭＳ 明朝" w:hAnsi="ＭＳ 明朝" w:eastAsia="ＭＳ 明朝"/>
                          <w:sz w:val="21"/>
                        </w:rPr>
                      </w:pPr>
                      <w:r>
                        <w:rPr>
                          <w:rFonts w:hint="eastAsia" w:ascii="ＭＳ 明朝" w:hAnsi="ＭＳ 明朝" w:eastAsia="ＭＳ 明朝"/>
                          <w:sz w:val="21"/>
                        </w:rPr>
                        <w:t>・長期間の使用が可能。</w:t>
                      </w:r>
                    </w:p>
                    <w:p>
                      <w:pPr>
                        <w:pStyle w:val="15"/>
                        <w:spacing w:before="45" w:beforeLines="0" w:beforeAutospacing="0"/>
                        <w:ind w:left="103"/>
                        <w:rPr>
                          <w:rFonts w:hint="default" w:ascii="ＭＳ 明朝" w:hAnsi="ＭＳ 明朝" w:eastAsia="ＭＳ 明朝"/>
                          <w:sz w:val="21"/>
                        </w:rPr>
                      </w:pPr>
                      <w:r>
                        <w:rPr>
                          <w:rFonts w:hint="eastAsia" w:ascii="ＭＳ 明朝" w:hAnsi="ＭＳ 明朝" w:eastAsia="ＭＳ 明朝"/>
                          <w:sz w:val="21"/>
                        </w:rPr>
                        <w:t>・道路渋滞や周辺への環境影響を十分考慮する。</w:t>
                      </w:r>
                    </w:p>
                  </w:txbxContent>
                </v:textbox>
                <v:imagedata o:title=""/>
                <w10:wrap type="topAndBottom" anchorx="margin" anchory="text"/>
              </v:shape>
            </w:pict>
          </mc:Fallback>
        </mc:AlternateContent>
      </w:r>
      <w:r>
        <w:rPr>
          <w:rFonts w:hint="eastAsia" w:ascii="ＭＳ 明朝" w:hAnsi="ＭＳ 明朝" w:eastAsia="ＭＳ 明朝"/>
          <w:sz w:val="21"/>
        </w:rPr>
        <w:t>※仮置場候補地の選定の際に考慮する点</w:t>
      </w:r>
    </w:p>
    <w:p>
      <w:pPr>
        <w:pStyle w:val="0"/>
        <w:rPr>
          <w:rFonts w:hint="default"/>
          <w:sz w:val="21"/>
        </w:rPr>
      </w:pPr>
      <w:r>
        <w:rPr>
          <w:rFonts w:hint="default"/>
          <w:spacing w:val="-49"/>
          <w:sz w:val="21"/>
        </w:rPr>
        <mc:AlternateContent>
          <mc:Choice Requires="wps">
            <w:drawing>
              <wp:anchor distT="0" distB="0" distL="114300" distR="114300" simplePos="0" relativeHeight="60" behindDoc="0" locked="0" layoutInCell="1" hidden="0" allowOverlap="1">
                <wp:simplePos x="0" y="0"/>
                <wp:positionH relativeFrom="column">
                  <wp:posOffset>88900</wp:posOffset>
                </wp:positionH>
                <wp:positionV relativeFrom="paragraph">
                  <wp:posOffset>1876425</wp:posOffset>
                </wp:positionV>
                <wp:extent cx="5632450" cy="1123950"/>
                <wp:effectExtent l="635" t="635" r="29845" b="10795"/>
                <wp:wrapNone/>
                <wp:docPr id="1114" name="四角形: 角を丸くする 2929"/>
                <a:graphic xmlns:a="http://schemas.openxmlformats.org/drawingml/2006/main">
                  <a:graphicData uri="http://schemas.microsoft.com/office/word/2010/wordprocessingShape">
                    <wps:wsp>
                      <wps:cNvPr id="1114" name="四角形: 角を丸くする 2929"/>
                      <wps:cNvSpPr/>
                      <wps:spPr>
                        <a:xfrm>
                          <a:off x="0" y="0"/>
                          <a:ext cx="5632450" cy="1123950"/>
                        </a:xfrm>
                        <a:prstGeom prst="roundRect">
                          <a:avLst>
                            <a:gd name="adj" fmla="val 9344"/>
                          </a:avLst>
                        </a:prstGeom>
                        <a:noFill/>
                        <a:ln w="12700" cap="flat" cmpd="sng" algn="ctr">
                          <a:solidFill>
                            <a:sysClr val="windowText" lastClr="000000"/>
                          </a:solidFill>
                          <a:prstDash val="sysDash"/>
                          <a:miter lim="800000"/>
                        </a:ln>
                        <a:effectLst/>
                      </wps:spPr>
                      <wps:bodyPr/>
                    </wps:wsp>
                  </a:graphicData>
                </a:graphic>
              </wp:anchor>
            </w:drawing>
          </mc:Choice>
          <mc:Fallback>
            <w:pict>
              <v:roundrect id="四角形: 角を丸くする 2929" style="mso-wrap-distance-right:9pt;mso-wrap-distance-bottom:0pt;margin-top:147.75pt;mso-position-vertical-relative:text;mso-position-horizontal-relative:text;position:absolute;height:88.5pt;mso-wrap-distance-top:0pt;width:443.5pt;mso-wrap-distance-left:9pt;margin-left:7pt;z-index:60;" o:spid="_x0000_s1114" o:allowincell="t" o:allowoverlap="t" filled="f" stroked="t" strokecolor="#000000" strokeweight="1pt" o:spt="2" arcsize="6123f">
                <v:fill/>
                <v:stroke linestyle="single" miterlimit="8" endcap="flat" dashstyle="shortdash" filltype="solid"/>
                <v:textbox style="layout-flow:horizontal;"/>
                <v:imagedata o:title=""/>
                <w10:wrap type="none" anchorx="text" anchory="text"/>
              </v:roundrect>
            </w:pict>
          </mc:Fallback>
        </mc:AlternateContent>
      </w:r>
      <w:r>
        <w:rPr>
          <w:rFonts w:hint="default"/>
          <w:spacing w:val="-49"/>
          <w:sz w:val="21"/>
        </w:rPr>
        <mc:AlternateContent>
          <mc:Choice Requires="wps">
            <w:drawing>
              <wp:anchor distT="0" distB="0" distL="114300" distR="114300" simplePos="0" relativeHeight="61" behindDoc="0" locked="0" layoutInCell="1" hidden="0" allowOverlap="1">
                <wp:simplePos x="0" y="0"/>
                <wp:positionH relativeFrom="column">
                  <wp:posOffset>76200</wp:posOffset>
                </wp:positionH>
                <wp:positionV relativeFrom="paragraph">
                  <wp:posOffset>298450</wp:posOffset>
                </wp:positionV>
                <wp:extent cx="5651500" cy="361950"/>
                <wp:effectExtent l="635" t="635" r="29845" b="10795"/>
                <wp:wrapNone/>
                <wp:docPr id="1115" name="四角形: 角を丸くする 3141"/>
                <a:graphic xmlns:a="http://schemas.openxmlformats.org/drawingml/2006/main">
                  <a:graphicData uri="http://schemas.microsoft.com/office/word/2010/wordprocessingShape">
                    <wps:wsp>
                      <wps:cNvPr id="1115" name="四角形: 角を丸くする 3141"/>
                      <wps:cNvSpPr/>
                      <wps:spPr>
                        <a:xfrm>
                          <a:off x="0" y="0"/>
                          <a:ext cx="5651500" cy="36195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四角形: 角を丸くする 3141" style="mso-wrap-distance-right:9pt;mso-wrap-distance-bottom:0pt;margin-top:23.5pt;mso-position-vertical-relative:text;mso-position-horizontal-relative:text;position:absolute;height:28.5pt;mso-wrap-distance-top:0pt;width:445pt;mso-wrap-distance-left:9pt;margin-left:6pt;z-index:61;" o:spid="_x0000_s1115" o:allowincell="t" o:allowoverlap="t" filled="f" stroked="t" strokecolor="#000000 [3213]" strokeweight="0.75pt" o:spt="2" arcsize="10923f">
                <v:fill/>
                <v:stroke linestyle="single" miterlimit="8" endcap="flat" dashstyle="solid" filltype="solid"/>
                <v:textbox style="layout-flow:horizontal;"/>
                <v:imagedata o:title=""/>
                <w10:wrap type="none" anchorx="text" anchory="text"/>
              </v:roundrect>
            </w:pict>
          </mc:Fallback>
        </mc:AlternateContent>
      </w:r>
      <w:r>
        <w:rPr>
          <w:rFonts w:hint="default"/>
          <w:spacing w:val="-49"/>
          <w:sz w:val="21"/>
        </w:rPr>
        <mc:AlternateContent>
          <mc:Choice Requires="wps">
            <w:drawing>
              <wp:anchor distT="0" distB="0" distL="114300" distR="114300" simplePos="0" relativeHeight="59" behindDoc="0" locked="0" layoutInCell="1" hidden="0" allowOverlap="1">
                <wp:simplePos x="0" y="0"/>
                <wp:positionH relativeFrom="column">
                  <wp:posOffset>107950</wp:posOffset>
                </wp:positionH>
                <wp:positionV relativeFrom="paragraph">
                  <wp:posOffset>787400</wp:posOffset>
                </wp:positionV>
                <wp:extent cx="5607050" cy="958850"/>
                <wp:effectExtent l="635" t="635" r="29845" b="10795"/>
                <wp:wrapNone/>
                <wp:docPr id="1116" name="四角形: 角を丸くする 2928"/>
                <a:graphic xmlns:a="http://schemas.openxmlformats.org/drawingml/2006/main">
                  <a:graphicData uri="http://schemas.microsoft.com/office/word/2010/wordprocessingShape">
                    <wps:wsp>
                      <wps:cNvPr id="1116" name="四角形: 角を丸くする 2928"/>
                      <wps:cNvSpPr/>
                      <wps:spPr>
                        <a:xfrm>
                          <a:off x="0" y="0"/>
                          <a:ext cx="5607050" cy="958850"/>
                        </a:xfrm>
                        <a:prstGeom prst="roundRect">
                          <a:avLst>
                            <a:gd name="adj" fmla="val 9344"/>
                          </a:avLst>
                        </a:prstGeom>
                        <a:noFill/>
                        <a:ln w="9525" cap="flat" cmpd="sng" algn="ctr">
                          <a:solidFill>
                            <a:sysClr val="windowText" lastClr="000000"/>
                          </a:solidFill>
                          <a:prstDash val="sysDash"/>
                          <a:miter lim="800000"/>
                        </a:ln>
                        <a:effectLst/>
                      </wps:spPr>
                      <wps:bodyPr/>
                    </wps:wsp>
                  </a:graphicData>
                </a:graphic>
              </wp:anchor>
            </w:drawing>
          </mc:Choice>
          <mc:Fallback>
            <w:pict>
              <v:roundrect id="四角形: 角を丸くする 2928" style="mso-wrap-distance-right:9pt;mso-wrap-distance-bottom:0pt;margin-top:62pt;mso-position-vertical-relative:text;mso-position-horizontal-relative:text;position:absolute;height:75.5pt;mso-wrap-distance-top:0pt;width:441.5pt;mso-wrap-distance-left:9pt;margin-left:8.5pt;z-index:59;" o:spid="_x0000_s1116" o:allowincell="t" o:allowoverlap="t" filled="f" stroked="t" strokecolor="#000000" strokeweight="0.75pt" o:spt="2" arcsize="6123f">
                <v:fill/>
                <v:stroke linestyle="single" miterlimit="8" endcap="flat" dashstyle="shortdash" filltype="solid"/>
                <v:textbox style="layout-flow:horizontal;"/>
                <v:imagedata o:title=""/>
                <w10:wrap type="none" anchorx="text" anchory="text"/>
              </v:roundrect>
            </w:pict>
          </mc:Fallback>
        </mc:AlternateContent>
      </w:r>
      <w:r>
        <w:rPr>
          <w:rFonts w:hint="default"/>
          <w:spacing w:val="-49"/>
          <w:sz w:val="21"/>
        </w:rPr>
        <mc:AlternateContent>
          <mc:Choice Requires="wps">
            <w:drawing>
              <wp:inline distT="0" distB="0" distL="0" distR="0">
                <wp:extent cx="5871845" cy="4324350"/>
                <wp:effectExtent l="635" t="635" r="29845" b="10795"/>
                <wp:docPr id="1117" name="テキスト ボックス 5"/>
                <a:graphic xmlns:a="http://schemas.openxmlformats.org/drawingml/2006/main">
                  <a:graphicData uri="http://schemas.microsoft.com/office/word/2010/wordprocessingShape">
                    <wps:wsp>
                      <wps:cNvPr id="1117" name="テキスト ボックス 5"/>
                      <wps:cNvSpPr txBox="1">
                        <a:spLocks noChangeArrowheads="1"/>
                      </wps:cNvSpPr>
                      <wps:spPr>
                        <a:xfrm>
                          <a:off x="0" y="0"/>
                          <a:ext cx="5871845" cy="4324350"/>
                        </a:xfrm>
                        <a:prstGeom prst="rect">
                          <a:avLst/>
                        </a:prstGeom>
                        <a:noFill/>
                        <a:ln w="3175">
                          <a:solidFill>
                            <a:schemeClr val="tx1"/>
                          </a:solidFill>
                          <a:miter lim="800000"/>
                          <a:headEnd/>
                          <a:tailEnd/>
                        </a:ln>
                      </wps:spPr>
                      <wps:txbx>
                        <w:txbxContent>
                          <w:p>
                            <w:pPr>
                              <w:pStyle w:val="15"/>
                              <w:spacing w:line="301" w:lineRule="exact"/>
                              <w:ind w:left="103"/>
                              <w:rPr>
                                <w:rFonts w:hint="default" w:ascii="HGPｺﾞｼｯｸM" w:hAnsi="HGPｺﾞｼｯｸM" w:eastAsia="HGPｺﾞｼｯｸM"/>
                                <w:sz w:val="21"/>
                              </w:rPr>
                            </w:pPr>
                            <w:r>
                              <w:rPr>
                                <w:rFonts w:hint="eastAsia"/>
                                <w:sz w:val="21"/>
                              </w:rPr>
                              <w:t>◆</w:t>
                            </w:r>
                            <w:r>
                              <w:rPr>
                                <w:rFonts w:hint="eastAsia" w:ascii="HGPｺﾞｼｯｸM" w:hAnsi="HGPｺﾞｼｯｸM" w:eastAsia="HGPｺﾞｼｯｸM"/>
                                <w:sz w:val="21"/>
                              </w:rPr>
                              <w:t>仮置場必要面積の推計方法の例</w:t>
                            </w:r>
                          </w:p>
                          <w:p>
                            <w:pPr>
                              <w:pStyle w:val="15"/>
                              <w:ind w:left="479"/>
                              <w:rPr>
                                <w:rFonts w:hint="default" w:ascii="HGPｺﾞｼｯｸM" w:hAnsi="HGPｺﾞｼｯｸM" w:eastAsia="HGPｺﾞｼｯｸM"/>
                                <w:b w:val="1"/>
                                <w:sz w:val="21"/>
                              </w:rPr>
                            </w:pPr>
                          </w:p>
                          <w:p>
                            <w:pPr>
                              <w:pStyle w:val="15"/>
                              <w:spacing w:before="10" w:beforeLines="0" w:beforeAutospacing="0"/>
                              <w:ind w:firstLine="284" w:firstLineChars="157"/>
                              <w:rPr>
                                <w:rFonts w:hint="default" w:ascii="HGPｺﾞｼｯｸM" w:hAnsi="HGPｺﾞｼｯｸM" w:eastAsia="HGPｺﾞｼｯｸM"/>
                                <w:spacing w:val="-10"/>
                                <w:sz w:val="20"/>
                                <w:bdr w:val="single" w:color="auto" w:sz="4" w:space="0"/>
                              </w:rPr>
                            </w:pPr>
                            <w:r>
                              <w:rPr>
                                <w:rFonts w:hint="eastAsia" w:ascii="HGPｺﾞｼｯｸM" w:hAnsi="HGPｺﾞｼｯｸM" w:eastAsia="HGPｺﾞｼｯｸM"/>
                                <w:b w:val="1"/>
                                <w:spacing w:val="-10"/>
                                <w:sz w:val="20"/>
                              </w:rPr>
                              <w:t>災害廃棄物仮置場面積〔</w:t>
                            </w:r>
                            <w:r>
                              <w:rPr>
                                <w:rFonts w:hint="eastAsia" w:ascii="HGPｺﾞｼｯｸM" w:hAnsi="HGPｺﾞｼｯｸM" w:eastAsia="HGPｺﾞｼｯｸM"/>
                                <w:b w:val="1"/>
                                <w:spacing w:val="-10"/>
                                <w:sz w:val="20"/>
                              </w:rPr>
                              <w:t>m</w:t>
                            </w:r>
                            <w:r>
                              <w:rPr>
                                <w:rFonts w:hint="eastAsia" w:ascii="HGPｺﾞｼｯｸM" w:hAnsi="HGPｺﾞｼｯｸM" w:eastAsia="HGPｺﾞｼｯｸM"/>
                                <w:b w:val="1"/>
                                <w:spacing w:val="-10"/>
                                <w:sz w:val="20"/>
                                <w:vertAlign w:val="superscript"/>
                              </w:rPr>
                              <w:t>2</w:t>
                            </w:r>
                            <w:r>
                              <w:rPr>
                                <w:rFonts w:hint="eastAsia" w:ascii="HGPｺﾞｼｯｸM" w:hAnsi="HGPｺﾞｼｯｸM" w:eastAsia="HGPｺﾞｼｯｸM"/>
                                <w:b w:val="1"/>
                                <w:spacing w:val="-10"/>
                                <w:sz w:val="20"/>
                              </w:rPr>
                              <w:t>〕</w:t>
                            </w:r>
                            <w:r>
                              <w:rPr>
                                <w:rFonts w:hint="eastAsia" w:ascii="HGPｺﾞｼｯｸM" w:hAnsi="HGPｺﾞｼｯｸM" w:eastAsia="HGPｺﾞｼｯｸM"/>
                                <w:spacing w:val="-10"/>
                                <w:sz w:val="20"/>
                              </w:rPr>
                              <w:t>＝①仮置場面積（可燃系混合物）〔</w:t>
                            </w:r>
                            <w:r>
                              <w:rPr>
                                <w:rFonts w:hint="eastAsia" w:ascii="HGPｺﾞｼｯｸM" w:hAnsi="HGPｺﾞｼｯｸM" w:eastAsia="HGPｺﾞｼｯｸM"/>
                                <w:spacing w:val="-10"/>
                                <w:sz w:val="20"/>
                              </w:rPr>
                              <w:t>m</w:t>
                            </w:r>
                            <w:r>
                              <w:rPr>
                                <w:rFonts w:hint="eastAsia" w:ascii="HGPｺﾞｼｯｸM" w:hAnsi="HGPｺﾞｼｯｸM" w:eastAsia="HGPｺﾞｼｯｸM"/>
                                <w:spacing w:val="-10"/>
                                <w:sz w:val="20"/>
                                <w:vertAlign w:val="superscript"/>
                              </w:rPr>
                              <w:t>2</w:t>
                            </w:r>
                            <w:r>
                              <w:rPr>
                                <w:rFonts w:hint="eastAsia" w:ascii="HGPｺﾞｼｯｸM" w:hAnsi="HGPｺﾞｼｯｸM" w:eastAsia="HGPｺﾞｼｯｸM"/>
                                <w:spacing w:val="-10"/>
                                <w:sz w:val="20"/>
                              </w:rPr>
                              <w:t>〕＋②仮置場面積（不燃系混合物）〔</w:t>
                            </w:r>
                            <w:r>
                              <w:rPr>
                                <w:rFonts w:hint="eastAsia" w:ascii="HGPｺﾞｼｯｸM" w:hAnsi="HGPｺﾞｼｯｸM" w:eastAsia="HGPｺﾞｼｯｸM"/>
                                <w:spacing w:val="-10"/>
                                <w:sz w:val="20"/>
                              </w:rPr>
                              <w:t>m</w:t>
                            </w:r>
                            <w:r>
                              <w:rPr>
                                <w:rFonts w:hint="eastAsia" w:ascii="HGPｺﾞｼｯｸM" w:hAnsi="HGPｺﾞｼｯｸM" w:eastAsia="HGPｺﾞｼｯｸM"/>
                                <w:spacing w:val="-10"/>
                                <w:sz w:val="20"/>
                                <w:vertAlign w:val="superscript"/>
                              </w:rPr>
                              <w:t>2</w:t>
                            </w:r>
                            <w:r>
                              <w:rPr>
                                <w:rFonts w:hint="eastAsia" w:ascii="HGPｺﾞｼｯｸM" w:hAnsi="HGPｺﾞｼｯｸM" w:eastAsia="HGPｺﾞｼｯｸM"/>
                                <w:spacing w:val="-10"/>
                                <w:sz w:val="20"/>
                              </w:rPr>
                              <w:t>〕</w:t>
                            </w:r>
                          </w:p>
                          <w:p>
                            <w:pPr>
                              <w:pStyle w:val="15"/>
                              <w:spacing w:before="10" w:beforeLines="0" w:beforeAutospacing="0"/>
                              <w:ind w:firstLine="283" w:firstLineChars="157"/>
                              <w:rPr>
                                <w:rFonts w:hint="default" w:ascii="HGPｺﾞｼｯｸM" w:hAnsi="HGPｺﾞｼｯｸM" w:eastAsia="HGPｺﾞｼｯｸM"/>
                                <w:spacing w:val="-10"/>
                                <w:sz w:val="20"/>
                              </w:rPr>
                            </w:pPr>
                          </w:p>
                          <w:p>
                            <w:pPr>
                              <w:pStyle w:val="15"/>
                              <w:spacing w:before="10" w:beforeLines="0" w:beforeAutospacing="0"/>
                              <w:ind w:firstLine="283" w:firstLineChars="157"/>
                              <w:rPr>
                                <w:rFonts w:hint="default" w:ascii="HGPｺﾞｼｯｸM" w:hAnsi="HGPｺﾞｼｯｸM" w:eastAsia="HGPｺﾞｼｯｸM"/>
                                <w:spacing w:val="-10"/>
                                <w:sz w:val="20"/>
                              </w:rPr>
                            </w:pPr>
                          </w:p>
                          <w:p>
                            <w:pPr>
                              <w:pStyle w:val="15"/>
                              <w:spacing w:before="10" w:beforeLines="0" w:beforeAutospacing="0"/>
                              <w:ind w:firstLine="284" w:firstLineChars="157"/>
                              <w:rPr>
                                <w:rFonts w:hint="default" w:ascii="HGPｺﾞｼｯｸM" w:hAnsi="HGPｺﾞｼｯｸM" w:eastAsia="HGPｺﾞｼｯｸM"/>
                                <w:spacing w:val="-10"/>
                                <w:sz w:val="20"/>
                              </w:rPr>
                            </w:pPr>
                            <w:r>
                              <w:rPr>
                                <w:rFonts w:hint="eastAsia" w:ascii="HGPｺﾞｼｯｸM" w:hAnsi="HGPｺﾞｼｯｸM" w:eastAsia="HGPｺﾞｼｯｸM"/>
                                <w:b w:val="1"/>
                                <w:spacing w:val="-10"/>
                                <w:sz w:val="20"/>
                              </w:rPr>
                              <w:t>①仮置場面積（可燃系混合物）〔</w:t>
                            </w:r>
                            <w:r>
                              <w:rPr>
                                <w:rFonts w:hint="eastAsia" w:ascii="HGPｺﾞｼｯｸM" w:hAnsi="HGPｺﾞｼｯｸM" w:eastAsia="HGPｺﾞｼｯｸM"/>
                                <w:b w:val="1"/>
                                <w:spacing w:val="-10"/>
                                <w:sz w:val="20"/>
                              </w:rPr>
                              <w:t>m</w:t>
                            </w:r>
                            <w:r>
                              <w:rPr>
                                <w:rFonts w:hint="eastAsia" w:ascii="HGPｺﾞｼｯｸM" w:hAnsi="HGPｺﾞｼｯｸM" w:eastAsia="HGPｺﾞｼｯｸM"/>
                                <w:b w:val="1"/>
                                <w:spacing w:val="-10"/>
                                <w:sz w:val="20"/>
                                <w:vertAlign w:val="superscript"/>
                              </w:rPr>
                              <w:t>2</w:t>
                            </w:r>
                            <w:r>
                              <w:rPr>
                                <w:rFonts w:hint="eastAsia" w:ascii="HGPｺﾞｼｯｸM" w:hAnsi="HGPｺﾞｼｯｸM" w:eastAsia="HGPｺﾞｼｯｸM"/>
                                <w:b w:val="1"/>
                                <w:spacing w:val="-10"/>
                                <w:sz w:val="20"/>
                              </w:rPr>
                              <w:t>〕</w:t>
                            </w:r>
                            <w:r>
                              <w:rPr>
                                <w:rFonts w:hint="eastAsia" w:ascii="HGPｺﾞｼｯｸM" w:hAnsi="HGPｺﾞｼｯｸM" w:eastAsia="HGPｺﾞｼｯｸM"/>
                                <w:spacing w:val="-10"/>
                                <w:sz w:val="20"/>
                              </w:rPr>
                              <w:t>＝集積量（可燃系混合物）〔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〕÷可燃物見かけ比重〔</w:t>
                            </w:r>
                            <w:r>
                              <w:rPr>
                                <w:rFonts w:hint="eastAsia" w:ascii="HGPｺﾞｼｯｸM" w:hAnsi="HGPｺﾞｼｯｸM" w:eastAsia="HGPｺﾞｼｯｸM"/>
                                <w:spacing w:val="-10"/>
                                <w:sz w:val="20"/>
                              </w:rPr>
                              <w:t>t/ m</w:t>
                            </w:r>
                            <w:r>
                              <w:rPr>
                                <w:rFonts w:hint="eastAsia" w:ascii="HGPｺﾞｼｯｸM" w:hAnsi="HGPｺﾞｼｯｸM" w:eastAsia="HGPｺﾞｼｯｸM"/>
                                <w:spacing w:val="-10"/>
                                <w:sz w:val="20"/>
                                <w:vertAlign w:val="superscript"/>
                              </w:rPr>
                              <w:t>3</w:t>
                            </w:r>
                            <w:r>
                              <w:rPr>
                                <w:rFonts w:hint="eastAsia" w:ascii="HGPｺﾞｼｯｸM" w:hAnsi="HGPｺﾞｼｯｸM" w:eastAsia="HGPｺﾞｼｯｸM"/>
                                <w:spacing w:val="-10"/>
                                <w:sz w:val="20"/>
                              </w:rPr>
                              <w:t>〕</w:t>
                            </w:r>
                          </w:p>
                          <w:p>
                            <w:pPr>
                              <w:pStyle w:val="15"/>
                              <w:spacing w:before="10" w:beforeLines="0" w:beforeAutospacing="0"/>
                              <w:ind w:left="2520" w:firstLine="839" w:firstLineChars="466"/>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÷積上げ高さ〔</w:t>
                            </w:r>
                            <w:r>
                              <w:rPr>
                                <w:rFonts w:hint="eastAsia" w:ascii="HGPｺﾞｼｯｸM" w:hAnsi="HGPｺﾞｼｯｸM" w:eastAsia="HGPｺﾞｼｯｸM"/>
                                <w:spacing w:val="-10"/>
                                <w:sz w:val="20"/>
                              </w:rPr>
                              <w:t>m</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rPr>
                              <w:t>1</w:t>
                            </w:r>
                            <w:r>
                              <w:rPr>
                                <w:rFonts w:hint="eastAsia" w:ascii="HGPｺﾞｼｯｸM" w:hAnsi="HGPｺﾞｼｯｸM" w:eastAsia="HGPｺﾞｼｯｸM"/>
                                <w:spacing w:val="-10"/>
                                <w:sz w:val="20"/>
                              </w:rPr>
                              <w:t>＋作業スペース割合）</w:t>
                            </w:r>
                          </w:p>
                          <w:p>
                            <w:pPr>
                              <w:pStyle w:val="15"/>
                              <w:spacing w:before="10" w:beforeLines="0" w:beforeAutospacing="0"/>
                              <w:ind w:firstLine="283" w:firstLineChars="1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集積量（可燃系混合物）〔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〕＝災害廃棄物発生量（可燃系混合物）〔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〕－処理量（可燃系混合物）〔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w:t>
                            </w:r>
                          </w:p>
                          <w:p>
                            <w:pPr>
                              <w:pStyle w:val="15"/>
                              <w:spacing w:before="10" w:beforeLines="0" w:beforeAutospacing="0"/>
                              <w:ind w:firstLine="283" w:firstLineChars="1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処理量（可燃系混合物）〔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〕＝災害廃棄物発生量（可燃系混合物）〔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〕÷処理期間〔年〕</w:t>
                            </w:r>
                          </w:p>
                          <w:p>
                            <w:pPr>
                              <w:pStyle w:val="15"/>
                              <w:spacing w:before="10" w:beforeLines="0" w:beforeAutospacing="0"/>
                              <w:ind w:firstLine="283" w:firstLineChars="1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　処理期間</w:t>
                            </w:r>
                            <w:r>
                              <w:rPr>
                                <w:rFonts w:hint="default" w:ascii="ＭＳ 明朝" w:hAnsi="ＭＳ 明朝" w:eastAsia="HGPｺﾞｼｯｸM"/>
                                <w:spacing w:val="-10"/>
                                <w:sz w:val="20"/>
                              </w:rPr>
                              <w:t>を</w:t>
                            </w:r>
                            <w:r>
                              <w:rPr>
                                <w:rFonts w:hint="eastAsia" w:ascii="HGPｺﾞｼｯｸM" w:hAnsi="HGPｺﾞｼｯｸM" w:eastAsia="HGPｺﾞｼｯｸM"/>
                                <w:spacing w:val="-10"/>
                                <w:sz w:val="20"/>
                              </w:rPr>
                              <w:t>1</w:t>
                            </w:r>
                            <w:r>
                              <w:rPr>
                                <w:rFonts w:hint="eastAsia" w:ascii="HGPｺﾞｼｯｸM" w:hAnsi="HGPｺﾞｼｯｸM" w:eastAsia="HGPｺﾞｼｯｸM"/>
                                <w:spacing w:val="-10"/>
                                <w:sz w:val="20"/>
                              </w:rPr>
                              <w:t>年</w:t>
                            </w:r>
                            <w:r>
                              <w:rPr>
                                <w:rFonts w:hint="default" w:ascii="ＭＳ 明朝" w:hAnsi="ＭＳ 明朝" w:eastAsia="HGPｺﾞｼｯｸM"/>
                                <w:spacing w:val="-10"/>
                                <w:sz w:val="20"/>
                              </w:rPr>
                              <w:t>とする場合は、処理量＝</w:t>
                            </w:r>
                            <w:r>
                              <w:rPr>
                                <w:rFonts w:hint="eastAsia" w:ascii="HGPｺﾞｼｯｸM" w:hAnsi="HGPｺﾞｼｯｸM" w:eastAsia="HGPｺﾞｼｯｸM"/>
                                <w:spacing w:val="-10"/>
                                <w:sz w:val="20"/>
                              </w:rPr>
                              <w:t>災害廃棄物</w:t>
                            </w:r>
                            <w:r>
                              <w:rPr>
                                <w:rFonts w:hint="default" w:ascii="ＭＳ 明朝" w:hAnsi="ＭＳ 明朝" w:eastAsia="HGPｺﾞｼｯｸM"/>
                                <w:spacing w:val="-10"/>
                                <w:sz w:val="20"/>
                              </w:rPr>
                              <w:t>発生量</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rPr>
                              <w:t>2</w:t>
                            </w:r>
                            <w:r>
                              <w:rPr>
                                <w:rFonts w:hint="default" w:ascii="ＭＳ 明朝" w:hAnsi="ＭＳ 明朝" w:eastAsia="HGPｺﾞｼｯｸM"/>
                                <w:spacing w:val="-10"/>
                                <w:sz w:val="20"/>
                              </w:rPr>
                              <w:t>とする。</w:t>
                            </w:r>
                          </w:p>
                          <w:p>
                            <w:pPr>
                              <w:pStyle w:val="15"/>
                              <w:spacing w:before="10" w:beforeLines="0" w:beforeAutospacing="0"/>
                              <w:ind w:firstLine="283" w:firstLineChars="157"/>
                              <w:rPr>
                                <w:rFonts w:hint="default" w:ascii="HGPｺﾞｼｯｸM" w:hAnsi="HGPｺﾞｼｯｸM" w:eastAsia="HGPｺﾞｼｯｸM"/>
                                <w:spacing w:val="-10"/>
                                <w:sz w:val="20"/>
                              </w:rPr>
                            </w:pPr>
                          </w:p>
                          <w:p>
                            <w:pPr>
                              <w:pStyle w:val="15"/>
                              <w:spacing w:before="10" w:beforeLines="0" w:beforeAutospacing="0"/>
                              <w:ind w:firstLine="283" w:firstLineChars="157"/>
                              <w:rPr>
                                <w:rFonts w:hint="default" w:ascii="HGPｺﾞｼｯｸM" w:hAnsi="HGPｺﾞｼｯｸM" w:eastAsia="HGPｺﾞｼｯｸM"/>
                                <w:spacing w:val="-10"/>
                                <w:sz w:val="20"/>
                              </w:rPr>
                            </w:pPr>
                          </w:p>
                          <w:p>
                            <w:pPr>
                              <w:pStyle w:val="15"/>
                              <w:spacing w:before="10" w:beforeLines="0" w:beforeAutospacing="0"/>
                              <w:ind w:firstLine="284" w:firstLineChars="157"/>
                              <w:rPr>
                                <w:rFonts w:hint="default" w:ascii="HGPｺﾞｼｯｸM" w:hAnsi="HGPｺﾞｼｯｸM" w:eastAsia="HGPｺﾞｼｯｸM"/>
                                <w:spacing w:val="-10"/>
                                <w:sz w:val="20"/>
                              </w:rPr>
                            </w:pPr>
                            <w:r>
                              <w:rPr>
                                <w:rFonts w:hint="eastAsia" w:ascii="HGPｺﾞｼｯｸM" w:hAnsi="HGPｺﾞｼｯｸM" w:eastAsia="HGPｺﾞｼｯｸM"/>
                                <w:b w:val="1"/>
                                <w:spacing w:val="-10"/>
                                <w:sz w:val="20"/>
                              </w:rPr>
                              <w:t>②仮置場面積（不燃系混合物）</w:t>
                            </w:r>
                            <w:r>
                              <w:rPr>
                                <w:rFonts w:hint="eastAsia" w:ascii="HGPｺﾞｼｯｸM" w:hAnsi="HGPｺﾞｼｯｸM" w:eastAsia="HGPｺﾞｼｯｸM"/>
                                <w:b w:val="1"/>
                                <w:spacing w:val="-10"/>
                                <w:sz w:val="20"/>
                                <w:vertAlign w:val="superscript"/>
                              </w:rPr>
                              <w:t>※１</w:t>
                            </w:r>
                            <w:r>
                              <w:rPr>
                                <w:rFonts w:hint="eastAsia" w:ascii="HGPｺﾞｼｯｸM" w:hAnsi="HGPｺﾞｼｯｸM" w:eastAsia="HGPｺﾞｼｯｸM"/>
                                <w:b w:val="1"/>
                                <w:spacing w:val="-10"/>
                                <w:sz w:val="20"/>
                              </w:rPr>
                              <w:t>〔</w:t>
                            </w:r>
                            <w:r>
                              <w:rPr>
                                <w:rFonts w:hint="eastAsia" w:ascii="HGPｺﾞｼｯｸM" w:hAnsi="HGPｺﾞｼｯｸM" w:eastAsia="HGPｺﾞｼｯｸM"/>
                                <w:b w:val="1"/>
                                <w:spacing w:val="-10"/>
                                <w:sz w:val="20"/>
                              </w:rPr>
                              <w:t>m</w:t>
                            </w:r>
                            <w:r>
                              <w:rPr>
                                <w:rFonts w:hint="eastAsia" w:ascii="HGPｺﾞｼｯｸM" w:hAnsi="HGPｺﾞｼｯｸM" w:eastAsia="HGPｺﾞｼｯｸM"/>
                                <w:b w:val="1"/>
                                <w:spacing w:val="-10"/>
                                <w:sz w:val="20"/>
                                <w:vertAlign w:val="superscript"/>
                              </w:rPr>
                              <w:t>2</w:t>
                            </w:r>
                            <w:r>
                              <w:rPr>
                                <w:rFonts w:hint="eastAsia" w:ascii="HGPｺﾞｼｯｸM" w:hAnsi="HGPｺﾞｼｯｸM" w:eastAsia="HGPｺﾞｼｯｸM"/>
                                <w:b w:val="1"/>
                                <w:spacing w:val="-10"/>
                                <w:sz w:val="20"/>
                              </w:rPr>
                              <w:t>〕</w:t>
                            </w:r>
                            <w:r>
                              <w:rPr>
                                <w:rFonts w:hint="eastAsia" w:ascii="HGPｺﾞｼｯｸM" w:hAnsi="HGPｺﾞｼｯｸM" w:eastAsia="HGPｺﾞｼｯｸM"/>
                                <w:spacing w:val="-10"/>
                                <w:sz w:val="20"/>
                              </w:rPr>
                              <w:t>＝集積量（不燃系混合物）〔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〕÷不燃物見かけ比重〔</w:t>
                            </w:r>
                            <w:r>
                              <w:rPr>
                                <w:rFonts w:hint="eastAsia" w:ascii="HGPｺﾞｼｯｸM" w:hAnsi="HGPｺﾞｼｯｸM" w:eastAsia="HGPｺﾞｼｯｸM"/>
                                <w:spacing w:val="-10"/>
                                <w:sz w:val="20"/>
                              </w:rPr>
                              <w:t>t/ m</w:t>
                            </w:r>
                            <w:r>
                              <w:rPr>
                                <w:rFonts w:hint="eastAsia" w:ascii="HGPｺﾞｼｯｸM" w:hAnsi="HGPｺﾞｼｯｸM" w:eastAsia="HGPｺﾞｼｯｸM"/>
                                <w:spacing w:val="-10"/>
                                <w:sz w:val="20"/>
                                <w:vertAlign w:val="superscript"/>
                              </w:rPr>
                              <w:t>3</w:t>
                            </w:r>
                            <w:r>
                              <w:rPr>
                                <w:rFonts w:hint="eastAsia" w:ascii="HGPｺﾞｼｯｸM" w:hAnsi="HGPｺﾞｼｯｸM" w:eastAsia="HGPｺﾞｼｯｸM"/>
                                <w:spacing w:val="-10"/>
                                <w:sz w:val="20"/>
                              </w:rPr>
                              <w:t>〕</w:t>
                            </w:r>
                          </w:p>
                          <w:p>
                            <w:pPr>
                              <w:pStyle w:val="15"/>
                              <w:spacing w:before="10" w:beforeLines="0" w:beforeAutospacing="0"/>
                              <w:ind w:firstLine="3523" w:firstLineChars="19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÷積上げ高さ〔</w:t>
                            </w:r>
                            <w:r>
                              <w:rPr>
                                <w:rFonts w:hint="eastAsia" w:ascii="HGPｺﾞｼｯｸM" w:hAnsi="HGPｺﾞｼｯｸM" w:eastAsia="HGPｺﾞｼｯｸM"/>
                                <w:spacing w:val="-10"/>
                                <w:sz w:val="20"/>
                              </w:rPr>
                              <w:t>m</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rPr>
                              <w:t>1</w:t>
                            </w:r>
                            <w:r>
                              <w:rPr>
                                <w:rFonts w:hint="eastAsia" w:ascii="HGPｺﾞｼｯｸM" w:hAnsi="HGPｺﾞｼｯｸM" w:eastAsia="HGPｺﾞｼｯｸM"/>
                                <w:spacing w:val="-10"/>
                                <w:sz w:val="20"/>
                              </w:rPr>
                              <w:t>＋作業スペース割合）</w:t>
                            </w:r>
                          </w:p>
                          <w:p>
                            <w:pPr>
                              <w:pStyle w:val="15"/>
                              <w:spacing w:before="10" w:beforeLines="0" w:beforeAutospacing="0"/>
                              <w:ind w:firstLine="283" w:firstLineChars="1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集積量（不燃系混合物）〔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〕＝災害廃棄物発生量（不燃系混合物）〔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〕－処理量（不燃系混合物）〔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w:t>
                            </w:r>
                          </w:p>
                          <w:p>
                            <w:pPr>
                              <w:pStyle w:val="15"/>
                              <w:spacing w:before="10" w:beforeLines="0" w:beforeAutospacing="0"/>
                              <w:ind w:firstLine="283" w:firstLineChars="1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処理量（不燃系混合物）〔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〕＝災害廃棄物発生量（不燃系混合物）〔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〕÷処理期間〔年〕</w:t>
                            </w:r>
                          </w:p>
                          <w:p>
                            <w:pPr>
                              <w:pStyle w:val="15"/>
                              <w:spacing w:before="10" w:beforeLines="0" w:beforeAutospacing="0"/>
                              <w:ind w:firstLine="463" w:firstLineChars="2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処理期間</w:t>
                            </w:r>
                            <w:r>
                              <w:rPr>
                                <w:rFonts w:hint="default" w:ascii="ＭＳ 明朝" w:hAnsi="ＭＳ 明朝" w:eastAsia="HGPｺﾞｼｯｸM"/>
                                <w:spacing w:val="-10"/>
                                <w:sz w:val="20"/>
                              </w:rPr>
                              <w:t>を</w:t>
                            </w:r>
                            <w:r>
                              <w:rPr>
                                <w:rFonts w:hint="eastAsia" w:ascii="HGPｺﾞｼｯｸM" w:hAnsi="HGPｺﾞｼｯｸM" w:eastAsia="HGPｺﾞｼｯｸM"/>
                                <w:spacing w:val="-10"/>
                                <w:sz w:val="20"/>
                              </w:rPr>
                              <w:t>1</w:t>
                            </w:r>
                            <w:r>
                              <w:rPr>
                                <w:rFonts w:hint="eastAsia" w:ascii="HGPｺﾞｼｯｸM" w:hAnsi="HGPｺﾞｼｯｸM" w:eastAsia="HGPｺﾞｼｯｸM"/>
                                <w:spacing w:val="-10"/>
                                <w:sz w:val="20"/>
                              </w:rPr>
                              <w:t>年</w:t>
                            </w:r>
                            <w:r>
                              <w:rPr>
                                <w:rFonts w:hint="default" w:ascii="ＭＳ 明朝" w:hAnsi="ＭＳ 明朝" w:eastAsia="HGPｺﾞｼｯｸM"/>
                                <w:spacing w:val="-10"/>
                                <w:sz w:val="20"/>
                              </w:rPr>
                              <w:t>とする場合は、処理量＝</w:t>
                            </w:r>
                            <w:r>
                              <w:rPr>
                                <w:rFonts w:hint="eastAsia" w:ascii="HGPｺﾞｼｯｸM" w:hAnsi="HGPｺﾞｼｯｸM" w:eastAsia="HGPｺﾞｼｯｸM"/>
                                <w:spacing w:val="-10"/>
                                <w:sz w:val="20"/>
                              </w:rPr>
                              <w:t>災害廃棄物</w:t>
                            </w:r>
                            <w:r>
                              <w:rPr>
                                <w:rFonts w:hint="default" w:ascii="ＭＳ 明朝" w:hAnsi="ＭＳ 明朝" w:eastAsia="HGPｺﾞｼｯｸM"/>
                                <w:spacing w:val="-10"/>
                                <w:sz w:val="20"/>
                              </w:rPr>
                              <w:t>発生量</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rPr>
                              <w:t>2</w:t>
                            </w:r>
                            <w:r>
                              <w:rPr>
                                <w:rFonts w:hint="default" w:ascii="ＭＳ 明朝" w:hAnsi="ＭＳ 明朝" w:eastAsia="HGPｺﾞｼｯｸM"/>
                                <w:spacing w:val="-10"/>
                                <w:sz w:val="20"/>
                              </w:rPr>
                              <w:t>とする。</w:t>
                            </w:r>
                          </w:p>
                          <w:p>
                            <w:pPr>
                              <w:pStyle w:val="15"/>
                              <w:spacing w:before="10" w:beforeLines="0" w:beforeAutospacing="0"/>
                              <w:ind w:firstLine="283" w:firstLineChars="157"/>
                              <w:rPr>
                                <w:rFonts w:hint="default" w:ascii="HGPｺﾞｼｯｸM" w:hAnsi="HGPｺﾞｼｯｸM" w:eastAsia="HGPｺﾞｼｯｸM"/>
                                <w:spacing w:val="-10"/>
                                <w:sz w:val="20"/>
                              </w:rPr>
                            </w:pPr>
                          </w:p>
                          <w:p>
                            <w:pPr>
                              <w:pStyle w:val="15"/>
                              <w:spacing w:before="10" w:beforeLines="0" w:beforeAutospacing="0"/>
                              <w:ind w:firstLine="283" w:firstLineChars="1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ここで、処理期間：</w:t>
                            </w:r>
                            <w:r>
                              <w:rPr>
                                <w:rFonts w:hint="eastAsia" w:ascii="HGPｺﾞｼｯｸM" w:hAnsi="HGPｺﾞｼｯｸM" w:eastAsia="HGPｺﾞｼｯｸM"/>
                                <w:spacing w:val="-10"/>
                                <w:sz w:val="20"/>
                              </w:rPr>
                              <w:t>3</w:t>
                            </w:r>
                            <w:r>
                              <w:rPr>
                                <w:rFonts w:hint="eastAsia" w:ascii="HGPｺﾞｼｯｸM" w:hAnsi="HGPｺﾞｼｯｸM" w:eastAsia="HGPｺﾞｼｯｸM"/>
                                <w:spacing w:val="-10"/>
                                <w:sz w:val="20"/>
                              </w:rPr>
                              <w:t>〔年〕または</w:t>
                            </w:r>
                            <w:r>
                              <w:rPr>
                                <w:rFonts w:hint="eastAsia" w:ascii="HGPｺﾞｼｯｸM" w:hAnsi="HGPｺﾞｼｯｸM" w:eastAsia="HGPｺﾞｼｯｸM"/>
                                <w:spacing w:val="-10"/>
                                <w:sz w:val="20"/>
                              </w:rPr>
                              <w:t>1</w:t>
                            </w:r>
                            <w:r>
                              <w:rPr>
                                <w:rFonts w:hint="eastAsia" w:ascii="HGPｺﾞｼｯｸM" w:hAnsi="HGPｺﾞｼｯｸM" w:eastAsia="HGPｺﾞｼｯｸM"/>
                                <w:spacing w:val="-10"/>
                                <w:sz w:val="20"/>
                              </w:rPr>
                              <w:t>〔年〕、可燃物見かけ比重：</w:t>
                            </w:r>
                            <w:r>
                              <w:rPr>
                                <w:rFonts w:hint="eastAsia" w:ascii="HGPｺﾞｼｯｸM" w:hAnsi="HGPｺﾞｼｯｸM" w:eastAsia="HGPｺﾞｼｯｸM"/>
                                <w:spacing w:val="-10"/>
                                <w:sz w:val="20"/>
                              </w:rPr>
                              <w:t>0.4</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rPr>
                              <w:t>t/ m</w:t>
                            </w:r>
                            <w:r>
                              <w:rPr>
                                <w:rFonts w:hint="eastAsia" w:ascii="HGPｺﾞｼｯｸM" w:hAnsi="HGPｺﾞｼｯｸM" w:eastAsia="HGPｺﾞｼｯｸM"/>
                                <w:spacing w:val="-10"/>
                                <w:sz w:val="20"/>
                                <w:vertAlign w:val="superscript"/>
                              </w:rPr>
                              <w:t>3</w:t>
                            </w:r>
                            <w:r>
                              <w:rPr>
                                <w:rFonts w:hint="eastAsia" w:ascii="HGPｺﾞｼｯｸM" w:hAnsi="HGPｺﾞｼｯｸM" w:eastAsia="HGPｺﾞｼｯｸM"/>
                                <w:spacing w:val="-10"/>
                                <w:sz w:val="20"/>
                              </w:rPr>
                              <w:t>〕、不燃物見かけ比重：</w:t>
                            </w:r>
                            <w:r>
                              <w:rPr>
                                <w:rFonts w:hint="eastAsia" w:ascii="HGPｺﾞｼｯｸM" w:hAnsi="HGPｺﾞｼｯｸM" w:eastAsia="HGPｺﾞｼｯｸM"/>
                                <w:spacing w:val="-10"/>
                                <w:sz w:val="20"/>
                              </w:rPr>
                              <w:t>1.1</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rPr>
                              <w:t>t/ m</w:t>
                            </w:r>
                            <w:r>
                              <w:rPr>
                                <w:rFonts w:hint="eastAsia" w:ascii="HGPｺﾞｼｯｸM" w:hAnsi="HGPｺﾞｼｯｸM" w:eastAsia="HGPｺﾞｼｯｸM"/>
                                <w:spacing w:val="-10"/>
                                <w:sz w:val="20"/>
                                <w:vertAlign w:val="superscript"/>
                              </w:rPr>
                              <w:t>3</w:t>
                            </w:r>
                            <w:r>
                              <w:rPr>
                                <w:rFonts w:hint="eastAsia" w:ascii="HGPｺﾞｼｯｸM" w:hAnsi="HGPｺﾞｼｯｸM" w:eastAsia="HGPｺﾞｼｯｸM"/>
                                <w:spacing w:val="-10"/>
                                <w:sz w:val="20"/>
                              </w:rPr>
                              <w:t>〕、</w:t>
                            </w:r>
                          </w:p>
                          <w:p>
                            <w:pPr>
                              <w:pStyle w:val="15"/>
                              <w:spacing w:before="10" w:beforeLines="0" w:beforeAutospacing="0"/>
                              <w:ind w:firstLine="283" w:firstLineChars="1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積上げ高さ：大規模災害　</w:t>
                            </w:r>
                            <w:r>
                              <w:rPr>
                                <w:rFonts w:hint="eastAsia" w:ascii="HGPｺﾞｼｯｸM" w:hAnsi="HGPｺﾞｼｯｸM" w:eastAsia="HGPｺﾞｼｯｸM"/>
                                <w:spacing w:val="-10"/>
                                <w:sz w:val="20"/>
                              </w:rPr>
                              <w:t>5</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rPr>
                              <w:t>m</w:t>
                            </w:r>
                            <w:r>
                              <w:rPr>
                                <w:rFonts w:hint="eastAsia" w:ascii="HGPｺﾞｼｯｸM" w:hAnsi="HGPｺﾞｼｯｸM" w:eastAsia="HGPｺﾞｼｯｸM"/>
                                <w:spacing w:val="-10"/>
                                <w:sz w:val="20"/>
                              </w:rPr>
                              <w:t>〕風水害　</w:t>
                            </w:r>
                            <w:r>
                              <w:rPr>
                                <w:rFonts w:hint="eastAsia" w:ascii="HGPｺﾞｼｯｸM" w:hAnsi="HGPｺﾞｼｯｸM" w:eastAsia="HGPｺﾞｼｯｸM"/>
                                <w:spacing w:val="-10"/>
                                <w:sz w:val="20"/>
                              </w:rPr>
                              <w:t>1.5</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rPr>
                              <w:t>m</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vertAlign w:val="superscript"/>
                              </w:rPr>
                              <w:t>※２</w:t>
                            </w:r>
                            <w:r>
                              <w:rPr>
                                <w:rFonts w:hint="eastAsia" w:ascii="HGPｺﾞｼｯｸM" w:hAnsi="HGPｺﾞｼｯｸM" w:eastAsia="HGPｺﾞｼｯｸM"/>
                                <w:spacing w:val="-10"/>
                                <w:sz w:val="20"/>
                              </w:rPr>
                              <w:t>、作業スペース割合：</w:t>
                            </w:r>
                            <w:r>
                              <w:rPr>
                                <w:rFonts w:hint="eastAsia" w:ascii="HGPｺﾞｼｯｸM" w:hAnsi="HGPｺﾞｼｯｸM" w:eastAsia="HGPｺﾞｼｯｸM"/>
                                <w:spacing w:val="-10"/>
                                <w:sz w:val="20"/>
                              </w:rPr>
                              <w:t>1</w:t>
                            </w:r>
                            <w:r>
                              <w:rPr>
                                <w:rFonts w:hint="eastAsia" w:ascii="HGPｺﾞｼｯｸM" w:hAnsi="HGPｺﾞｼｯｸM" w:eastAsia="HGPｺﾞｼｯｸM"/>
                                <w:spacing w:val="-10"/>
                                <w:sz w:val="20"/>
                              </w:rPr>
                              <w:t>とする</w:t>
                            </w:r>
                          </w:p>
                          <w:p>
                            <w:pPr>
                              <w:pStyle w:val="15"/>
                              <w:spacing w:before="10" w:beforeLines="0" w:beforeAutospacing="0"/>
                              <w:rPr>
                                <w:rFonts w:hint="default" w:ascii="HGPｺﾞｼｯｸM" w:hAnsi="HGPｺﾞｼｯｸM" w:eastAsia="HGPｺﾞｼｯｸM"/>
                                <w:sz w:val="20"/>
                              </w:rPr>
                            </w:pPr>
                            <w:r>
                              <w:rPr>
                                <w:rFonts w:hint="eastAsia" w:ascii="HGPｺﾞｼｯｸM" w:hAnsi="HGPｺﾞｼｯｸM" w:eastAsia="HGPｺﾞｼｯｸM"/>
                                <w:sz w:val="21"/>
                              </w:rPr>
                              <w:t>　</w:t>
                            </w:r>
                            <w:r>
                              <w:rPr>
                                <w:rFonts w:hint="eastAsia" w:ascii="HGPｺﾞｼｯｸM" w:hAnsi="HGPｺﾞｼｯｸM" w:eastAsia="HGPｺﾞｼｯｸM"/>
                                <w:sz w:val="20"/>
                              </w:rPr>
                              <w:t>※１　不燃系混合物は土砂混じり廃棄物を含む。</w:t>
                            </w:r>
                          </w:p>
                          <w:p>
                            <w:pPr>
                              <w:pStyle w:val="15"/>
                              <w:spacing w:before="10" w:beforeLines="0" w:beforeAutospacing="0"/>
                              <w:rPr>
                                <w:rFonts w:hint="default" w:ascii="HGPｺﾞｼｯｸM" w:hAnsi="HGPｺﾞｼｯｸM" w:eastAsia="HGPｺﾞｼｯｸM"/>
                                <w:sz w:val="20"/>
                              </w:rPr>
                            </w:pPr>
                            <w:r>
                              <w:rPr>
                                <w:rFonts w:hint="eastAsia" w:ascii="HGPｺﾞｼｯｸM" w:hAnsi="HGPｺﾞｼｯｸM" w:eastAsia="HGPｺﾞｼｯｸM"/>
                                <w:sz w:val="20"/>
                              </w:rPr>
                              <w:t>　※２　風水害では過去の事例から開設までの時間で重機等が準備できない場合があることから、</w:t>
                            </w:r>
                          </w:p>
                          <w:p>
                            <w:pPr>
                              <w:pStyle w:val="15"/>
                              <w:spacing w:before="10" w:beforeLines="0" w:beforeAutospacing="0"/>
                              <w:rPr>
                                <w:rFonts w:hint="default" w:ascii="HGPｺﾞｼｯｸM" w:hAnsi="HGPｺﾞｼｯｸM" w:eastAsia="HGPｺﾞｼｯｸM"/>
                                <w:sz w:val="21"/>
                              </w:rPr>
                            </w:pPr>
                            <w:r>
                              <w:rPr>
                                <w:rFonts w:hint="eastAsia" w:ascii="HGPｺﾞｼｯｸM" w:hAnsi="HGPｺﾞｼｯｸM" w:eastAsia="HGPｺﾞｼｯｸM"/>
                                <w:sz w:val="20"/>
                              </w:rPr>
                              <w:t>　　　　人力で積上げた場合を想定し、積上高さ</w:t>
                            </w:r>
                            <w:r>
                              <w:rPr>
                                <w:rFonts w:hint="default" w:ascii="ＭＳ 明朝" w:hAnsi="ＭＳ 明朝" w:eastAsia="HGPｺﾞｼｯｸM"/>
                                <w:sz w:val="20"/>
                              </w:rPr>
                              <w:t>を</w:t>
                            </w:r>
                            <w:r>
                              <w:rPr>
                                <w:rFonts w:hint="eastAsia" w:ascii="HGPｺﾞｼｯｸM" w:hAnsi="HGPｺﾞｼｯｸM" w:eastAsia="HGPｺﾞｼｯｸM"/>
                                <w:sz w:val="20"/>
                              </w:rPr>
                              <w:t>1.5m</w:t>
                            </w:r>
                            <w:r>
                              <w:rPr>
                                <w:rFonts w:hint="default" w:ascii="ＭＳ 明朝" w:hAnsi="ＭＳ 明朝" w:eastAsia="HGPｺﾞｼｯｸM"/>
                                <w:sz w:val="20"/>
                              </w:rPr>
                              <w:t>と</w:t>
                            </w:r>
                            <w:r>
                              <w:rPr>
                                <w:rFonts w:hint="eastAsia" w:ascii="HGPｺﾞｼｯｸM" w:hAnsi="HGPｺﾞｼｯｸM" w:eastAsia="HGPｺﾞｼｯｸM"/>
                                <w:sz w:val="20"/>
                              </w:rPr>
                              <w:t>する</w:t>
                            </w:r>
                            <w:r>
                              <w:rPr>
                                <w:rFonts w:hint="eastAsia" w:ascii="HGPｺﾞｼｯｸM" w:hAnsi="HGPｺﾞｼｯｸM" w:eastAsia="HGPｺﾞｼｯｸM"/>
                                <w:sz w:val="21"/>
                              </w:rPr>
                              <w:t>。</w:t>
                            </w:r>
                          </w:p>
                          <w:p>
                            <w:pPr>
                              <w:pStyle w:val="15"/>
                              <w:spacing w:before="10" w:beforeLines="0" w:beforeAutospacing="0"/>
                              <w:rPr>
                                <w:rFonts w:hint="default" w:ascii="HGPｺﾞｼｯｸM" w:hAnsi="HGPｺﾞｼｯｸM" w:eastAsia="HGPｺﾞｼｯｸM"/>
                                <w:sz w:val="21"/>
                              </w:rPr>
                            </w:pPr>
                          </w:p>
                          <w:p>
                            <w:pPr>
                              <w:pStyle w:val="15"/>
                              <w:jc w:val="right"/>
                              <w:rPr>
                                <w:rFonts w:hint="default" w:ascii="HGPｺﾞｼｯｸM" w:hAnsi="HGPｺﾞｼｯｸM" w:eastAsia="HGPｺﾞｼｯｸM"/>
                                <w:sz w:val="18"/>
                              </w:rPr>
                            </w:pPr>
                            <w:r>
                              <w:rPr>
                                <w:rFonts w:hint="eastAsia" w:ascii="HGPｺﾞｼｯｸM" w:hAnsi="HGPｺﾞｼｯｸM" w:eastAsia="HGPｺﾞｼｯｸM"/>
                                <w:sz w:val="20"/>
                              </w:rPr>
                              <w:t>（災害廃棄物対策指針</w:t>
                            </w:r>
                            <w:r>
                              <w:rPr>
                                <w:rFonts w:hint="eastAsia" w:ascii="HGPｺﾞｼｯｸM" w:hAnsi="HGPｺﾞｼｯｸM" w:eastAsia="HGPｺﾞｼｯｸM"/>
                                <w:sz w:val="20"/>
                              </w:rPr>
                              <w:t xml:space="preserve"> </w:t>
                            </w:r>
                            <w:r>
                              <w:rPr>
                                <w:rFonts w:hint="eastAsia" w:ascii="HGPｺﾞｼｯｸM" w:hAnsi="HGPｺﾞｼｯｸM" w:eastAsia="HGPｺﾞｼｯｸM"/>
                                <w:sz w:val="20"/>
                              </w:rPr>
                              <w:t>技術資料を参考に作成）</w:t>
                            </w:r>
                          </w:p>
                        </w:txbxContent>
                      </wps:txbx>
                      <wps:bodyPr rot="0" vertOverflow="overflow" horzOverflow="overflow" wrap="square" lIns="0" tIns="0" rIns="0" bIns="0" anchor="t" anchorCtr="0" upright="1"/>
                    </wps:wsp>
                  </a:graphicData>
                </a:graphic>
              </wp:inline>
            </w:drawing>
          </mc:Choice>
          <mc:Fallback>
            <w:pict>
              <v:shapetype id="_x0000_t202" coordsize="21600,21600" o:spt="202" path="m,l,21600r21600,l21600,xe">
                <v:stroke joinstyle="miter"/>
                <v:path gradientshapeok="t" o:connecttype="rect"/>
              </v:shapetype>
              <v:shape id="テキスト ボックス 5" style="v-text-anchor:top;height:340.5pt;width:462.35pt;" o:spid="_x0000_s1117" filled="f" stroked="t" strokecolor="#000000 [3213]" strokeweight="0.25pt" o:spt="202" type="#_x0000_t202">
                <v:fill/>
                <v:stroke miterlimit="8" filltype="solid"/>
                <v:textbox style="layout-flow:horizontal;" inset="0mm,0mm,0mm,0mm">
                  <w:txbxContent>
                    <w:p>
                      <w:pPr>
                        <w:pStyle w:val="15"/>
                        <w:spacing w:line="301" w:lineRule="exact"/>
                        <w:ind w:left="103"/>
                        <w:rPr>
                          <w:rFonts w:hint="default" w:ascii="HGPｺﾞｼｯｸM" w:hAnsi="HGPｺﾞｼｯｸM" w:eastAsia="HGPｺﾞｼｯｸM"/>
                          <w:sz w:val="21"/>
                        </w:rPr>
                      </w:pPr>
                      <w:r>
                        <w:rPr>
                          <w:rFonts w:hint="eastAsia"/>
                          <w:sz w:val="21"/>
                        </w:rPr>
                        <w:t>◆</w:t>
                      </w:r>
                      <w:r>
                        <w:rPr>
                          <w:rFonts w:hint="eastAsia" w:ascii="HGPｺﾞｼｯｸM" w:hAnsi="HGPｺﾞｼｯｸM" w:eastAsia="HGPｺﾞｼｯｸM"/>
                          <w:sz w:val="21"/>
                        </w:rPr>
                        <w:t>仮置場必要面積の推計方法の例</w:t>
                      </w:r>
                    </w:p>
                    <w:p>
                      <w:pPr>
                        <w:pStyle w:val="15"/>
                        <w:ind w:left="479"/>
                        <w:rPr>
                          <w:rFonts w:hint="default" w:ascii="HGPｺﾞｼｯｸM" w:hAnsi="HGPｺﾞｼｯｸM" w:eastAsia="HGPｺﾞｼｯｸM"/>
                          <w:b w:val="1"/>
                          <w:sz w:val="21"/>
                        </w:rPr>
                      </w:pPr>
                    </w:p>
                    <w:p>
                      <w:pPr>
                        <w:pStyle w:val="15"/>
                        <w:spacing w:before="10" w:beforeLines="0" w:beforeAutospacing="0"/>
                        <w:ind w:firstLine="284" w:firstLineChars="157"/>
                        <w:rPr>
                          <w:rFonts w:hint="default" w:ascii="HGPｺﾞｼｯｸM" w:hAnsi="HGPｺﾞｼｯｸM" w:eastAsia="HGPｺﾞｼｯｸM"/>
                          <w:spacing w:val="-10"/>
                          <w:sz w:val="20"/>
                          <w:bdr w:val="single" w:color="auto" w:sz="4" w:space="0"/>
                        </w:rPr>
                      </w:pPr>
                      <w:r>
                        <w:rPr>
                          <w:rFonts w:hint="eastAsia" w:ascii="HGPｺﾞｼｯｸM" w:hAnsi="HGPｺﾞｼｯｸM" w:eastAsia="HGPｺﾞｼｯｸM"/>
                          <w:b w:val="1"/>
                          <w:spacing w:val="-10"/>
                          <w:sz w:val="20"/>
                        </w:rPr>
                        <w:t>災害廃棄物仮置場面積〔</w:t>
                      </w:r>
                      <w:r>
                        <w:rPr>
                          <w:rFonts w:hint="eastAsia" w:ascii="HGPｺﾞｼｯｸM" w:hAnsi="HGPｺﾞｼｯｸM" w:eastAsia="HGPｺﾞｼｯｸM"/>
                          <w:b w:val="1"/>
                          <w:spacing w:val="-10"/>
                          <w:sz w:val="20"/>
                        </w:rPr>
                        <w:t>m</w:t>
                      </w:r>
                      <w:r>
                        <w:rPr>
                          <w:rFonts w:hint="eastAsia" w:ascii="HGPｺﾞｼｯｸM" w:hAnsi="HGPｺﾞｼｯｸM" w:eastAsia="HGPｺﾞｼｯｸM"/>
                          <w:b w:val="1"/>
                          <w:spacing w:val="-10"/>
                          <w:sz w:val="20"/>
                          <w:vertAlign w:val="superscript"/>
                        </w:rPr>
                        <w:t>2</w:t>
                      </w:r>
                      <w:r>
                        <w:rPr>
                          <w:rFonts w:hint="eastAsia" w:ascii="HGPｺﾞｼｯｸM" w:hAnsi="HGPｺﾞｼｯｸM" w:eastAsia="HGPｺﾞｼｯｸM"/>
                          <w:b w:val="1"/>
                          <w:spacing w:val="-10"/>
                          <w:sz w:val="20"/>
                        </w:rPr>
                        <w:t>〕</w:t>
                      </w:r>
                      <w:r>
                        <w:rPr>
                          <w:rFonts w:hint="eastAsia" w:ascii="HGPｺﾞｼｯｸM" w:hAnsi="HGPｺﾞｼｯｸM" w:eastAsia="HGPｺﾞｼｯｸM"/>
                          <w:spacing w:val="-10"/>
                          <w:sz w:val="20"/>
                        </w:rPr>
                        <w:t>＝①仮置場面積（可燃系混合物）〔</w:t>
                      </w:r>
                      <w:r>
                        <w:rPr>
                          <w:rFonts w:hint="eastAsia" w:ascii="HGPｺﾞｼｯｸM" w:hAnsi="HGPｺﾞｼｯｸM" w:eastAsia="HGPｺﾞｼｯｸM"/>
                          <w:spacing w:val="-10"/>
                          <w:sz w:val="20"/>
                        </w:rPr>
                        <w:t>m</w:t>
                      </w:r>
                      <w:r>
                        <w:rPr>
                          <w:rFonts w:hint="eastAsia" w:ascii="HGPｺﾞｼｯｸM" w:hAnsi="HGPｺﾞｼｯｸM" w:eastAsia="HGPｺﾞｼｯｸM"/>
                          <w:spacing w:val="-10"/>
                          <w:sz w:val="20"/>
                          <w:vertAlign w:val="superscript"/>
                        </w:rPr>
                        <w:t>2</w:t>
                      </w:r>
                      <w:r>
                        <w:rPr>
                          <w:rFonts w:hint="eastAsia" w:ascii="HGPｺﾞｼｯｸM" w:hAnsi="HGPｺﾞｼｯｸM" w:eastAsia="HGPｺﾞｼｯｸM"/>
                          <w:spacing w:val="-10"/>
                          <w:sz w:val="20"/>
                        </w:rPr>
                        <w:t>〕＋②仮置場面積（不燃系混合物）〔</w:t>
                      </w:r>
                      <w:r>
                        <w:rPr>
                          <w:rFonts w:hint="eastAsia" w:ascii="HGPｺﾞｼｯｸM" w:hAnsi="HGPｺﾞｼｯｸM" w:eastAsia="HGPｺﾞｼｯｸM"/>
                          <w:spacing w:val="-10"/>
                          <w:sz w:val="20"/>
                        </w:rPr>
                        <w:t>m</w:t>
                      </w:r>
                      <w:r>
                        <w:rPr>
                          <w:rFonts w:hint="eastAsia" w:ascii="HGPｺﾞｼｯｸM" w:hAnsi="HGPｺﾞｼｯｸM" w:eastAsia="HGPｺﾞｼｯｸM"/>
                          <w:spacing w:val="-10"/>
                          <w:sz w:val="20"/>
                          <w:vertAlign w:val="superscript"/>
                        </w:rPr>
                        <w:t>2</w:t>
                      </w:r>
                      <w:r>
                        <w:rPr>
                          <w:rFonts w:hint="eastAsia" w:ascii="HGPｺﾞｼｯｸM" w:hAnsi="HGPｺﾞｼｯｸM" w:eastAsia="HGPｺﾞｼｯｸM"/>
                          <w:spacing w:val="-10"/>
                          <w:sz w:val="20"/>
                        </w:rPr>
                        <w:t>〕</w:t>
                      </w:r>
                    </w:p>
                    <w:p>
                      <w:pPr>
                        <w:pStyle w:val="15"/>
                        <w:spacing w:before="10" w:beforeLines="0" w:beforeAutospacing="0"/>
                        <w:ind w:firstLine="283" w:firstLineChars="157"/>
                        <w:rPr>
                          <w:rFonts w:hint="default" w:ascii="HGPｺﾞｼｯｸM" w:hAnsi="HGPｺﾞｼｯｸM" w:eastAsia="HGPｺﾞｼｯｸM"/>
                          <w:spacing w:val="-10"/>
                          <w:sz w:val="20"/>
                        </w:rPr>
                      </w:pPr>
                    </w:p>
                    <w:p>
                      <w:pPr>
                        <w:pStyle w:val="15"/>
                        <w:spacing w:before="10" w:beforeLines="0" w:beforeAutospacing="0"/>
                        <w:ind w:firstLine="283" w:firstLineChars="157"/>
                        <w:rPr>
                          <w:rFonts w:hint="default" w:ascii="HGPｺﾞｼｯｸM" w:hAnsi="HGPｺﾞｼｯｸM" w:eastAsia="HGPｺﾞｼｯｸM"/>
                          <w:spacing w:val="-10"/>
                          <w:sz w:val="20"/>
                        </w:rPr>
                      </w:pPr>
                    </w:p>
                    <w:p>
                      <w:pPr>
                        <w:pStyle w:val="15"/>
                        <w:spacing w:before="10" w:beforeLines="0" w:beforeAutospacing="0"/>
                        <w:ind w:firstLine="284" w:firstLineChars="157"/>
                        <w:rPr>
                          <w:rFonts w:hint="default" w:ascii="HGPｺﾞｼｯｸM" w:hAnsi="HGPｺﾞｼｯｸM" w:eastAsia="HGPｺﾞｼｯｸM"/>
                          <w:spacing w:val="-10"/>
                          <w:sz w:val="20"/>
                        </w:rPr>
                      </w:pPr>
                      <w:r>
                        <w:rPr>
                          <w:rFonts w:hint="eastAsia" w:ascii="HGPｺﾞｼｯｸM" w:hAnsi="HGPｺﾞｼｯｸM" w:eastAsia="HGPｺﾞｼｯｸM"/>
                          <w:b w:val="1"/>
                          <w:spacing w:val="-10"/>
                          <w:sz w:val="20"/>
                        </w:rPr>
                        <w:t>①仮置場面積（可燃系混合物）〔</w:t>
                      </w:r>
                      <w:r>
                        <w:rPr>
                          <w:rFonts w:hint="eastAsia" w:ascii="HGPｺﾞｼｯｸM" w:hAnsi="HGPｺﾞｼｯｸM" w:eastAsia="HGPｺﾞｼｯｸM"/>
                          <w:b w:val="1"/>
                          <w:spacing w:val="-10"/>
                          <w:sz w:val="20"/>
                        </w:rPr>
                        <w:t>m</w:t>
                      </w:r>
                      <w:r>
                        <w:rPr>
                          <w:rFonts w:hint="eastAsia" w:ascii="HGPｺﾞｼｯｸM" w:hAnsi="HGPｺﾞｼｯｸM" w:eastAsia="HGPｺﾞｼｯｸM"/>
                          <w:b w:val="1"/>
                          <w:spacing w:val="-10"/>
                          <w:sz w:val="20"/>
                          <w:vertAlign w:val="superscript"/>
                        </w:rPr>
                        <w:t>2</w:t>
                      </w:r>
                      <w:r>
                        <w:rPr>
                          <w:rFonts w:hint="eastAsia" w:ascii="HGPｺﾞｼｯｸM" w:hAnsi="HGPｺﾞｼｯｸM" w:eastAsia="HGPｺﾞｼｯｸM"/>
                          <w:b w:val="1"/>
                          <w:spacing w:val="-10"/>
                          <w:sz w:val="20"/>
                        </w:rPr>
                        <w:t>〕</w:t>
                      </w:r>
                      <w:r>
                        <w:rPr>
                          <w:rFonts w:hint="eastAsia" w:ascii="HGPｺﾞｼｯｸM" w:hAnsi="HGPｺﾞｼｯｸM" w:eastAsia="HGPｺﾞｼｯｸM"/>
                          <w:spacing w:val="-10"/>
                          <w:sz w:val="20"/>
                        </w:rPr>
                        <w:t>＝集積量（可燃系混合物）〔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〕÷可燃物見かけ比重〔</w:t>
                      </w:r>
                      <w:r>
                        <w:rPr>
                          <w:rFonts w:hint="eastAsia" w:ascii="HGPｺﾞｼｯｸM" w:hAnsi="HGPｺﾞｼｯｸM" w:eastAsia="HGPｺﾞｼｯｸM"/>
                          <w:spacing w:val="-10"/>
                          <w:sz w:val="20"/>
                        </w:rPr>
                        <w:t>t/ m</w:t>
                      </w:r>
                      <w:r>
                        <w:rPr>
                          <w:rFonts w:hint="eastAsia" w:ascii="HGPｺﾞｼｯｸM" w:hAnsi="HGPｺﾞｼｯｸM" w:eastAsia="HGPｺﾞｼｯｸM"/>
                          <w:spacing w:val="-10"/>
                          <w:sz w:val="20"/>
                          <w:vertAlign w:val="superscript"/>
                        </w:rPr>
                        <w:t>3</w:t>
                      </w:r>
                      <w:r>
                        <w:rPr>
                          <w:rFonts w:hint="eastAsia" w:ascii="HGPｺﾞｼｯｸM" w:hAnsi="HGPｺﾞｼｯｸM" w:eastAsia="HGPｺﾞｼｯｸM"/>
                          <w:spacing w:val="-10"/>
                          <w:sz w:val="20"/>
                        </w:rPr>
                        <w:t>〕</w:t>
                      </w:r>
                    </w:p>
                    <w:p>
                      <w:pPr>
                        <w:pStyle w:val="15"/>
                        <w:spacing w:before="10" w:beforeLines="0" w:beforeAutospacing="0"/>
                        <w:ind w:left="2520" w:firstLine="839" w:firstLineChars="466"/>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÷積上げ高さ〔</w:t>
                      </w:r>
                      <w:r>
                        <w:rPr>
                          <w:rFonts w:hint="eastAsia" w:ascii="HGPｺﾞｼｯｸM" w:hAnsi="HGPｺﾞｼｯｸM" w:eastAsia="HGPｺﾞｼｯｸM"/>
                          <w:spacing w:val="-10"/>
                          <w:sz w:val="20"/>
                        </w:rPr>
                        <w:t>m</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rPr>
                        <w:t>1</w:t>
                      </w:r>
                      <w:r>
                        <w:rPr>
                          <w:rFonts w:hint="eastAsia" w:ascii="HGPｺﾞｼｯｸM" w:hAnsi="HGPｺﾞｼｯｸM" w:eastAsia="HGPｺﾞｼｯｸM"/>
                          <w:spacing w:val="-10"/>
                          <w:sz w:val="20"/>
                        </w:rPr>
                        <w:t>＋作業スペース割合）</w:t>
                      </w:r>
                    </w:p>
                    <w:p>
                      <w:pPr>
                        <w:pStyle w:val="15"/>
                        <w:spacing w:before="10" w:beforeLines="0" w:beforeAutospacing="0"/>
                        <w:ind w:firstLine="283" w:firstLineChars="1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集積量（可燃系混合物）〔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〕＝災害廃棄物発生量（可燃系混合物）〔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〕－処理量（可燃系混合物）〔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w:t>
                      </w:r>
                    </w:p>
                    <w:p>
                      <w:pPr>
                        <w:pStyle w:val="15"/>
                        <w:spacing w:before="10" w:beforeLines="0" w:beforeAutospacing="0"/>
                        <w:ind w:firstLine="283" w:firstLineChars="1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処理量（可燃系混合物）〔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〕＝災害廃棄物発生量（可燃系混合物）〔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〕÷処理期間〔年〕</w:t>
                      </w:r>
                    </w:p>
                    <w:p>
                      <w:pPr>
                        <w:pStyle w:val="15"/>
                        <w:spacing w:before="10" w:beforeLines="0" w:beforeAutospacing="0"/>
                        <w:ind w:firstLine="283" w:firstLineChars="1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　処理期間</w:t>
                      </w:r>
                      <w:r>
                        <w:rPr>
                          <w:rFonts w:hint="default" w:ascii="ＭＳ 明朝" w:hAnsi="ＭＳ 明朝" w:eastAsia="HGPｺﾞｼｯｸM"/>
                          <w:spacing w:val="-10"/>
                          <w:sz w:val="20"/>
                        </w:rPr>
                        <w:t>を</w:t>
                      </w:r>
                      <w:r>
                        <w:rPr>
                          <w:rFonts w:hint="eastAsia" w:ascii="HGPｺﾞｼｯｸM" w:hAnsi="HGPｺﾞｼｯｸM" w:eastAsia="HGPｺﾞｼｯｸM"/>
                          <w:spacing w:val="-10"/>
                          <w:sz w:val="20"/>
                        </w:rPr>
                        <w:t>1</w:t>
                      </w:r>
                      <w:r>
                        <w:rPr>
                          <w:rFonts w:hint="eastAsia" w:ascii="HGPｺﾞｼｯｸM" w:hAnsi="HGPｺﾞｼｯｸM" w:eastAsia="HGPｺﾞｼｯｸM"/>
                          <w:spacing w:val="-10"/>
                          <w:sz w:val="20"/>
                        </w:rPr>
                        <w:t>年</w:t>
                      </w:r>
                      <w:r>
                        <w:rPr>
                          <w:rFonts w:hint="default" w:ascii="ＭＳ 明朝" w:hAnsi="ＭＳ 明朝" w:eastAsia="HGPｺﾞｼｯｸM"/>
                          <w:spacing w:val="-10"/>
                          <w:sz w:val="20"/>
                        </w:rPr>
                        <w:t>とする場合は、処理量＝</w:t>
                      </w:r>
                      <w:r>
                        <w:rPr>
                          <w:rFonts w:hint="eastAsia" w:ascii="HGPｺﾞｼｯｸM" w:hAnsi="HGPｺﾞｼｯｸM" w:eastAsia="HGPｺﾞｼｯｸM"/>
                          <w:spacing w:val="-10"/>
                          <w:sz w:val="20"/>
                        </w:rPr>
                        <w:t>災害廃棄物</w:t>
                      </w:r>
                      <w:r>
                        <w:rPr>
                          <w:rFonts w:hint="default" w:ascii="ＭＳ 明朝" w:hAnsi="ＭＳ 明朝" w:eastAsia="HGPｺﾞｼｯｸM"/>
                          <w:spacing w:val="-10"/>
                          <w:sz w:val="20"/>
                        </w:rPr>
                        <w:t>発生量</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rPr>
                        <w:t>2</w:t>
                      </w:r>
                      <w:r>
                        <w:rPr>
                          <w:rFonts w:hint="default" w:ascii="ＭＳ 明朝" w:hAnsi="ＭＳ 明朝" w:eastAsia="HGPｺﾞｼｯｸM"/>
                          <w:spacing w:val="-10"/>
                          <w:sz w:val="20"/>
                        </w:rPr>
                        <w:t>とする。</w:t>
                      </w:r>
                    </w:p>
                    <w:p>
                      <w:pPr>
                        <w:pStyle w:val="15"/>
                        <w:spacing w:before="10" w:beforeLines="0" w:beforeAutospacing="0"/>
                        <w:ind w:firstLine="283" w:firstLineChars="157"/>
                        <w:rPr>
                          <w:rFonts w:hint="default" w:ascii="HGPｺﾞｼｯｸM" w:hAnsi="HGPｺﾞｼｯｸM" w:eastAsia="HGPｺﾞｼｯｸM"/>
                          <w:spacing w:val="-10"/>
                          <w:sz w:val="20"/>
                        </w:rPr>
                      </w:pPr>
                    </w:p>
                    <w:p>
                      <w:pPr>
                        <w:pStyle w:val="15"/>
                        <w:spacing w:before="10" w:beforeLines="0" w:beforeAutospacing="0"/>
                        <w:ind w:firstLine="283" w:firstLineChars="157"/>
                        <w:rPr>
                          <w:rFonts w:hint="default" w:ascii="HGPｺﾞｼｯｸM" w:hAnsi="HGPｺﾞｼｯｸM" w:eastAsia="HGPｺﾞｼｯｸM"/>
                          <w:spacing w:val="-10"/>
                          <w:sz w:val="20"/>
                        </w:rPr>
                      </w:pPr>
                    </w:p>
                    <w:p>
                      <w:pPr>
                        <w:pStyle w:val="15"/>
                        <w:spacing w:before="10" w:beforeLines="0" w:beforeAutospacing="0"/>
                        <w:ind w:firstLine="284" w:firstLineChars="157"/>
                        <w:rPr>
                          <w:rFonts w:hint="default" w:ascii="HGPｺﾞｼｯｸM" w:hAnsi="HGPｺﾞｼｯｸM" w:eastAsia="HGPｺﾞｼｯｸM"/>
                          <w:spacing w:val="-10"/>
                          <w:sz w:val="20"/>
                        </w:rPr>
                      </w:pPr>
                      <w:r>
                        <w:rPr>
                          <w:rFonts w:hint="eastAsia" w:ascii="HGPｺﾞｼｯｸM" w:hAnsi="HGPｺﾞｼｯｸM" w:eastAsia="HGPｺﾞｼｯｸM"/>
                          <w:b w:val="1"/>
                          <w:spacing w:val="-10"/>
                          <w:sz w:val="20"/>
                        </w:rPr>
                        <w:t>②仮置場面積（不燃系混合物）</w:t>
                      </w:r>
                      <w:r>
                        <w:rPr>
                          <w:rFonts w:hint="eastAsia" w:ascii="HGPｺﾞｼｯｸM" w:hAnsi="HGPｺﾞｼｯｸM" w:eastAsia="HGPｺﾞｼｯｸM"/>
                          <w:b w:val="1"/>
                          <w:spacing w:val="-10"/>
                          <w:sz w:val="20"/>
                          <w:vertAlign w:val="superscript"/>
                        </w:rPr>
                        <w:t>※１</w:t>
                      </w:r>
                      <w:r>
                        <w:rPr>
                          <w:rFonts w:hint="eastAsia" w:ascii="HGPｺﾞｼｯｸM" w:hAnsi="HGPｺﾞｼｯｸM" w:eastAsia="HGPｺﾞｼｯｸM"/>
                          <w:b w:val="1"/>
                          <w:spacing w:val="-10"/>
                          <w:sz w:val="20"/>
                        </w:rPr>
                        <w:t>〔</w:t>
                      </w:r>
                      <w:r>
                        <w:rPr>
                          <w:rFonts w:hint="eastAsia" w:ascii="HGPｺﾞｼｯｸM" w:hAnsi="HGPｺﾞｼｯｸM" w:eastAsia="HGPｺﾞｼｯｸM"/>
                          <w:b w:val="1"/>
                          <w:spacing w:val="-10"/>
                          <w:sz w:val="20"/>
                        </w:rPr>
                        <w:t>m</w:t>
                      </w:r>
                      <w:r>
                        <w:rPr>
                          <w:rFonts w:hint="eastAsia" w:ascii="HGPｺﾞｼｯｸM" w:hAnsi="HGPｺﾞｼｯｸM" w:eastAsia="HGPｺﾞｼｯｸM"/>
                          <w:b w:val="1"/>
                          <w:spacing w:val="-10"/>
                          <w:sz w:val="20"/>
                          <w:vertAlign w:val="superscript"/>
                        </w:rPr>
                        <w:t>2</w:t>
                      </w:r>
                      <w:r>
                        <w:rPr>
                          <w:rFonts w:hint="eastAsia" w:ascii="HGPｺﾞｼｯｸM" w:hAnsi="HGPｺﾞｼｯｸM" w:eastAsia="HGPｺﾞｼｯｸM"/>
                          <w:b w:val="1"/>
                          <w:spacing w:val="-10"/>
                          <w:sz w:val="20"/>
                        </w:rPr>
                        <w:t>〕</w:t>
                      </w:r>
                      <w:r>
                        <w:rPr>
                          <w:rFonts w:hint="eastAsia" w:ascii="HGPｺﾞｼｯｸM" w:hAnsi="HGPｺﾞｼｯｸM" w:eastAsia="HGPｺﾞｼｯｸM"/>
                          <w:spacing w:val="-10"/>
                          <w:sz w:val="20"/>
                        </w:rPr>
                        <w:t>＝集積量（不燃系混合物）〔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〕÷不燃物見かけ比重〔</w:t>
                      </w:r>
                      <w:r>
                        <w:rPr>
                          <w:rFonts w:hint="eastAsia" w:ascii="HGPｺﾞｼｯｸM" w:hAnsi="HGPｺﾞｼｯｸM" w:eastAsia="HGPｺﾞｼｯｸM"/>
                          <w:spacing w:val="-10"/>
                          <w:sz w:val="20"/>
                        </w:rPr>
                        <w:t>t/ m</w:t>
                      </w:r>
                      <w:r>
                        <w:rPr>
                          <w:rFonts w:hint="eastAsia" w:ascii="HGPｺﾞｼｯｸM" w:hAnsi="HGPｺﾞｼｯｸM" w:eastAsia="HGPｺﾞｼｯｸM"/>
                          <w:spacing w:val="-10"/>
                          <w:sz w:val="20"/>
                          <w:vertAlign w:val="superscript"/>
                        </w:rPr>
                        <w:t>3</w:t>
                      </w:r>
                      <w:r>
                        <w:rPr>
                          <w:rFonts w:hint="eastAsia" w:ascii="HGPｺﾞｼｯｸM" w:hAnsi="HGPｺﾞｼｯｸM" w:eastAsia="HGPｺﾞｼｯｸM"/>
                          <w:spacing w:val="-10"/>
                          <w:sz w:val="20"/>
                        </w:rPr>
                        <w:t>〕</w:t>
                      </w:r>
                    </w:p>
                    <w:p>
                      <w:pPr>
                        <w:pStyle w:val="15"/>
                        <w:spacing w:before="10" w:beforeLines="0" w:beforeAutospacing="0"/>
                        <w:ind w:firstLine="3523" w:firstLineChars="19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÷積上げ高さ〔</w:t>
                      </w:r>
                      <w:r>
                        <w:rPr>
                          <w:rFonts w:hint="eastAsia" w:ascii="HGPｺﾞｼｯｸM" w:hAnsi="HGPｺﾞｼｯｸM" w:eastAsia="HGPｺﾞｼｯｸM"/>
                          <w:spacing w:val="-10"/>
                          <w:sz w:val="20"/>
                        </w:rPr>
                        <w:t>m</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rPr>
                        <w:t>1</w:t>
                      </w:r>
                      <w:r>
                        <w:rPr>
                          <w:rFonts w:hint="eastAsia" w:ascii="HGPｺﾞｼｯｸM" w:hAnsi="HGPｺﾞｼｯｸM" w:eastAsia="HGPｺﾞｼｯｸM"/>
                          <w:spacing w:val="-10"/>
                          <w:sz w:val="20"/>
                        </w:rPr>
                        <w:t>＋作業スペース割合）</w:t>
                      </w:r>
                    </w:p>
                    <w:p>
                      <w:pPr>
                        <w:pStyle w:val="15"/>
                        <w:spacing w:before="10" w:beforeLines="0" w:beforeAutospacing="0"/>
                        <w:ind w:firstLine="283" w:firstLineChars="1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集積量（不燃系混合物）〔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〕＝災害廃棄物発生量（不燃系混合物）〔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〕－処理量（不燃系混合物）〔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w:t>
                      </w:r>
                    </w:p>
                    <w:p>
                      <w:pPr>
                        <w:pStyle w:val="15"/>
                        <w:spacing w:before="10" w:beforeLines="0" w:beforeAutospacing="0"/>
                        <w:ind w:firstLine="283" w:firstLineChars="1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処理量（不燃系混合物）〔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〕＝災害廃棄物発生量（不燃系混合物）〔</w:t>
                      </w:r>
                      <w:r>
                        <w:rPr>
                          <w:rFonts w:hint="eastAsia" w:ascii="HGPｺﾞｼｯｸM" w:hAnsi="HGPｺﾞｼｯｸM" w:eastAsia="HGPｺﾞｼｯｸM"/>
                          <w:spacing w:val="-10"/>
                          <w:sz w:val="20"/>
                        </w:rPr>
                        <w:t>t</w:t>
                      </w:r>
                      <w:r>
                        <w:rPr>
                          <w:rFonts w:hint="eastAsia" w:ascii="HGPｺﾞｼｯｸM" w:hAnsi="HGPｺﾞｼｯｸM" w:eastAsia="HGPｺﾞｼｯｸM"/>
                          <w:spacing w:val="-10"/>
                          <w:sz w:val="20"/>
                        </w:rPr>
                        <w:t>〕÷処理期間〔年〕</w:t>
                      </w:r>
                    </w:p>
                    <w:p>
                      <w:pPr>
                        <w:pStyle w:val="15"/>
                        <w:spacing w:before="10" w:beforeLines="0" w:beforeAutospacing="0"/>
                        <w:ind w:firstLine="463" w:firstLineChars="2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処理期間</w:t>
                      </w:r>
                      <w:r>
                        <w:rPr>
                          <w:rFonts w:hint="default" w:ascii="ＭＳ 明朝" w:hAnsi="ＭＳ 明朝" w:eastAsia="HGPｺﾞｼｯｸM"/>
                          <w:spacing w:val="-10"/>
                          <w:sz w:val="20"/>
                        </w:rPr>
                        <w:t>を</w:t>
                      </w:r>
                      <w:r>
                        <w:rPr>
                          <w:rFonts w:hint="eastAsia" w:ascii="HGPｺﾞｼｯｸM" w:hAnsi="HGPｺﾞｼｯｸM" w:eastAsia="HGPｺﾞｼｯｸM"/>
                          <w:spacing w:val="-10"/>
                          <w:sz w:val="20"/>
                        </w:rPr>
                        <w:t>1</w:t>
                      </w:r>
                      <w:r>
                        <w:rPr>
                          <w:rFonts w:hint="eastAsia" w:ascii="HGPｺﾞｼｯｸM" w:hAnsi="HGPｺﾞｼｯｸM" w:eastAsia="HGPｺﾞｼｯｸM"/>
                          <w:spacing w:val="-10"/>
                          <w:sz w:val="20"/>
                        </w:rPr>
                        <w:t>年</w:t>
                      </w:r>
                      <w:r>
                        <w:rPr>
                          <w:rFonts w:hint="default" w:ascii="ＭＳ 明朝" w:hAnsi="ＭＳ 明朝" w:eastAsia="HGPｺﾞｼｯｸM"/>
                          <w:spacing w:val="-10"/>
                          <w:sz w:val="20"/>
                        </w:rPr>
                        <w:t>とする場合は、処理量＝</w:t>
                      </w:r>
                      <w:r>
                        <w:rPr>
                          <w:rFonts w:hint="eastAsia" w:ascii="HGPｺﾞｼｯｸM" w:hAnsi="HGPｺﾞｼｯｸM" w:eastAsia="HGPｺﾞｼｯｸM"/>
                          <w:spacing w:val="-10"/>
                          <w:sz w:val="20"/>
                        </w:rPr>
                        <w:t>災害廃棄物</w:t>
                      </w:r>
                      <w:r>
                        <w:rPr>
                          <w:rFonts w:hint="default" w:ascii="ＭＳ 明朝" w:hAnsi="ＭＳ 明朝" w:eastAsia="HGPｺﾞｼｯｸM"/>
                          <w:spacing w:val="-10"/>
                          <w:sz w:val="20"/>
                        </w:rPr>
                        <w:t>発生量</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rPr>
                        <w:t>2</w:t>
                      </w:r>
                      <w:r>
                        <w:rPr>
                          <w:rFonts w:hint="default" w:ascii="ＭＳ 明朝" w:hAnsi="ＭＳ 明朝" w:eastAsia="HGPｺﾞｼｯｸM"/>
                          <w:spacing w:val="-10"/>
                          <w:sz w:val="20"/>
                        </w:rPr>
                        <w:t>とする。</w:t>
                      </w:r>
                    </w:p>
                    <w:p>
                      <w:pPr>
                        <w:pStyle w:val="15"/>
                        <w:spacing w:before="10" w:beforeLines="0" w:beforeAutospacing="0"/>
                        <w:ind w:firstLine="283" w:firstLineChars="157"/>
                        <w:rPr>
                          <w:rFonts w:hint="default" w:ascii="HGPｺﾞｼｯｸM" w:hAnsi="HGPｺﾞｼｯｸM" w:eastAsia="HGPｺﾞｼｯｸM"/>
                          <w:spacing w:val="-10"/>
                          <w:sz w:val="20"/>
                        </w:rPr>
                      </w:pPr>
                    </w:p>
                    <w:p>
                      <w:pPr>
                        <w:pStyle w:val="15"/>
                        <w:spacing w:before="10" w:beforeLines="0" w:beforeAutospacing="0"/>
                        <w:ind w:firstLine="283" w:firstLineChars="1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ここで、処理期間：</w:t>
                      </w:r>
                      <w:r>
                        <w:rPr>
                          <w:rFonts w:hint="eastAsia" w:ascii="HGPｺﾞｼｯｸM" w:hAnsi="HGPｺﾞｼｯｸM" w:eastAsia="HGPｺﾞｼｯｸM"/>
                          <w:spacing w:val="-10"/>
                          <w:sz w:val="20"/>
                        </w:rPr>
                        <w:t>3</w:t>
                      </w:r>
                      <w:r>
                        <w:rPr>
                          <w:rFonts w:hint="eastAsia" w:ascii="HGPｺﾞｼｯｸM" w:hAnsi="HGPｺﾞｼｯｸM" w:eastAsia="HGPｺﾞｼｯｸM"/>
                          <w:spacing w:val="-10"/>
                          <w:sz w:val="20"/>
                        </w:rPr>
                        <w:t>〔年〕または</w:t>
                      </w:r>
                      <w:r>
                        <w:rPr>
                          <w:rFonts w:hint="eastAsia" w:ascii="HGPｺﾞｼｯｸM" w:hAnsi="HGPｺﾞｼｯｸM" w:eastAsia="HGPｺﾞｼｯｸM"/>
                          <w:spacing w:val="-10"/>
                          <w:sz w:val="20"/>
                        </w:rPr>
                        <w:t>1</w:t>
                      </w:r>
                      <w:r>
                        <w:rPr>
                          <w:rFonts w:hint="eastAsia" w:ascii="HGPｺﾞｼｯｸM" w:hAnsi="HGPｺﾞｼｯｸM" w:eastAsia="HGPｺﾞｼｯｸM"/>
                          <w:spacing w:val="-10"/>
                          <w:sz w:val="20"/>
                        </w:rPr>
                        <w:t>〔年〕、可燃物見かけ比重：</w:t>
                      </w:r>
                      <w:r>
                        <w:rPr>
                          <w:rFonts w:hint="eastAsia" w:ascii="HGPｺﾞｼｯｸM" w:hAnsi="HGPｺﾞｼｯｸM" w:eastAsia="HGPｺﾞｼｯｸM"/>
                          <w:spacing w:val="-10"/>
                          <w:sz w:val="20"/>
                        </w:rPr>
                        <w:t>0.4</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rPr>
                        <w:t>t/ m</w:t>
                      </w:r>
                      <w:r>
                        <w:rPr>
                          <w:rFonts w:hint="eastAsia" w:ascii="HGPｺﾞｼｯｸM" w:hAnsi="HGPｺﾞｼｯｸM" w:eastAsia="HGPｺﾞｼｯｸM"/>
                          <w:spacing w:val="-10"/>
                          <w:sz w:val="20"/>
                          <w:vertAlign w:val="superscript"/>
                        </w:rPr>
                        <w:t>3</w:t>
                      </w:r>
                      <w:r>
                        <w:rPr>
                          <w:rFonts w:hint="eastAsia" w:ascii="HGPｺﾞｼｯｸM" w:hAnsi="HGPｺﾞｼｯｸM" w:eastAsia="HGPｺﾞｼｯｸM"/>
                          <w:spacing w:val="-10"/>
                          <w:sz w:val="20"/>
                        </w:rPr>
                        <w:t>〕、不燃物見かけ比重：</w:t>
                      </w:r>
                      <w:r>
                        <w:rPr>
                          <w:rFonts w:hint="eastAsia" w:ascii="HGPｺﾞｼｯｸM" w:hAnsi="HGPｺﾞｼｯｸM" w:eastAsia="HGPｺﾞｼｯｸM"/>
                          <w:spacing w:val="-10"/>
                          <w:sz w:val="20"/>
                        </w:rPr>
                        <w:t>1.1</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rPr>
                        <w:t>t/ m</w:t>
                      </w:r>
                      <w:r>
                        <w:rPr>
                          <w:rFonts w:hint="eastAsia" w:ascii="HGPｺﾞｼｯｸM" w:hAnsi="HGPｺﾞｼｯｸM" w:eastAsia="HGPｺﾞｼｯｸM"/>
                          <w:spacing w:val="-10"/>
                          <w:sz w:val="20"/>
                          <w:vertAlign w:val="superscript"/>
                        </w:rPr>
                        <w:t>3</w:t>
                      </w:r>
                      <w:r>
                        <w:rPr>
                          <w:rFonts w:hint="eastAsia" w:ascii="HGPｺﾞｼｯｸM" w:hAnsi="HGPｺﾞｼｯｸM" w:eastAsia="HGPｺﾞｼｯｸM"/>
                          <w:spacing w:val="-10"/>
                          <w:sz w:val="20"/>
                        </w:rPr>
                        <w:t>〕、</w:t>
                      </w:r>
                    </w:p>
                    <w:p>
                      <w:pPr>
                        <w:pStyle w:val="15"/>
                        <w:spacing w:before="10" w:beforeLines="0" w:beforeAutospacing="0"/>
                        <w:ind w:firstLine="283" w:firstLineChars="157"/>
                        <w:rPr>
                          <w:rFonts w:hint="default" w:ascii="HGPｺﾞｼｯｸM" w:hAnsi="HGPｺﾞｼｯｸM" w:eastAsia="HGPｺﾞｼｯｸM"/>
                          <w:spacing w:val="-10"/>
                          <w:sz w:val="20"/>
                        </w:rPr>
                      </w:pPr>
                      <w:r>
                        <w:rPr>
                          <w:rFonts w:hint="eastAsia" w:ascii="HGPｺﾞｼｯｸM" w:hAnsi="HGPｺﾞｼｯｸM" w:eastAsia="HGPｺﾞｼｯｸM"/>
                          <w:spacing w:val="-10"/>
                          <w:sz w:val="20"/>
                        </w:rPr>
                        <w:t>積上げ高さ：大規模災害　</w:t>
                      </w:r>
                      <w:r>
                        <w:rPr>
                          <w:rFonts w:hint="eastAsia" w:ascii="HGPｺﾞｼｯｸM" w:hAnsi="HGPｺﾞｼｯｸM" w:eastAsia="HGPｺﾞｼｯｸM"/>
                          <w:spacing w:val="-10"/>
                          <w:sz w:val="20"/>
                        </w:rPr>
                        <w:t>5</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rPr>
                        <w:t>m</w:t>
                      </w:r>
                      <w:r>
                        <w:rPr>
                          <w:rFonts w:hint="eastAsia" w:ascii="HGPｺﾞｼｯｸM" w:hAnsi="HGPｺﾞｼｯｸM" w:eastAsia="HGPｺﾞｼｯｸM"/>
                          <w:spacing w:val="-10"/>
                          <w:sz w:val="20"/>
                        </w:rPr>
                        <w:t>〕風水害　</w:t>
                      </w:r>
                      <w:r>
                        <w:rPr>
                          <w:rFonts w:hint="eastAsia" w:ascii="HGPｺﾞｼｯｸM" w:hAnsi="HGPｺﾞｼｯｸM" w:eastAsia="HGPｺﾞｼｯｸM"/>
                          <w:spacing w:val="-10"/>
                          <w:sz w:val="20"/>
                        </w:rPr>
                        <w:t>1.5</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rPr>
                        <w:t>m</w:t>
                      </w:r>
                      <w:r>
                        <w:rPr>
                          <w:rFonts w:hint="eastAsia" w:ascii="HGPｺﾞｼｯｸM" w:hAnsi="HGPｺﾞｼｯｸM" w:eastAsia="HGPｺﾞｼｯｸM"/>
                          <w:spacing w:val="-10"/>
                          <w:sz w:val="20"/>
                        </w:rPr>
                        <w:t>〕</w:t>
                      </w:r>
                      <w:r>
                        <w:rPr>
                          <w:rFonts w:hint="eastAsia" w:ascii="HGPｺﾞｼｯｸM" w:hAnsi="HGPｺﾞｼｯｸM" w:eastAsia="HGPｺﾞｼｯｸM"/>
                          <w:spacing w:val="-10"/>
                          <w:sz w:val="20"/>
                          <w:vertAlign w:val="superscript"/>
                        </w:rPr>
                        <w:t>※２</w:t>
                      </w:r>
                      <w:r>
                        <w:rPr>
                          <w:rFonts w:hint="eastAsia" w:ascii="HGPｺﾞｼｯｸM" w:hAnsi="HGPｺﾞｼｯｸM" w:eastAsia="HGPｺﾞｼｯｸM"/>
                          <w:spacing w:val="-10"/>
                          <w:sz w:val="20"/>
                        </w:rPr>
                        <w:t>、作業スペース割合：</w:t>
                      </w:r>
                      <w:r>
                        <w:rPr>
                          <w:rFonts w:hint="eastAsia" w:ascii="HGPｺﾞｼｯｸM" w:hAnsi="HGPｺﾞｼｯｸM" w:eastAsia="HGPｺﾞｼｯｸM"/>
                          <w:spacing w:val="-10"/>
                          <w:sz w:val="20"/>
                        </w:rPr>
                        <w:t>1</w:t>
                      </w:r>
                      <w:r>
                        <w:rPr>
                          <w:rFonts w:hint="eastAsia" w:ascii="HGPｺﾞｼｯｸM" w:hAnsi="HGPｺﾞｼｯｸM" w:eastAsia="HGPｺﾞｼｯｸM"/>
                          <w:spacing w:val="-10"/>
                          <w:sz w:val="20"/>
                        </w:rPr>
                        <w:t>とする</w:t>
                      </w:r>
                    </w:p>
                    <w:p>
                      <w:pPr>
                        <w:pStyle w:val="15"/>
                        <w:spacing w:before="10" w:beforeLines="0" w:beforeAutospacing="0"/>
                        <w:rPr>
                          <w:rFonts w:hint="default" w:ascii="HGPｺﾞｼｯｸM" w:hAnsi="HGPｺﾞｼｯｸM" w:eastAsia="HGPｺﾞｼｯｸM"/>
                          <w:sz w:val="20"/>
                        </w:rPr>
                      </w:pPr>
                      <w:r>
                        <w:rPr>
                          <w:rFonts w:hint="eastAsia" w:ascii="HGPｺﾞｼｯｸM" w:hAnsi="HGPｺﾞｼｯｸM" w:eastAsia="HGPｺﾞｼｯｸM"/>
                          <w:sz w:val="21"/>
                        </w:rPr>
                        <w:t>　</w:t>
                      </w:r>
                      <w:r>
                        <w:rPr>
                          <w:rFonts w:hint="eastAsia" w:ascii="HGPｺﾞｼｯｸM" w:hAnsi="HGPｺﾞｼｯｸM" w:eastAsia="HGPｺﾞｼｯｸM"/>
                          <w:sz w:val="20"/>
                        </w:rPr>
                        <w:t>※１　不燃系混合物は土砂混じり廃棄物を含む。</w:t>
                      </w:r>
                    </w:p>
                    <w:p>
                      <w:pPr>
                        <w:pStyle w:val="15"/>
                        <w:spacing w:before="10" w:beforeLines="0" w:beforeAutospacing="0"/>
                        <w:rPr>
                          <w:rFonts w:hint="default" w:ascii="HGPｺﾞｼｯｸM" w:hAnsi="HGPｺﾞｼｯｸM" w:eastAsia="HGPｺﾞｼｯｸM"/>
                          <w:sz w:val="20"/>
                        </w:rPr>
                      </w:pPr>
                      <w:r>
                        <w:rPr>
                          <w:rFonts w:hint="eastAsia" w:ascii="HGPｺﾞｼｯｸM" w:hAnsi="HGPｺﾞｼｯｸM" w:eastAsia="HGPｺﾞｼｯｸM"/>
                          <w:sz w:val="20"/>
                        </w:rPr>
                        <w:t>　※２　風水害では過去の事例から開設までの時間で重機等が準備できない場合があることから、</w:t>
                      </w:r>
                    </w:p>
                    <w:p>
                      <w:pPr>
                        <w:pStyle w:val="15"/>
                        <w:spacing w:before="10" w:beforeLines="0" w:beforeAutospacing="0"/>
                        <w:rPr>
                          <w:rFonts w:hint="default" w:ascii="HGPｺﾞｼｯｸM" w:hAnsi="HGPｺﾞｼｯｸM" w:eastAsia="HGPｺﾞｼｯｸM"/>
                          <w:sz w:val="21"/>
                        </w:rPr>
                      </w:pPr>
                      <w:r>
                        <w:rPr>
                          <w:rFonts w:hint="eastAsia" w:ascii="HGPｺﾞｼｯｸM" w:hAnsi="HGPｺﾞｼｯｸM" w:eastAsia="HGPｺﾞｼｯｸM"/>
                          <w:sz w:val="20"/>
                        </w:rPr>
                        <w:t>　　　　人力で積上げた場合を想定し、積上高さ</w:t>
                      </w:r>
                      <w:r>
                        <w:rPr>
                          <w:rFonts w:hint="default" w:ascii="ＭＳ 明朝" w:hAnsi="ＭＳ 明朝" w:eastAsia="HGPｺﾞｼｯｸM"/>
                          <w:sz w:val="20"/>
                        </w:rPr>
                        <w:t>を</w:t>
                      </w:r>
                      <w:r>
                        <w:rPr>
                          <w:rFonts w:hint="eastAsia" w:ascii="HGPｺﾞｼｯｸM" w:hAnsi="HGPｺﾞｼｯｸM" w:eastAsia="HGPｺﾞｼｯｸM"/>
                          <w:sz w:val="20"/>
                        </w:rPr>
                        <w:t>1.5m</w:t>
                      </w:r>
                      <w:r>
                        <w:rPr>
                          <w:rFonts w:hint="default" w:ascii="ＭＳ 明朝" w:hAnsi="ＭＳ 明朝" w:eastAsia="HGPｺﾞｼｯｸM"/>
                          <w:sz w:val="20"/>
                        </w:rPr>
                        <w:t>と</w:t>
                      </w:r>
                      <w:r>
                        <w:rPr>
                          <w:rFonts w:hint="eastAsia" w:ascii="HGPｺﾞｼｯｸM" w:hAnsi="HGPｺﾞｼｯｸM" w:eastAsia="HGPｺﾞｼｯｸM"/>
                          <w:sz w:val="20"/>
                        </w:rPr>
                        <w:t>する</w:t>
                      </w:r>
                      <w:r>
                        <w:rPr>
                          <w:rFonts w:hint="eastAsia" w:ascii="HGPｺﾞｼｯｸM" w:hAnsi="HGPｺﾞｼｯｸM" w:eastAsia="HGPｺﾞｼｯｸM"/>
                          <w:sz w:val="21"/>
                        </w:rPr>
                        <w:t>。</w:t>
                      </w:r>
                    </w:p>
                    <w:p>
                      <w:pPr>
                        <w:pStyle w:val="15"/>
                        <w:spacing w:before="10" w:beforeLines="0" w:beforeAutospacing="0"/>
                        <w:rPr>
                          <w:rFonts w:hint="default" w:ascii="HGPｺﾞｼｯｸM" w:hAnsi="HGPｺﾞｼｯｸM" w:eastAsia="HGPｺﾞｼｯｸM"/>
                          <w:sz w:val="21"/>
                        </w:rPr>
                      </w:pPr>
                    </w:p>
                    <w:p>
                      <w:pPr>
                        <w:pStyle w:val="15"/>
                        <w:jc w:val="right"/>
                        <w:rPr>
                          <w:rFonts w:hint="default" w:ascii="HGPｺﾞｼｯｸM" w:hAnsi="HGPｺﾞｼｯｸM" w:eastAsia="HGPｺﾞｼｯｸM"/>
                          <w:sz w:val="18"/>
                        </w:rPr>
                      </w:pPr>
                      <w:r>
                        <w:rPr>
                          <w:rFonts w:hint="eastAsia" w:ascii="HGPｺﾞｼｯｸM" w:hAnsi="HGPｺﾞｼｯｸM" w:eastAsia="HGPｺﾞｼｯｸM"/>
                          <w:sz w:val="20"/>
                        </w:rPr>
                        <w:t>（災害廃棄物対策指針</w:t>
                      </w:r>
                      <w:r>
                        <w:rPr>
                          <w:rFonts w:hint="eastAsia" w:ascii="HGPｺﾞｼｯｸM" w:hAnsi="HGPｺﾞｼｯｸM" w:eastAsia="HGPｺﾞｼｯｸM"/>
                          <w:sz w:val="20"/>
                        </w:rPr>
                        <w:t xml:space="preserve"> </w:t>
                      </w:r>
                      <w:r>
                        <w:rPr>
                          <w:rFonts w:hint="eastAsia" w:ascii="HGPｺﾞｼｯｸM" w:hAnsi="HGPｺﾞｼｯｸM" w:eastAsia="HGPｺﾞｼｯｸM"/>
                          <w:sz w:val="20"/>
                        </w:rPr>
                        <w:t>技術資料を参考に作成）</w:t>
                      </w:r>
                    </w:p>
                  </w:txbxContent>
                </v:textbox>
                <v:imagedata o:title=""/>
                <w10:anchorlock/>
              </v:shape>
            </w:pict>
          </mc:Fallback>
        </mc:AlternateContent>
      </w:r>
    </w:p>
    <w:p>
      <w:pPr>
        <w:pStyle w:val="0"/>
        <w:spacing w:before="10" w:beforeLines="0" w:beforeAutospacing="0"/>
        <w:rPr>
          <w:rFonts w:hint="default"/>
          <w:sz w:val="21"/>
        </w:rPr>
      </w:pPr>
    </w:p>
    <w:p>
      <w:pPr>
        <w:pStyle w:val="0"/>
        <w:spacing w:before="10" w:beforeLines="0" w:beforeAutospacing="0"/>
        <w:rPr>
          <w:rFonts w:hint="default"/>
          <w:sz w:val="21"/>
        </w:rPr>
      </w:pPr>
    </w:p>
    <w:p>
      <w:pPr>
        <w:pStyle w:val="0"/>
        <w:spacing w:before="10" w:beforeLines="0" w:beforeAutospacing="0"/>
        <w:rPr>
          <w:rFonts w:hint="default"/>
          <w:sz w:val="21"/>
        </w:rPr>
      </w:pPr>
    </w:p>
    <w:p>
      <w:pPr>
        <w:pStyle w:val="0"/>
        <w:spacing w:before="10" w:beforeLines="0" w:beforeAutospacing="0"/>
        <w:jc w:val="center"/>
        <w:rPr>
          <w:rFonts w:hint="default"/>
          <w:color w:val="000000" w:themeColor="text1"/>
          <w:sz w:val="21"/>
        </w:rPr>
      </w:pPr>
      <w:r>
        <w:rPr>
          <w:rFonts w:hint="eastAsia"/>
          <w:sz w:val="21"/>
        </w:rPr>
        <w:t>表２７　仮</w:t>
      </w:r>
      <w:r>
        <w:rPr>
          <w:rFonts w:hint="eastAsia"/>
          <w:color w:val="000000" w:themeColor="text1"/>
          <w:sz w:val="21"/>
        </w:rPr>
        <w:t>置場必要面積</w:t>
      </w:r>
    </w:p>
    <w:tbl>
      <w:tblPr>
        <w:tblStyle w:val="71"/>
        <w:tblW w:w="8522" w:type="dxa"/>
        <w:jc w:val="center"/>
        <w:tblInd w:w="0" w:type="dxa"/>
        <w:tblLayout w:type="fixed"/>
        <w:tblLook w:firstRow="1" w:lastRow="0" w:firstColumn="1" w:lastColumn="0" w:noHBand="0" w:noVBand="1" w:val="04A0"/>
      </w:tblPr>
      <w:tblGrid>
        <w:gridCol w:w="3114"/>
        <w:gridCol w:w="2268"/>
        <w:gridCol w:w="1751"/>
        <w:gridCol w:w="1389"/>
      </w:tblGrid>
      <w:tr>
        <w:trPr>
          <w:trHeight w:val="334" w:hRule="atLeast"/>
        </w:trPr>
        <w:tc>
          <w:tcPr>
            <w:tcW w:w="3114" w:type="dxa"/>
            <w:vMerge w:val="restart"/>
            <w:shd w:val="clear" w:color="auto" w:themeFill="background1" w:themeFillTint="FF" w:themeFillShade="D9"/>
            <w:vAlign w:val="center"/>
          </w:tcPr>
          <w:p>
            <w:pPr>
              <w:pStyle w:val="0"/>
              <w:spacing w:before="10" w:beforeLines="0" w:beforeAutospacing="0"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想定災害</w:t>
            </w:r>
          </w:p>
        </w:tc>
        <w:tc>
          <w:tcPr>
            <w:tcW w:w="2268" w:type="dxa"/>
            <w:vMerge w:val="restart"/>
            <w:shd w:val="clear" w:color="auto" w:themeFill="background1" w:themeFillTint="FF" w:themeFillShade="D9"/>
            <w:vAlign w:val="center"/>
          </w:tcPr>
          <w:p>
            <w:pPr>
              <w:pStyle w:val="0"/>
              <w:spacing w:before="10" w:beforeLines="0" w:beforeAutospacing="0"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仮置量（</w:t>
            </w:r>
            <w:r>
              <w:rPr>
                <w:rFonts w:hint="default" w:ascii="HGPｺﾞｼｯｸM" w:hAnsi="HGPｺﾞｼｯｸM" w:eastAsia="HGPｺﾞｼｯｸM"/>
                <w:sz w:val="21"/>
              </w:rPr>
              <w:t>t</w:t>
            </w:r>
            <w:r>
              <w:rPr>
                <w:rFonts w:hint="default" w:ascii="HGPｺﾞｼｯｸM" w:hAnsi="HGPｺﾞｼｯｸM" w:eastAsia="HGPｺﾞｼｯｸM"/>
                <w:sz w:val="21"/>
              </w:rPr>
              <w:t>）</w:t>
            </w:r>
          </w:p>
        </w:tc>
        <w:tc>
          <w:tcPr>
            <w:tcW w:w="3140" w:type="dxa"/>
            <w:gridSpan w:val="2"/>
            <w:shd w:val="clear" w:color="auto" w:themeFill="background1" w:themeFillTint="FF" w:themeFillShade="D9"/>
            <w:vAlign w:val="center"/>
          </w:tcPr>
          <w:p>
            <w:pPr>
              <w:pStyle w:val="0"/>
              <w:spacing w:before="10" w:beforeLines="0" w:beforeAutospacing="0"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仮置場必要面積</w:t>
            </w:r>
          </w:p>
        </w:tc>
      </w:tr>
      <w:tr>
        <w:trPr>
          <w:trHeight w:val="334" w:hRule="atLeast"/>
        </w:trPr>
        <w:tc>
          <w:tcPr>
            <w:tcW w:w="3114" w:type="dxa"/>
            <w:vMerge w:val="continue"/>
            <w:shd w:val="clear" w:color="auto" w:themeFill="background1" w:themeFillTint="FF" w:themeFillShade="D9"/>
            <w:vAlign w:val="center"/>
          </w:tcPr>
          <w:p>
            <w:pPr>
              <w:pStyle w:val="0"/>
              <w:spacing w:before="10" w:beforeLines="0" w:beforeAutospacing="0" w:line="276" w:lineRule="auto"/>
              <w:jc w:val="center"/>
              <w:rPr>
                <w:rFonts w:hint="default" w:ascii="HGPｺﾞｼｯｸM" w:hAnsi="HGPｺﾞｼｯｸM" w:eastAsia="HGPｺﾞｼｯｸM"/>
                <w:sz w:val="21"/>
              </w:rPr>
            </w:pPr>
          </w:p>
        </w:tc>
        <w:tc>
          <w:tcPr>
            <w:tcW w:w="2268" w:type="dxa"/>
            <w:vMerge w:val="continue"/>
            <w:shd w:val="clear" w:color="auto" w:themeFill="background1" w:themeFillTint="FF" w:themeFillShade="D9"/>
            <w:vAlign w:val="center"/>
          </w:tcPr>
          <w:p>
            <w:pPr>
              <w:pStyle w:val="0"/>
              <w:spacing w:before="10" w:beforeLines="0" w:beforeAutospacing="0" w:line="276" w:lineRule="auto"/>
              <w:jc w:val="center"/>
              <w:rPr>
                <w:rFonts w:hint="default" w:ascii="HGPｺﾞｼｯｸM" w:hAnsi="HGPｺﾞｼｯｸM" w:eastAsia="HGPｺﾞｼｯｸM"/>
                <w:sz w:val="21"/>
              </w:rPr>
            </w:pPr>
          </w:p>
        </w:tc>
        <w:tc>
          <w:tcPr>
            <w:tcW w:w="1751" w:type="dxa"/>
            <w:shd w:val="clear" w:color="auto" w:themeFill="background1" w:themeFillTint="FF" w:themeFillShade="D9"/>
            <w:vAlign w:val="center"/>
          </w:tcPr>
          <w:p>
            <w:pPr>
              <w:pStyle w:val="0"/>
              <w:spacing w:before="10" w:beforeLines="0" w:beforeAutospacing="0"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w:t>
            </w:r>
            <w:r>
              <w:rPr>
                <w:rFonts w:hint="eastAsia" w:ascii="HGPｺﾞｼｯｸM" w:hAnsi="HGPｺﾞｼｯｸM" w:eastAsia="HGPｺﾞｼｯｸM"/>
                <w:sz w:val="21"/>
              </w:rPr>
              <w:t>m</w:t>
            </w:r>
            <w:r>
              <w:rPr>
                <w:rFonts w:hint="eastAsia" w:ascii="HGPｺﾞｼｯｸM" w:hAnsi="HGPｺﾞｼｯｸM" w:eastAsia="HGPｺﾞｼｯｸM"/>
                <w:sz w:val="21"/>
                <w:vertAlign w:val="superscript"/>
              </w:rPr>
              <w:t>2</w:t>
            </w:r>
            <w:r>
              <w:rPr>
                <w:rFonts w:hint="eastAsia" w:ascii="HGPｺﾞｼｯｸM" w:hAnsi="HGPｺﾞｼｯｸM" w:eastAsia="HGPｺﾞｼｯｸM"/>
                <w:sz w:val="21"/>
              </w:rPr>
              <w:t>）</w:t>
            </w:r>
          </w:p>
        </w:tc>
        <w:tc>
          <w:tcPr>
            <w:tcW w:w="1389" w:type="dxa"/>
            <w:shd w:val="clear" w:color="auto" w:themeFill="background1" w:themeFillTint="FF" w:themeFillShade="D9"/>
            <w:vAlign w:val="center"/>
          </w:tcPr>
          <w:p>
            <w:pPr>
              <w:pStyle w:val="0"/>
              <w:spacing w:before="10" w:beforeLines="0" w:beforeAutospacing="0"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w:t>
            </w:r>
            <w:r>
              <w:rPr>
                <w:rFonts w:hint="default" w:ascii="HGPｺﾞｼｯｸM" w:hAnsi="HGPｺﾞｼｯｸM" w:eastAsia="HGPｺﾞｼｯｸM"/>
                <w:sz w:val="21"/>
              </w:rPr>
              <w:t>ha</w:t>
            </w:r>
            <w:r>
              <w:rPr>
                <w:rFonts w:hint="default" w:ascii="HGPｺﾞｼｯｸM" w:hAnsi="HGPｺﾞｼｯｸM" w:eastAsia="HGPｺﾞｼｯｸM"/>
                <w:sz w:val="21"/>
              </w:rPr>
              <w:t>）</w:t>
            </w:r>
          </w:p>
        </w:tc>
      </w:tr>
      <w:tr>
        <w:trPr>
          <w:trHeight w:val="334" w:hRule="atLeast"/>
        </w:trPr>
        <w:tc>
          <w:tcPr>
            <w:tcW w:w="3114" w:type="dxa"/>
            <w:vAlign w:val="top"/>
          </w:tcPr>
          <w:p>
            <w:pPr>
              <w:pStyle w:val="0"/>
              <w:spacing w:before="10" w:beforeLines="0" w:beforeAutospacing="0" w:line="276" w:lineRule="auto"/>
              <w:rPr>
                <w:rFonts w:hint="default" w:ascii="HGPｺﾞｼｯｸM" w:hAnsi="HGPｺﾞｼｯｸM" w:eastAsia="HGPｺﾞｼｯｸM"/>
                <w:sz w:val="21"/>
              </w:rPr>
            </w:pPr>
            <w:r>
              <w:rPr>
                <w:rFonts w:hint="eastAsia" w:ascii="HGPｺﾞｼｯｸM" w:hAnsi="HGPｺﾞｼｯｸM" w:eastAsia="HGPｺﾞｼｯｸM"/>
                <w:sz w:val="21"/>
              </w:rPr>
              <w:t>沖縄本島南部スラブ内地震</w:t>
            </w:r>
          </w:p>
        </w:tc>
        <w:tc>
          <w:tcPr>
            <w:tcW w:w="2268" w:type="dxa"/>
            <w:vAlign w:val="center"/>
          </w:tcPr>
          <w:p>
            <w:pPr>
              <w:pStyle w:val="0"/>
              <w:spacing w:before="10" w:beforeLines="0" w:beforeAutospacing="0" w:line="276" w:lineRule="auto"/>
              <w:jc w:val="center"/>
              <w:rPr>
                <w:rFonts w:hint="default" w:ascii="HGPｺﾞｼｯｸM" w:hAnsi="HGPｺﾞｼｯｸM" w:eastAsia="HGPｺﾞｼｯｸM"/>
                <w:sz w:val="21"/>
              </w:rPr>
            </w:pPr>
            <w:r>
              <w:rPr>
                <w:rFonts w:hint="default" w:ascii="HGPｺﾞｼｯｸM" w:hAnsi="HGPｺﾞｼｯｸM" w:eastAsia="HGPｺﾞｼｯｸM"/>
                <w:sz w:val="21"/>
              </w:rPr>
              <w:t>1</w:t>
            </w:r>
            <w:r>
              <w:rPr>
                <w:rFonts w:hint="eastAsia" w:ascii="HGPｺﾞｼｯｸM" w:hAnsi="HGPｺﾞｼｯｸM" w:eastAsia="HGPｺﾞｼｯｸM"/>
                <w:sz w:val="21"/>
              </w:rPr>
              <w:t>20,401</w:t>
            </w:r>
          </w:p>
        </w:tc>
        <w:tc>
          <w:tcPr>
            <w:tcW w:w="1751" w:type="dxa"/>
            <w:vAlign w:val="center"/>
          </w:tcPr>
          <w:p>
            <w:pPr>
              <w:pStyle w:val="0"/>
              <w:spacing w:before="10" w:beforeLines="0" w:beforeAutospacing="0"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58,055</w:t>
            </w:r>
          </w:p>
        </w:tc>
        <w:tc>
          <w:tcPr>
            <w:tcW w:w="1389" w:type="dxa"/>
            <w:vAlign w:val="center"/>
          </w:tcPr>
          <w:p>
            <w:pPr>
              <w:pStyle w:val="0"/>
              <w:spacing w:before="10" w:beforeLines="0" w:beforeAutospacing="0"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5.81</w:t>
            </w:r>
          </w:p>
        </w:tc>
      </w:tr>
      <w:tr>
        <w:trPr>
          <w:trHeight w:val="334" w:hRule="atLeast"/>
        </w:trPr>
        <w:tc>
          <w:tcPr>
            <w:tcW w:w="3114" w:type="dxa"/>
            <w:vAlign w:val="top"/>
          </w:tcPr>
          <w:p>
            <w:pPr>
              <w:pStyle w:val="0"/>
              <w:spacing w:before="10" w:beforeLines="0" w:beforeAutospacing="0"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想定風水害</w:t>
            </w:r>
          </w:p>
          <w:p>
            <w:pPr>
              <w:pStyle w:val="0"/>
              <w:spacing w:before="10" w:beforeLines="0" w:beforeAutospacing="0"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（国場川、宮平川溢水）</w:t>
            </w:r>
          </w:p>
        </w:tc>
        <w:tc>
          <w:tcPr>
            <w:tcW w:w="2268" w:type="dxa"/>
            <w:vAlign w:val="center"/>
          </w:tcPr>
          <w:p>
            <w:pPr>
              <w:pStyle w:val="0"/>
              <w:spacing w:before="10" w:beforeLines="0" w:beforeAutospacing="0"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3</w:t>
            </w:r>
            <w:r>
              <w:rPr>
                <w:rFonts w:hint="default" w:ascii="HGPｺﾞｼｯｸM" w:hAnsi="HGPｺﾞｼｯｸM" w:eastAsia="HGPｺﾞｼｯｸM"/>
                <w:sz w:val="21"/>
              </w:rPr>
              <w:t>,</w:t>
            </w:r>
            <w:r>
              <w:rPr>
                <w:rFonts w:hint="eastAsia" w:ascii="HGPｺﾞｼｯｸM" w:hAnsi="HGPｺﾞｼｯｸM" w:eastAsia="HGPｺﾞｼｯｸM"/>
                <w:sz w:val="21"/>
              </w:rPr>
              <w:t>427</w:t>
            </w:r>
          </w:p>
        </w:tc>
        <w:tc>
          <w:tcPr>
            <w:tcW w:w="1751" w:type="dxa"/>
            <w:vAlign w:val="center"/>
          </w:tcPr>
          <w:p>
            <w:pPr>
              <w:pStyle w:val="0"/>
              <w:spacing w:before="10" w:beforeLines="0" w:beforeAutospacing="0"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4,626</w:t>
            </w:r>
          </w:p>
        </w:tc>
        <w:tc>
          <w:tcPr>
            <w:tcW w:w="1389" w:type="dxa"/>
            <w:vAlign w:val="center"/>
          </w:tcPr>
          <w:p>
            <w:pPr>
              <w:pStyle w:val="0"/>
              <w:spacing w:before="10" w:beforeLines="0" w:beforeAutospacing="0" w:line="276" w:lineRule="auto"/>
              <w:jc w:val="center"/>
              <w:rPr>
                <w:rFonts w:hint="default" w:ascii="HGPｺﾞｼｯｸM" w:hAnsi="HGPｺﾞｼｯｸM" w:eastAsia="HGPｺﾞｼｯｸM"/>
                <w:sz w:val="21"/>
              </w:rPr>
            </w:pPr>
            <w:r>
              <w:rPr>
                <w:rFonts w:hint="eastAsia" w:ascii="HGPｺﾞｼｯｸM" w:hAnsi="HGPｺﾞｼｯｸM" w:eastAsia="HGPｺﾞｼｯｸM"/>
                <w:sz w:val="21"/>
              </w:rPr>
              <w:t>0.46</w:t>
            </w:r>
          </w:p>
        </w:tc>
      </w:tr>
    </w:tbl>
    <w:p>
      <w:pPr>
        <w:pStyle w:val="0"/>
        <w:spacing w:before="10" w:beforeLines="0" w:beforeAutospacing="0"/>
        <w:jc w:val="center"/>
        <w:rPr>
          <w:rFonts w:hint="default"/>
          <w:color w:val="000000" w:themeColor="text1"/>
          <w:sz w:val="21"/>
        </w:rPr>
      </w:pPr>
    </w:p>
    <w:p>
      <w:pPr>
        <w:pStyle w:val="0"/>
        <w:spacing w:before="10" w:beforeLines="0" w:beforeAutospacing="0"/>
        <w:jc w:val="center"/>
        <w:rPr>
          <w:rFonts w:hint="default"/>
          <w:color w:val="000000" w:themeColor="text1"/>
          <w:sz w:val="21"/>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ascii="ＭＳ 明朝" w:hAnsi="ＭＳ 明朝" w:eastAsia="ＭＳ 明朝"/>
        </w:rPr>
      </w:pPr>
    </w:p>
    <w:p>
      <w:pPr>
        <w:pStyle w:val="0"/>
        <w:widowControl w:val="1"/>
        <w:autoSpaceDE w:val="1"/>
        <w:autoSpaceDN w:val="1"/>
        <w:rPr>
          <w:rFonts w:hint="default"/>
          <w:color w:val="FF0000"/>
          <w:sz w:val="21"/>
        </w:rPr>
      </w:pPr>
    </w:p>
    <w:p>
      <w:pPr>
        <w:pStyle w:val="0"/>
        <w:widowControl w:val="1"/>
        <w:autoSpaceDE w:val="1"/>
        <w:autoSpaceDN w:val="1"/>
        <w:rPr>
          <w:rFonts w:hint="default"/>
          <w:color w:val="FF0000"/>
          <w:sz w:val="21"/>
        </w:rPr>
      </w:pPr>
    </w:p>
    <w:p>
      <w:pPr>
        <w:pStyle w:val="0"/>
        <w:widowControl w:val="1"/>
        <w:autoSpaceDE w:val="1"/>
        <w:autoSpaceDN w:val="1"/>
        <w:rPr>
          <w:rFonts w:hint="default"/>
          <w:color w:val="FF0000"/>
          <w:sz w:val="21"/>
        </w:rPr>
      </w:pPr>
    </w:p>
    <w:p>
      <w:pPr>
        <w:pStyle w:val="0"/>
        <w:widowControl w:val="1"/>
        <w:autoSpaceDE w:val="1"/>
        <w:autoSpaceDN w:val="1"/>
        <w:rPr>
          <w:rFonts w:hint="default"/>
          <w:color w:val="FF0000"/>
          <w:sz w:val="21"/>
        </w:rPr>
      </w:pPr>
    </w:p>
    <w:p>
      <w:pPr>
        <w:pStyle w:val="0"/>
        <w:widowControl w:val="1"/>
        <w:autoSpaceDE w:val="1"/>
        <w:autoSpaceDN w:val="1"/>
        <w:rPr>
          <w:rFonts w:hint="default"/>
          <w:color w:val="FF0000"/>
          <w:sz w:val="21"/>
        </w:rPr>
      </w:pPr>
    </w:p>
    <w:p>
      <w:pPr>
        <w:pStyle w:val="0"/>
        <w:widowControl w:val="1"/>
        <w:autoSpaceDE w:val="1"/>
        <w:autoSpaceDN w:val="1"/>
        <w:rPr>
          <w:rFonts w:hint="default"/>
          <w:color w:val="FF0000"/>
          <w:sz w:val="21"/>
        </w:rPr>
      </w:pPr>
    </w:p>
    <w:p>
      <w:pPr>
        <w:pStyle w:val="0"/>
        <w:widowControl w:val="1"/>
        <w:autoSpaceDE w:val="1"/>
        <w:autoSpaceDN w:val="1"/>
        <w:rPr>
          <w:rFonts w:hint="default"/>
          <w:color w:val="FF0000"/>
          <w:sz w:val="21"/>
        </w:rPr>
      </w:pPr>
    </w:p>
    <w:p>
      <w:pPr>
        <w:rPr>
          <w:rFonts w:hint="default" w:ascii="ＭＳ 明朝" w:hAnsi="ＭＳ 明朝" w:eastAsia="ＭＳ 明朝"/>
          <w:color w:val="FF0000"/>
          <w:sz w:val="18"/>
        </w:rPr>
        <w:sectPr>
          <w:pgSz w:w="11910" w:h="16840"/>
          <w:pgMar w:top="1380" w:right="1060" w:bottom="1520" w:left="1540" w:header="0" w:footer="397" w:gutter="0"/>
          <w:cols w:space="720"/>
          <w:textDirection w:val="lrTb"/>
          <w:docGrid w:linePitch="299"/>
        </w:sectPr>
      </w:pPr>
    </w:p>
    <w:p>
      <w:pPr>
        <w:pStyle w:val="0"/>
        <w:spacing w:before="26" w:beforeLines="0" w:beforeAutospacing="0"/>
        <w:ind w:firstLine="210" w:firstLineChars="100"/>
        <w:rPr>
          <w:rFonts w:hint="default"/>
          <w:sz w:val="21"/>
        </w:rPr>
      </w:pPr>
      <w:r>
        <w:rPr>
          <w:rFonts w:hint="eastAsia"/>
          <w:sz w:val="21"/>
        </w:rPr>
        <w:t>２）住民への仮置場の周知</w:t>
      </w:r>
    </w:p>
    <w:p>
      <w:pPr>
        <w:pStyle w:val="0"/>
        <w:spacing w:before="46" w:beforeLines="0" w:beforeAutospacing="0" w:line="276" w:lineRule="auto"/>
        <w:ind w:right="152" w:firstLine="210" w:firstLineChars="100"/>
        <w:rPr>
          <w:rFonts w:hint="default" w:ascii="ＭＳ 明朝" w:hAnsi="ＭＳ 明朝" w:eastAsia="ＭＳ 明朝"/>
          <w:sz w:val="21"/>
        </w:rPr>
      </w:pPr>
      <w:r>
        <w:rPr>
          <w:rFonts w:hint="eastAsia" w:ascii="ＭＳ 明朝" w:hAnsi="ＭＳ 明朝" w:eastAsia="ＭＳ 明朝"/>
          <w:sz w:val="21"/>
        </w:rPr>
        <w:t>仮置場を設置した時には、場所、受入れ期間（時間）、分別、持込禁止物等を明確にしたうえで広報を行う。広報は、インターネット、チラシ、放送等複数の方法により行い、全世帯へ周知できるようにする。</w:t>
      </w:r>
    </w:p>
    <w:p>
      <w:pPr>
        <w:pStyle w:val="0"/>
        <w:spacing w:before="3" w:beforeLines="0" w:beforeAutospacing="0"/>
        <w:rPr>
          <w:rFonts w:hint="default"/>
          <w:sz w:val="21"/>
        </w:rPr>
      </w:pPr>
    </w:p>
    <w:p>
      <w:pPr>
        <w:pStyle w:val="0"/>
        <w:ind w:left="218"/>
        <w:rPr>
          <w:rFonts w:hint="default"/>
          <w:sz w:val="21"/>
        </w:rPr>
      </w:pPr>
      <w:r>
        <w:rPr>
          <w:rFonts w:hint="eastAsia"/>
          <w:sz w:val="21"/>
        </w:rPr>
        <w:t>３）仮置場の設置、運営</w:t>
      </w:r>
    </w:p>
    <w:p>
      <w:pPr>
        <w:pStyle w:val="0"/>
        <w:spacing w:before="45" w:beforeLines="0" w:beforeAutospacing="0" w:line="276" w:lineRule="auto"/>
        <w:ind w:right="152" w:firstLine="216" w:firstLineChars="100"/>
        <w:rPr>
          <w:rFonts w:hint="default" w:ascii="ＭＳ 明朝" w:hAnsi="ＭＳ 明朝" w:eastAsia="ＭＳ 明朝"/>
          <w:spacing w:val="3"/>
          <w:sz w:val="21"/>
        </w:rPr>
      </w:pPr>
      <w:r>
        <w:rPr>
          <w:rFonts w:hint="eastAsia" w:ascii="ＭＳ 明朝" w:hAnsi="ＭＳ 明朝" w:eastAsia="ＭＳ 明朝"/>
          <w:spacing w:val="3"/>
          <w:sz w:val="21"/>
        </w:rPr>
        <w:t>平成２３年東日本大震災や平成２８年熊本地震など過去の大災害の教訓から、処理期間の短縮、低コスト化、生活環境の保全や公衆衛生の悪化の防止等の観点から、搬入時から分別を徹底することが重要とされているため、本町においても同様に行う。</w:t>
      </w:r>
    </w:p>
    <w:p>
      <w:pPr>
        <w:pStyle w:val="0"/>
        <w:spacing w:before="45" w:beforeLines="0" w:beforeAutospacing="0" w:line="276" w:lineRule="auto"/>
        <w:ind w:right="152" w:firstLine="210" w:firstLineChars="100"/>
        <w:rPr>
          <w:rFonts w:hint="default" w:ascii="ＭＳ 明朝" w:hAnsi="ＭＳ 明朝" w:eastAsia="ＭＳ 明朝"/>
          <w:sz w:val="21"/>
        </w:rPr>
      </w:pPr>
    </w:p>
    <w:p>
      <w:pPr>
        <w:pStyle w:val="0"/>
        <w:spacing w:before="9" w:beforeLines="0" w:beforeAutospacing="0" w:line="276" w:lineRule="auto"/>
        <w:ind w:left="284" w:leftChars="129" w:right="217"/>
        <w:jc w:val="both"/>
        <w:rPr>
          <w:rFonts w:hint="default" w:ascii="ＭＳ 明朝" w:hAnsi="ＭＳ 明朝" w:eastAsia="ＭＳ 明朝"/>
          <w:sz w:val="21"/>
        </w:rPr>
      </w:pPr>
      <w:r>
        <w:rPr>
          <w:rFonts w:hint="eastAsia" w:ascii="ＭＳ 明朝" w:hAnsi="ＭＳ 明朝" w:eastAsia="ＭＳ 明朝"/>
          <w:sz w:val="21"/>
        </w:rPr>
        <w:t>◆仮置場の選定は、候補地リストの中から、災害対策本部内で調整のうえ行う。</w:t>
      </w:r>
    </w:p>
    <w:p>
      <w:pPr>
        <w:pStyle w:val="0"/>
        <w:spacing w:before="9" w:beforeLines="0" w:beforeAutospacing="0" w:line="276" w:lineRule="auto"/>
        <w:ind w:left="494" w:leftChars="129" w:right="217" w:hanging="210" w:hangingChars="100"/>
        <w:jc w:val="both"/>
        <w:rPr>
          <w:rFonts w:hint="default" w:ascii="ＭＳ 明朝" w:hAnsi="ＭＳ 明朝" w:eastAsia="ＭＳ 明朝"/>
          <w:sz w:val="21"/>
        </w:rPr>
      </w:pPr>
      <w:r>
        <w:rPr>
          <w:rFonts w:hint="eastAsia" w:ascii="ＭＳ 明朝" w:hAnsi="ＭＳ 明朝" w:eastAsia="ＭＳ 明朝"/>
          <w:sz w:val="21"/>
        </w:rPr>
        <w:t>◆仮置場候補地は、平常時若しくは使用前に土壌調査、土壌のサンプリングをしておくことが望ましい。</w:t>
      </w:r>
    </w:p>
    <w:p>
      <w:pPr>
        <w:pStyle w:val="0"/>
        <w:spacing w:before="9" w:beforeLines="0" w:beforeAutospacing="0" w:line="276" w:lineRule="auto"/>
        <w:ind w:left="494" w:leftChars="129" w:right="217" w:hanging="210" w:hangingChars="100"/>
        <w:jc w:val="both"/>
        <w:rPr>
          <w:rFonts w:hint="default" w:ascii="ＭＳ 明朝" w:hAnsi="ＭＳ 明朝" w:eastAsia="ＭＳ 明朝"/>
          <w:sz w:val="21"/>
        </w:rPr>
      </w:pPr>
      <w:r>
        <w:rPr>
          <w:rFonts w:hint="eastAsia" w:ascii="ＭＳ 明朝" w:hAnsi="ＭＳ 明朝" w:eastAsia="ＭＳ 明朝"/>
          <w:sz w:val="21"/>
        </w:rPr>
        <w:t>◆保管する予定の廃棄物の性状、地下地盤の状況（透水性の高い石灰岩質等の場合）に応じて、シート敷設等の土壌汚染、地下水汚染防止対策を検討する。</w:t>
      </w:r>
    </w:p>
    <w:p>
      <w:pPr>
        <w:pStyle w:val="0"/>
        <w:spacing w:before="9" w:beforeLines="0" w:beforeAutospacing="0" w:line="276" w:lineRule="auto"/>
        <w:ind w:left="284" w:leftChars="129" w:right="217"/>
        <w:jc w:val="both"/>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◆仮置場では、円滑に通行できるよう一方通行の動線とすることに努め、交通誘導員（２人）を配置する。</w:t>
      </w:r>
    </w:p>
    <w:p>
      <w:pPr>
        <w:pStyle w:val="0"/>
        <w:spacing w:before="9" w:beforeLines="0" w:beforeAutospacing="0" w:line="276" w:lineRule="auto"/>
        <w:ind w:left="284" w:leftChars="129" w:right="212"/>
        <w:jc w:val="both"/>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◆仮置場内の分別品目ごとに看板を設置する。（平常時に作成しておく。）</w:t>
      </w:r>
    </w:p>
    <w:p>
      <w:pPr>
        <w:pStyle w:val="0"/>
        <w:spacing w:before="9" w:beforeLines="0" w:beforeAutospacing="0" w:line="276" w:lineRule="auto"/>
        <w:ind w:left="494" w:leftChars="129" w:right="213" w:hanging="210" w:hangingChars="100"/>
        <w:jc w:val="both"/>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◆生ごみは搬入不可とする。また、家電４品目（エアコン、テレビ、冷蔵庫、洗濯機）は可能な限り、買い替え時に購入店に引き取ってもらうようにする。</w:t>
      </w:r>
    </w:p>
    <w:p>
      <w:pPr>
        <w:pStyle w:val="0"/>
        <w:spacing w:before="9" w:beforeLines="0" w:beforeAutospacing="0" w:line="276" w:lineRule="auto"/>
        <w:ind w:left="494" w:leftChars="129" w:right="217" w:rightChars="0" w:hanging="210" w:hangingChars="100"/>
        <w:jc w:val="both"/>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◆災害廃棄物は種類ごとの発生量や体積の違いを考慮し、区分ごとのスペースを決める。</w:t>
      </w:r>
    </w:p>
    <w:p>
      <w:pPr>
        <w:pStyle w:val="0"/>
        <w:spacing w:before="9" w:beforeLines="0" w:beforeAutospacing="0" w:line="276" w:lineRule="auto"/>
        <w:ind w:left="494" w:leftChars="129" w:right="217" w:rightChars="0" w:hanging="210" w:hangingChars="100"/>
        <w:jc w:val="both"/>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◆受付対応は便乗ごみの防止対策を行う上でも重要なため、被災自治体職員が担当することが望ましいため、最低１名は被災自治体職員を仮置場へ配置する。</w:t>
      </w:r>
    </w:p>
    <w:p>
      <w:pPr>
        <w:pStyle w:val="0"/>
        <w:spacing w:before="9" w:beforeLines="0" w:beforeAutospacing="0" w:line="276" w:lineRule="auto"/>
        <w:ind w:left="494" w:leftChars="129" w:right="217" w:rightChars="0" w:hanging="210" w:hangingChars="100"/>
        <w:jc w:val="both"/>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◆分別品目ごとに作業員（５～６人）を配置し、分別配置の指導や荷下ろしの補助を行う。</w:t>
      </w:r>
    </w:p>
    <w:p>
      <w:pPr>
        <w:pStyle w:val="0"/>
        <w:spacing w:before="6" w:beforeLines="0" w:beforeAutospacing="0" w:line="276" w:lineRule="auto"/>
        <w:ind w:left="494" w:leftChars="129" w:right="226" w:hanging="210" w:hangingChars="100"/>
        <w:rPr>
          <w:rFonts w:hint="default" w:ascii="ＭＳ 明朝" w:hAnsi="ＭＳ 明朝" w:eastAsia="ＭＳ 明朝"/>
          <w:b w:val="0"/>
          <w:sz w:val="21"/>
          <w:u w:val="none" w:color="auto"/>
        </w:rPr>
      </w:pPr>
      <w:r>
        <w:rPr>
          <w:rFonts w:hint="eastAsia" w:ascii="ＭＳ 明朝" w:hAnsi="ＭＳ 明朝" w:eastAsia="ＭＳ 明朝"/>
          <w:b w:val="0"/>
          <w:sz w:val="21"/>
          <w:u w:val="none" w:color="auto"/>
        </w:rPr>
        <w:t>◆火災防止のため、ガスボンベ、灯油タンク等の危険物は搬入しないようにする。搬入されてしまった場合は、他の災害廃棄物と分けて保管し、可燃性廃棄物の近くに置かないようにする。</w:t>
      </w:r>
    </w:p>
    <w:p>
      <w:pPr>
        <w:pStyle w:val="0"/>
        <w:spacing w:before="6" w:beforeLines="0" w:beforeAutospacing="0" w:line="276" w:lineRule="auto"/>
        <w:ind w:left="494" w:leftChars="129" w:right="226" w:hanging="210" w:hangingChars="100"/>
        <w:rPr>
          <w:rFonts w:hint="default" w:ascii="ＭＳ 明朝" w:hAnsi="ＭＳ 明朝" w:eastAsia="ＭＳ 明朝"/>
          <w:b w:val="1"/>
          <w:sz w:val="21"/>
          <w:u w:val="single" w:color="auto"/>
        </w:rPr>
      </w:pPr>
      <w:r>
        <w:rPr>
          <w:rFonts w:hint="eastAsia" w:ascii="ＭＳ 明朝" w:hAnsi="ＭＳ 明朝" w:eastAsia="ＭＳ 明朝"/>
          <w:b w:val="0"/>
          <w:sz w:val="21"/>
          <w:u w:val="none" w:color="auto"/>
        </w:rPr>
        <w:t>◆必要な資機材や管理に必要な重機等の調達・支援については、今後予定している沖縄県、県内市町村及び一般廃棄物の共同処理を目的とする関係一部事務組合、一般社団法人沖縄県産業資源循環協会による３者協定に基づいて行う。</w:t>
      </w:r>
    </w:p>
    <w:p>
      <w:pPr>
        <w:pStyle w:val="0"/>
        <w:spacing w:before="9" w:beforeLines="0" w:beforeAutospacing="0" w:line="276" w:lineRule="auto"/>
        <w:ind w:left="494" w:leftChars="129" w:right="226" w:hanging="210" w:hangingChars="100"/>
        <w:rPr>
          <w:rFonts w:hint="default" w:ascii="ＭＳ 明朝" w:hAnsi="ＭＳ 明朝" w:eastAsia="ＭＳ 明朝"/>
          <w:sz w:val="21"/>
        </w:rPr>
      </w:pPr>
      <w:r>
        <w:rPr>
          <w:rFonts w:hint="eastAsia" w:ascii="ＭＳ 明朝" w:hAnsi="ＭＳ 明朝" w:eastAsia="ＭＳ 明朝"/>
          <w:b w:val="0"/>
          <w:sz w:val="21"/>
          <w:u w:val="none" w:color="auto"/>
        </w:rPr>
        <w:t>◆状況に応じ、不法投棄の防止</w:t>
      </w:r>
      <w:r>
        <w:rPr>
          <w:rFonts w:hint="eastAsia" w:ascii="ＭＳ 明朝" w:hAnsi="ＭＳ 明朝" w:eastAsia="ＭＳ 明朝"/>
          <w:sz w:val="21"/>
        </w:rPr>
        <w:t>や第３者の侵入防止、強風による飛散防止、騒音の軽減を図るため、仮置場周囲に、フェンス等の囲いを設置する。</w:t>
      </w:r>
    </w:p>
    <w:p>
      <w:pPr>
        <w:pStyle w:val="0"/>
        <w:spacing w:before="9" w:beforeLines="0" w:beforeAutospacing="0" w:line="276" w:lineRule="auto"/>
        <w:ind w:left="494" w:leftChars="129" w:right="226" w:hanging="210" w:hangingChars="100"/>
        <w:rPr>
          <w:rFonts w:hint="default" w:ascii="ＭＳ 明朝" w:hAnsi="ＭＳ 明朝" w:eastAsia="ＭＳ 明朝"/>
          <w:sz w:val="21"/>
        </w:rPr>
      </w:pPr>
      <w:r>
        <w:rPr>
          <w:rFonts w:hint="eastAsia" w:ascii="ＭＳ 明朝" w:hAnsi="ＭＳ 明朝" w:eastAsia="ＭＳ 明朝"/>
          <w:sz w:val="21"/>
        </w:rPr>
        <w:t>◆仮置場の設置場所（住宅密集地付近、都市公園、国立・国定公園内等）に応じて、必要な環境モニタリング（臭気、騒音、振動、周辺河川水質、地下水、粉じん等）を実施する。</w:t>
      </w:r>
    </w:p>
    <w:p>
      <w:pPr>
        <w:pStyle w:val="0"/>
        <w:widowControl w:val="1"/>
        <w:autoSpaceDE w:val="1"/>
        <w:autoSpaceDN w:val="1"/>
        <w:rPr>
          <w:rFonts w:hint="default" w:ascii="ＭＳ 明朝" w:hAnsi="ＭＳ 明朝" w:eastAsia="ＭＳ 明朝"/>
          <w:sz w:val="21"/>
        </w:rPr>
      </w:pPr>
    </w:p>
    <w:p>
      <w:pPr>
        <w:pStyle w:val="0"/>
        <w:widowControl w:val="1"/>
        <w:autoSpaceDE w:val="1"/>
        <w:autoSpaceDN w:val="1"/>
        <w:rPr>
          <w:rFonts w:hint="default" w:ascii="ＭＳ 明朝" w:hAnsi="ＭＳ 明朝" w:eastAsia="ＭＳ 明朝"/>
          <w:sz w:val="21"/>
        </w:rPr>
      </w:pPr>
    </w:p>
    <w:p>
      <w:pPr>
        <w:pStyle w:val="0"/>
        <w:widowControl w:val="1"/>
        <w:autoSpaceDE w:val="1"/>
        <w:autoSpaceDN w:val="1"/>
        <w:rPr>
          <w:rFonts w:hint="default" w:ascii="ＭＳ 明朝" w:hAnsi="ＭＳ 明朝" w:eastAsia="ＭＳ 明朝"/>
          <w:sz w:val="21"/>
        </w:rPr>
      </w:pPr>
    </w:p>
    <w:p>
      <w:pPr>
        <w:pStyle w:val="0"/>
        <w:widowControl w:val="1"/>
        <w:autoSpaceDE w:val="1"/>
        <w:autoSpaceDN w:val="1"/>
        <w:rPr>
          <w:rFonts w:hint="default" w:ascii="ＭＳ 明朝" w:hAnsi="ＭＳ 明朝" w:eastAsia="ＭＳ 明朝"/>
          <w:sz w:val="21"/>
        </w:rPr>
      </w:pPr>
    </w:p>
    <w:p>
      <w:pPr>
        <w:pStyle w:val="0"/>
        <w:widowControl w:val="1"/>
        <w:autoSpaceDE w:val="1"/>
        <w:autoSpaceDN w:val="1"/>
        <w:rPr>
          <w:rFonts w:hint="default" w:ascii="ＭＳ 明朝" w:hAnsi="ＭＳ 明朝" w:eastAsia="ＭＳ 明朝"/>
          <w:sz w:val="21"/>
        </w:rPr>
      </w:pPr>
    </w:p>
    <w:p>
      <w:pPr>
        <w:pStyle w:val="0"/>
        <w:widowControl w:val="1"/>
        <w:autoSpaceDE w:val="1"/>
        <w:autoSpaceDN w:val="1"/>
        <w:rPr>
          <w:rFonts w:hint="default" w:ascii="ＭＳ 明朝" w:hAnsi="ＭＳ 明朝" w:eastAsia="ＭＳ 明朝"/>
          <w:sz w:val="21"/>
        </w:rPr>
      </w:pPr>
    </w:p>
    <w:p>
      <w:pPr>
        <w:pStyle w:val="0"/>
        <w:spacing w:before="45" w:beforeLines="0" w:beforeAutospacing="0" w:line="276" w:lineRule="auto"/>
        <w:ind w:right="152"/>
        <w:jc w:val="center"/>
        <w:rPr>
          <w:rFonts w:hint="default"/>
          <w:sz w:val="21"/>
        </w:rPr>
      </w:pPr>
      <w:r>
        <w:rPr>
          <w:rFonts w:hint="eastAsia"/>
          <w:sz w:val="21"/>
        </w:rPr>
        <w:t>表２８　仮置場の種類</w:t>
      </w:r>
    </w:p>
    <w:tbl>
      <w:tblPr>
        <w:tblStyle w:val="61"/>
        <w:tblW w:w="8217" w:type="dxa"/>
        <w:jc w:val="center"/>
        <w:tblInd w:w="0" w:type="dxa"/>
        <w:tblLayout w:type="fixed"/>
        <w:tblLook w:firstRow="1" w:lastRow="0" w:firstColumn="1" w:lastColumn="0" w:noHBand="0" w:noVBand="1" w:val="04A0"/>
      </w:tblPr>
      <w:tblGrid>
        <w:gridCol w:w="1476"/>
        <w:gridCol w:w="6741"/>
      </w:tblGrid>
      <w:tr>
        <w:trPr>
          <w:trHeight w:val="1182" w:hRule="atLeast"/>
        </w:trPr>
        <w:tc>
          <w:tcPr>
            <w:tcW w:w="14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before="45" w:beforeLines="0" w:beforeAutospacing="0" w:line="276" w:lineRule="auto"/>
              <w:ind w:right="39"/>
              <w:jc w:val="center"/>
              <w:rPr>
                <w:rFonts w:hint="default" w:ascii="HGSｺﾞｼｯｸM" w:hAnsi="HGSｺﾞｼｯｸM" w:eastAsia="HGSｺﾞｼｯｸM"/>
                <w:sz w:val="21"/>
              </w:rPr>
            </w:pPr>
            <w:r>
              <w:rPr>
                <w:rFonts w:hint="eastAsia" w:ascii="HGSｺﾞｼｯｸM" w:hAnsi="HGSｺﾞｼｯｸM" w:eastAsia="HGSｺﾞｼｯｸM"/>
                <w:sz w:val="21"/>
              </w:rPr>
              <w:t>一次仮置場</w:t>
            </w:r>
          </w:p>
        </w:tc>
        <w:tc>
          <w:tcPr>
            <w:tcW w:w="674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45" w:beforeLines="0" w:beforeAutospacing="0" w:line="276" w:lineRule="auto"/>
              <w:ind w:right="152"/>
              <w:rPr>
                <w:rFonts w:hint="default" w:ascii="HGSｺﾞｼｯｸM" w:hAnsi="HGSｺﾞｼｯｸM" w:eastAsia="HGSｺﾞｼｯｸM"/>
                <w:sz w:val="21"/>
              </w:rPr>
            </w:pPr>
            <w:r>
              <w:rPr>
                <w:rFonts w:hint="eastAsia" w:ascii="HGSｺﾞｼｯｸM" w:hAnsi="HGSｺﾞｼｯｸM" w:eastAsia="HGSｺﾞｼｯｸM"/>
                <w:sz w:val="21"/>
              </w:rPr>
              <w:t>片付けごみ、被災した建物、土砂混じり廃棄物等の災害廃棄物を搬入し、二次仮置場での処理を行うまでの間の分別・保管を基本とする。</w:t>
            </w:r>
          </w:p>
        </w:tc>
      </w:tr>
      <w:tr>
        <w:trPr>
          <w:trHeight w:val="1270" w:hRule="atLeast"/>
        </w:trPr>
        <w:tc>
          <w:tcPr>
            <w:tcW w:w="14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background1" w:themeFillTint="FF" w:themeFillShade="D9"/>
            <w:vAlign w:val="center"/>
          </w:tcPr>
          <w:p>
            <w:pPr>
              <w:pStyle w:val="0"/>
              <w:spacing w:before="45" w:beforeLines="0" w:beforeAutospacing="0" w:line="276" w:lineRule="auto"/>
              <w:jc w:val="center"/>
              <w:rPr>
                <w:rFonts w:hint="default" w:ascii="HGSｺﾞｼｯｸM" w:hAnsi="HGSｺﾞｼｯｸM" w:eastAsia="HGSｺﾞｼｯｸM"/>
                <w:sz w:val="21"/>
              </w:rPr>
            </w:pPr>
            <w:r>
              <w:rPr>
                <w:rFonts w:hint="eastAsia" w:ascii="HGSｺﾞｼｯｸM" w:hAnsi="HGSｺﾞｼｯｸM" w:eastAsia="HGSｺﾞｼｯｸM"/>
                <w:sz w:val="21"/>
              </w:rPr>
              <w:t>二次仮置場</w:t>
            </w:r>
          </w:p>
        </w:tc>
        <w:tc>
          <w:tcPr>
            <w:tcW w:w="674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before="45" w:beforeLines="0" w:beforeAutospacing="0" w:line="276" w:lineRule="auto"/>
              <w:ind w:right="152"/>
              <w:rPr>
                <w:rFonts w:hint="default" w:ascii="HGSｺﾞｼｯｸM" w:hAnsi="HGSｺﾞｼｯｸM" w:eastAsia="HGSｺﾞｼｯｸM"/>
                <w:sz w:val="21"/>
              </w:rPr>
            </w:pPr>
            <w:r>
              <w:rPr>
                <w:rFonts w:hint="eastAsia" w:ascii="HGSｺﾞｼｯｸM" w:hAnsi="HGSｺﾞｼｯｸM" w:eastAsia="HGSｺﾞｼｯｸM"/>
                <w:sz w:val="21"/>
              </w:rPr>
              <w:t>一次仮置場で処理した災害廃棄物を搬入し、焼却施設や最終処分場等への施設に搬入するまでの間の保管や、受入のための中間処理（破砕・選別）を行う。必要に応じて仮設焼却炉を設置する場合もある。</w:t>
            </w:r>
          </w:p>
        </w:tc>
      </w:tr>
    </w:tbl>
    <w:p>
      <w:pPr>
        <w:pStyle w:val="0"/>
        <w:spacing w:before="9" w:beforeLines="0" w:beforeAutospacing="0" w:line="276" w:lineRule="auto"/>
        <w:ind w:left="494" w:leftChars="129" w:right="226" w:hanging="210" w:hangingChars="100"/>
        <w:rPr>
          <w:rFonts w:hint="default" w:ascii="ＭＳ 明朝" w:hAnsi="ＭＳ 明朝" w:eastAsia="ＭＳ 明朝"/>
          <w:sz w:val="21"/>
        </w:rPr>
      </w:pPr>
      <w:r>
        <w:rPr>
          <w:rFonts w:hint="eastAsia"/>
          <w:sz w:val="21"/>
        </w:rPr>
        <w:drawing>
          <wp:anchor distT="0" distB="0" distL="0" distR="0" simplePos="0" relativeHeight="57" behindDoc="0" locked="0" layoutInCell="1" hidden="0" allowOverlap="1">
            <wp:simplePos x="0" y="0"/>
            <wp:positionH relativeFrom="margin">
              <wp:align>center</wp:align>
            </wp:positionH>
            <wp:positionV relativeFrom="paragraph">
              <wp:posOffset>232410</wp:posOffset>
            </wp:positionV>
            <wp:extent cx="5494655" cy="3023235"/>
            <wp:effectExtent l="0" t="0" r="0" b="0"/>
            <wp:wrapTopAndBottom/>
            <wp:docPr id="1118" name="image4.png"/>
            <a:graphic xmlns:a="http://schemas.openxmlformats.org/drawingml/2006/main">
              <a:graphicData uri="http://schemas.openxmlformats.org/drawingml/2006/picture">
                <pic:pic xmlns:pic="http://schemas.openxmlformats.org/drawingml/2006/picture">
                  <pic:nvPicPr>
                    <pic:cNvPr id="1118" name="image4.png"/>
                    <pic:cNvPicPr>
                      <a:picLocks noChangeAspect="1" noChangeArrowheads="1"/>
                    </pic:cNvPicPr>
                  </pic:nvPicPr>
                  <pic:blipFill>
                    <a:blip r:embed="rId17">
                      <a:grayscl/>
                    </a:blip>
                    <a:stretch>
                      <a:fillRect/>
                    </a:stretch>
                  </pic:blipFill>
                  <pic:spPr>
                    <a:xfrm>
                      <a:off x="0" y="0"/>
                      <a:ext cx="5494655" cy="3023235"/>
                    </a:xfrm>
                    <a:prstGeom prst="rect">
                      <a:avLst/>
                    </a:prstGeom>
                    <a:noFill/>
                  </pic:spPr>
                </pic:pic>
              </a:graphicData>
            </a:graphic>
          </wp:anchor>
        </w:drawing>
      </w:r>
    </w:p>
    <w:p>
      <w:pPr>
        <w:pStyle w:val="0"/>
        <w:spacing w:before="9" w:beforeLines="0" w:beforeAutospacing="0" w:line="276" w:lineRule="auto"/>
        <w:ind w:left="494" w:leftChars="129" w:right="226" w:hanging="210" w:hangingChars="100"/>
        <w:jc w:val="center"/>
        <w:rPr>
          <w:rFonts w:hint="default"/>
          <w:sz w:val="21"/>
        </w:rPr>
      </w:pPr>
      <w:r>
        <w:rPr>
          <w:rFonts w:hint="eastAsia"/>
          <w:sz w:val="21"/>
        </w:rPr>
        <w:t>図１１</w:t>
      </w:r>
      <w:r>
        <w:rPr>
          <w:rFonts w:hint="eastAsia" w:asciiTheme="minorEastAsia" w:hAnsiTheme="minorEastAsia" w:eastAsiaTheme="minorEastAsia"/>
          <w:sz w:val="21"/>
        </w:rPr>
        <w:t>　</w:t>
      </w:r>
      <w:r>
        <w:rPr>
          <w:rFonts w:hint="eastAsia"/>
          <w:sz w:val="21"/>
        </w:rPr>
        <w:t>仮置場の分別配置の例</w:t>
      </w:r>
    </w:p>
    <w:p>
      <w:pPr>
        <w:pStyle w:val="0"/>
        <w:spacing w:before="84" w:beforeLines="0" w:beforeAutospacing="0"/>
        <w:rPr>
          <w:rFonts w:hint="default" w:ascii="ＭＳ 明朝" w:hAnsi="ＭＳ 明朝" w:eastAsia="ＭＳ 明朝"/>
          <w:sz w:val="18"/>
        </w:rPr>
      </w:pPr>
      <w:r>
        <w:rPr>
          <w:rFonts w:hint="eastAsia" w:ascii="ＭＳ 明朝" w:hAnsi="ＭＳ 明朝" w:eastAsia="ＭＳ 明朝"/>
          <w:sz w:val="18"/>
        </w:rPr>
        <w:t>※分別配置等は例であり、災害の種類や規模、仮置場の場所によって変化する。</w:t>
      </w:r>
    </w:p>
    <w:p>
      <w:pPr>
        <w:pStyle w:val="0"/>
        <w:spacing w:before="72" w:beforeLines="0" w:beforeAutospacing="0" w:line="300" w:lineRule="auto"/>
        <w:ind w:left="180" w:right="391" w:hanging="180" w:hangingChars="100"/>
        <w:rPr>
          <w:rFonts w:hint="default" w:ascii="ＭＳ 明朝" w:hAnsi="ＭＳ 明朝" w:eastAsia="ＭＳ 明朝"/>
          <w:sz w:val="18"/>
        </w:rPr>
      </w:pPr>
      <w:r>
        <w:rPr>
          <w:rFonts w:hint="eastAsia" w:ascii="ＭＳ 明朝" w:hAnsi="ＭＳ 明朝" w:eastAsia="ＭＳ 明朝"/>
          <w:sz w:val="18"/>
        </w:rPr>
        <w:t>※災害廃棄物の分別区分は、平常時のごみの分別区分を参考に、処理業者等の関係者と協議して決めるのが望ましい。</w:t>
      </w:r>
    </w:p>
    <w:p>
      <w:pPr>
        <w:pStyle w:val="0"/>
        <w:spacing w:before="17" w:beforeLines="0" w:beforeAutospacing="0" w:line="300" w:lineRule="auto"/>
        <w:ind w:left="180" w:right="226" w:hanging="180" w:hangingChars="100"/>
        <w:rPr>
          <w:rFonts w:hint="default" w:ascii="ＭＳ 明朝" w:hAnsi="ＭＳ 明朝" w:eastAsia="ＭＳ 明朝"/>
          <w:sz w:val="18"/>
        </w:rPr>
      </w:pPr>
      <w:r>
        <w:rPr>
          <w:rFonts w:hint="eastAsia" w:ascii="ＭＳ 明朝" w:hAnsi="ＭＳ 明朝" w:eastAsia="ＭＳ 明朝"/>
          <w:sz w:val="18"/>
        </w:rPr>
        <w:t>※出入口は２箇所が望ましいが、１箇所の場合は、車両が交差することによる渋滞を防止するため、仮置場の動線は時計回りにする。</w:t>
      </w:r>
    </w:p>
    <w:p>
      <w:pPr>
        <w:pStyle w:val="0"/>
        <w:spacing w:before="8" w:beforeLines="0" w:beforeAutospacing="0"/>
        <w:rPr>
          <w:rFonts w:hint="default"/>
          <w:sz w:val="21"/>
        </w:rPr>
      </w:pPr>
    </w:p>
    <w:p>
      <w:pPr>
        <w:pStyle w:val="0"/>
        <w:rPr>
          <w:rFonts w:hint="default"/>
          <w:sz w:val="21"/>
        </w:rPr>
      </w:pPr>
      <w:r>
        <w:rPr>
          <w:rFonts w:hint="eastAsia"/>
          <w:sz w:val="21"/>
        </w:rPr>
        <w:t>４）仮置場の復旧</w:t>
      </w:r>
    </w:p>
    <w:p>
      <w:pPr>
        <w:pStyle w:val="0"/>
        <w:spacing w:before="46" w:beforeLines="0" w:beforeAutospacing="0" w:line="276" w:lineRule="auto"/>
        <w:ind w:right="229" w:firstLine="210" w:firstLineChars="100"/>
        <w:rPr>
          <w:rFonts w:hint="default" w:ascii="ＭＳ 明朝" w:hAnsi="ＭＳ 明朝" w:eastAsia="ＭＳ 明朝"/>
          <w:sz w:val="21"/>
        </w:rPr>
      </w:pPr>
      <w:r>
        <w:rPr>
          <w:rFonts w:hint="eastAsia" w:ascii="ＭＳ 明朝" w:hAnsi="ＭＳ 明朝" w:eastAsia="ＭＳ 明朝"/>
          <w:sz w:val="21"/>
        </w:rPr>
        <w:t>仮置場の復旧については、使用開始前に土地管理者（所有者）との復旧に関する協議を実施しておくことが望ましい。復旧を行う際は、土壌分析等を行うなど、土地の安全性を確認し、迅速な</w:t>
      </w:r>
      <w:r>
        <w:rPr>
          <w:rFonts w:hint="eastAsia" w:ascii="ＭＳ 明朝" w:hAnsi="ＭＳ 明朝" w:eastAsia="ＭＳ 明朝"/>
          <w:spacing w:val="-6"/>
          <w:sz w:val="21"/>
        </w:rPr>
        <w:t>原状回復に努める。</w: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keepNext w:val="1"/>
        <w:outlineLvl w:val="2"/>
        <w:rPr>
          <w:rFonts w:hint="default"/>
        </w:rPr>
      </w:pPr>
      <w:bookmarkStart w:id="50" w:name="_Toc24793489"/>
      <w:bookmarkStart w:id="51" w:name="_Toc27146516"/>
      <w:bookmarkStart w:id="52" w:name="_Toc60838762"/>
      <w:r>
        <w:rPr>
          <w:rFonts w:hint="eastAsia"/>
        </w:rPr>
        <w:t>（６）有害廃棄物・適正処理が困難な廃棄物の対策</w:t>
      </w:r>
      <w:bookmarkEnd w:id="50"/>
      <w:bookmarkEnd w:id="51"/>
      <w:bookmarkEnd w:id="52"/>
    </w:p>
    <w:p>
      <w:pPr>
        <w:pStyle w:val="0"/>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本町で通常収集・処理を行っていない災害廃棄物は、あらかじめ県及び民間事業者と取扱い方法を検討し、処理方法を定める。</w:t>
      </w:r>
    </w:p>
    <w:p>
      <w:pPr>
        <w:pStyle w:val="0"/>
        <w:spacing w:line="276" w:lineRule="auto"/>
        <w:ind w:firstLine="210" w:firstLineChars="100"/>
        <w:rPr>
          <w:rFonts w:hint="default" w:ascii="ＭＳ 明朝" w:hAnsi="ＭＳ 明朝" w:eastAsia="ＭＳ 明朝"/>
          <w:sz w:val="21"/>
        </w:rPr>
      </w:pPr>
      <w:r>
        <w:rPr>
          <w:rFonts w:hint="eastAsia" w:ascii="ＭＳ 明朝" w:hAnsi="ＭＳ 明朝" w:eastAsia="ＭＳ 明朝"/>
          <w:sz w:val="21"/>
        </w:rPr>
        <w:t>災害時における有害・危険性廃棄物の収集・処理方法における留意事項は、表２９のとおりとする。</w:t>
      </w:r>
    </w:p>
    <w:p>
      <w:pPr>
        <w:pStyle w:val="0"/>
        <w:spacing w:line="276" w:lineRule="auto"/>
        <w:ind w:right="352" w:firstLine="204" w:firstLineChars="100"/>
        <w:jc w:val="both"/>
        <w:rPr>
          <w:rFonts w:hint="default" w:ascii="ＭＳ 明朝" w:hAnsi="ＭＳ 明朝" w:eastAsia="ＭＳ 明朝"/>
          <w:sz w:val="21"/>
        </w:rPr>
      </w:pPr>
      <w:r>
        <w:rPr>
          <w:rFonts w:hint="eastAsia" w:ascii="ＭＳ 明朝" w:hAnsi="ＭＳ 明朝" w:eastAsia="ＭＳ 明朝"/>
          <w:spacing w:val="-3"/>
          <w:sz w:val="21"/>
        </w:rPr>
        <w:t>有害物質の飛散や危険物による爆発・火災等の事故を未然に防ぐために、有害</w:t>
      </w:r>
      <w:r>
        <w:rPr>
          <w:rFonts w:hint="eastAsia" w:ascii="ＭＳ 明朝" w:hAnsi="ＭＳ 明朝" w:eastAsia="ＭＳ 明朝"/>
          <w:spacing w:val="-5"/>
          <w:sz w:val="21"/>
        </w:rPr>
        <w:t>性物質を含む廃棄物が発見されたときは、原則的に所有者等に対して速やかな</w:t>
      </w:r>
      <w:r>
        <w:rPr>
          <w:rFonts w:hint="eastAsia" w:ascii="ＭＳ 明朝" w:hAnsi="ＭＳ 明朝" w:eastAsia="ＭＳ 明朝"/>
          <w:spacing w:val="-8"/>
          <w:sz w:val="21"/>
        </w:rPr>
        <w:t>回収を指示し、別途保管または早期の処分を行う。人命救助、被災者の健康確保の際には特に注意を要する。</w:t>
      </w:r>
    </w:p>
    <w:p>
      <w:pPr>
        <w:pStyle w:val="0"/>
        <w:spacing w:line="276" w:lineRule="auto"/>
        <w:ind w:firstLine="204" w:firstLineChars="100"/>
        <w:rPr>
          <w:rFonts w:hint="default" w:ascii="ＭＳ 明朝" w:hAnsi="ＭＳ 明朝" w:eastAsia="ＭＳ 明朝"/>
          <w:spacing w:val="-5"/>
          <w:sz w:val="21"/>
        </w:rPr>
      </w:pPr>
      <w:r>
        <w:rPr>
          <w:rFonts w:hint="eastAsia" w:ascii="ＭＳ 明朝" w:hAnsi="ＭＳ 明朝" w:eastAsia="ＭＳ 明朝"/>
          <w:spacing w:val="-3"/>
          <w:sz w:val="21"/>
        </w:rPr>
        <w:t>混合状態になっている災害廃棄物は、有害物質が含まれている可能性を考慮し、</w:t>
      </w:r>
      <w:r>
        <w:rPr>
          <w:rFonts w:hint="eastAsia" w:ascii="ＭＳ 明朝" w:hAnsi="ＭＳ 明朝" w:eastAsia="ＭＳ 明朝"/>
          <w:spacing w:val="-5"/>
          <w:sz w:val="21"/>
        </w:rPr>
        <w:t>作業員は適切な服装やマスクの着用、散水などによる防塵対策の実施など、労働環境安全対策を徹底する。</w:t>
      </w:r>
    </w:p>
    <w:p>
      <w:pPr>
        <w:pStyle w:val="0"/>
        <w:spacing w:line="276" w:lineRule="auto"/>
        <w:ind w:firstLine="280" w:firstLineChars="100"/>
        <w:rPr>
          <w:rFonts w:hint="default"/>
          <w:sz w:val="28"/>
        </w:rPr>
      </w:pPr>
      <w:r>
        <w:rPr>
          <w:rFonts w:hint="default"/>
          <w:sz w:val="28"/>
        </w:rPr>
        <w:br w:type="page"/>
      </w:r>
    </w:p>
    <w:p>
      <w:pPr>
        <w:pStyle w:val="0"/>
        <w:tabs>
          <w:tab w:val="left" w:leader="none" w:pos="2796"/>
        </w:tabs>
        <w:spacing w:before="1" w:beforeLines="0" w:beforeAutospacing="0" w:after="43" w:afterLines="0" w:afterAutospacing="0"/>
        <w:jc w:val="center"/>
        <w:rPr>
          <w:rFonts w:hint="default"/>
          <w:sz w:val="21"/>
        </w:rPr>
      </w:pPr>
      <w:r>
        <w:rPr>
          <w:rFonts w:hint="eastAsia"/>
          <w:sz w:val="21"/>
        </w:rPr>
        <w:t>表２９（</w:t>
      </w:r>
      <w:r>
        <w:rPr>
          <w:rFonts w:hint="eastAsia"/>
          <w:sz w:val="21"/>
        </w:rPr>
        <w:t>1</w:t>
      </w:r>
      <w:r>
        <w:rPr>
          <w:rFonts w:hint="eastAsia"/>
          <w:sz w:val="21"/>
        </w:rPr>
        <w:t>）</w:t>
      </w:r>
      <w:r>
        <w:rPr>
          <w:rFonts w:hint="eastAsia" w:asciiTheme="minorEastAsia" w:hAnsiTheme="minorEastAsia" w:eastAsiaTheme="minorEastAsia"/>
          <w:sz w:val="21"/>
        </w:rPr>
        <w:t>　</w:t>
      </w:r>
      <w:r>
        <w:rPr>
          <w:rFonts w:hint="eastAsia"/>
          <w:sz w:val="21"/>
        </w:rPr>
        <w:t>有害・危険性廃棄物処理の留意事項</w:t>
      </w:r>
    </w:p>
    <w:tbl>
      <w:tblPr>
        <w:tblStyle w:val="54"/>
        <w:tblW w:w="913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1362"/>
        <w:gridCol w:w="7773"/>
      </w:tblGrid>
      <w:tr>
        <w:trPr>
          <w:trHeight w:val="500" w:hRule="atLeast"/>
          <w:tblHeader/>
        </w:trPr>
        <w:tc>
          <w:tcPr>
            <w:tcW w:w="13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tabs>
                <w:tab w:val="left" w:leader="none" w:pos="964"/>
              </w:tabs>
              <w:spacing w:line="300" w:lineRule="exact"/>
              <w:jc w:val="center"/>
              <w:rPr>
                <w:rFonts w:hint="default" w:ascii="HGPｺﾞｼｯｸM" w:hAnsi="HGPｺﾞｼｯｸM" w:eastAsia="HGPｺﾞｼｯｸM"/>
                <w:sz w:val="21"/>
              </w:rPr>
            </w:pPr>
            <w:bookmarkStart w:id="53" w:name="_Hlk17476719"/>
            <w:r>
              <w:rPr>
                <w:rFonts w:hint="eastAsia" w:ascii="HGPｺﾞｼｯｸM" w:hAnsi="HGPｺﾞｼｯｸM" w:eastAsia="HGPｺﾞｼｯｸM"/>
                <w:sz w:val="21"/>
              </w:rPr>
              <w:t>種類</w:t>
            </w:r>
            <w:bookmarkEnd w:id="53"/>
          </w:p>
        </w:tc>
        <w:tc>
          <w:tcPr>
            <w:tcW w:w="777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PｺﾞｼｯｸM" w:hAnsi="HGPｺﾞｼｯｸM" w:eastAsia="HGPｺﾞｼｯｸM"/>
                <w:sz w:val="21"/>
              </w:rPr>
            </w:pPr>
            <w:r>
              <w:rPr>
                <w:rFonts w:hint="eastAsia" w:ascii="HGPｺﾞｼｯｸM" w:hAnsi="HGPｺﾞｼｯｸM" w:eastAsia="HGPｺﾞｼｯｸM"/>
                <w:sz w:val="21"/>
              </w:rPr>
              <w:t>留意事項等</w:t>
            </w:r>
          </w:p>
        </w:tc>
      </w:tr>
      <w:tr>
        <w:trPr>
          <w:trHeight w:val="2393" w:hRule="atLeast"/>
        </w:trPr>
        <w:tc>
          <w:tcPr>
            <w:tcW w:w="13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300" w:lineRule="exact"/>
              <w:ind w:left="103" w:right="89"/>
              <w:jc w:val="center"/>
              <w:rPr>
                <w:rFonts w:hint="default" w:ascii="HGPｺﾞｼｯｸM" w:hAnsi="HGPｺﾞｼｯｸM" w:eastAsia="HGPｺﾞｼｯｸM"/>
                <w:sz w:val="21"/>
              </w:rPr>
            </w:pPr>
            <w:r>
              <w:rPr>
                <w:rFonts w:hint="eastAsia" w:ascii="HGPｺﾞｼｯｸM" w:hAnsi="HGPｺﾞｼｯｸM" w:eastAsia="HGPｺﾞｼｯｸM"/>
                <w:sz w:val="21"/>
              </w:rPr>
              <w:t>石膏ボード、スレート板などの建材</w:t>
            </w:r>
          </w:p>
        </w:tc>
        <w:tc>
          <w:tcPr>
            <w:tcW w:w="777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276" w:lineRule="auto"/>
              <w:ind w:left="205"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・石綿を含有するものについては、適切に処理・処分を行う。石綿を使用していないものについては再資源化する。</w:t>
            </w:r>
          </w:p>
          <w:p>
            <w:pPr>
              <w:pStyle w:val="0"/>
              <w:spacing w:line="276" w:lineRule="auto"/>
              <w:ind w:left="205" w:right="110" w:rightChars="50"/>
              <w:jc w:val="both"/>
              <w:rPr>
                <w:rFonts w:hint="default" w:ascii="HGPｺﾞｼｯｸM" w:hAnsi="HGPｺﾞｼｯｸM" w:eastAsia="HGPｺﾞｼｯｸM"/>
                <w:spacing w:val="-2"/>
                <w:sz w:val="21"/>
              </w:rPr>
            </w:pPr>
            <w:r>
              <w:rPr>
                <w:rFonts w:hint="eastAsia" w:ascii="HGPｺﾞｼｯｸM" w:hAnsi="HGPｺﾞｼｯｸM" w:eastAsia="HGPｺﾞｼｯｸM"/>
                <w:sz w:val="21"/>
              </w:rPr>
              <w:t>・</w:t>
            </w:r>
            <w:r>
              <w:rPr>
                <w:rFonts w:hint="eastAsia" w:ascii="HGPｺﾞｼｯｸM" w:hAnsi="HGPｺﾞｼｯｸM" w:eastAsia="HGPｺﾞｼｯｸM"/>
                <w:spacing w:val="-2"/>
                <w:sz w:val="21"/>
              </w:rPr>
              <w:t>建材が製作された年代や石綿使用の有無のマークを確認し、処理方法を判断する。</w:t>
            </w:r>
          </w:p>
          <w:p>
            <w:pPr>
              <w:pStyle w:val="0"/>
              <w:spacing w:line="276" w:lineRule="auto"/>
              <w:ind w:left="205"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・バラバラになったものなど、石膏ボードと判別することが難しいものがあるため、判別できないものを他の廃棄物と混合せずに別保管するなどの対策が必要である。</w:t>
            </w:r>
          </w:p>
        </w:tc>
      </w:tr>
      <w:tr>
        <w:trPr>
          <w:trHeight w:val="2952" w:hRule="atLeast"/>
        </w:trPr>
        <w:tc>
          <w:tcPr>
            <w:tcW w:w="13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300" w:lineRule="exact"/>
              <w:ind w:left="103"/>
              <w:jc w:val="center"/>
              <w:rPr>
                <w:rFonts w:hint="default" w:ascii="HGPｺﾞｼｯｸM" w:hAnsi="HGPｺﾞｼｯｸM" w:eastAsia="HGPｺﾞｼｯｸM"/>
                <w:sz w:val="21"/>
              </w:rPr>
            </w:pPr>
            <w:r>
              <w:rPr>
                <w:rFonts w:hint="eastAsia" w:ascii="HGPｺﾞｼｯｸM" w:hAnsi="HGPｺﾞｼｯｸM" w:eastAsia="HGPｺﾞｼｯｸM"/>
                <w:sz w:val="21"/>
              </w:rPr>
              <w:t>石綿</w:t>
            </w:r>
          </w:p>
        </w:tc>
        <w:tc>
          <w:tcPr>
            <w:tcW w:w="777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276" w:lineRule="auto"/>
              <w:ind w:left="205"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・損壊家屋等は、撤去（必要に応じて解体）前に石綿の事前調査を行い、発見された場合は、災害廃棄物に石綿が混入しないよう適切に除去を行い、廃石綿等又は石綿含有廃棄物として適正に処分する。</w:t>
            </w:r>
          </w:p>
          <w:p>
            <w:pPr>
              <w:pStyle w:val="0"/>
              <w:spacing w:line="276" w:lineRule="auto"/>
              <w:ind w:left="205"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・廃石綿等は原則として仮置場に持ち込まない。</w:t>
            </w:r>
          </w:p>
          <w:p>
            <w:pPr>
              <w:pStyle w:val="0"/>
              <w:spacing w:line="276" w:lineRule="auto"/>
              <w:ind w:left="205"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・仮置場で災害廃棄物中に石綿を含むおそれがあるものが見つかった場合は、分析によって確認する。</w:t>
            </w:r>
          </w:p>
          <w:p>
            <w:pPr>
              <w:pStyle w:val="0"/>
              <w:spacing w:line="276" w:lineRule="auto"/>
              <w:ind w:left="205"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・損壊家屋等の撤去（必要に応じて解体）及び仮置場における破砕処理現場周辺作業では、石綿暴露防止のために適切なマスク等を着用し、散水等を適宜行う。</w:t>
            </w:r>
          </w:p>
        </w:tc>
      </w:tr>
      <w:tr>
        <w:trPr>
          <w:trHeight w:val="1705" w:hRule="atLeast"/>
        </w:trPr>
        <w:tc>
          <w:tcPr>
            <w:tcW w:w="13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300" w:lineRule="exact"/>
              <w:ind w:left="103"/>
              <w:jc w:val="center"/>
              <w:rPr>
                <w:rFonts w:hint="default" w:ascii="HGPｺﾞｼｯｸM" w:hAnsi="HGPｺﾞｼｯｸM" w:eastAsia="HGPｺﾞｼｯｸM"/>
                <w:sz w:val="21"/>
              </w:rPr>
            </w:pPr>
            <w:r>
              <w:rPr>
                <w:rFonts w:hint="eastAsia" w:ascii="HGPｺﾞｼｯｸM" w:hAnsi="HGPｺﾞｼｯｸM" w:eastAsia="HGPｺﾞｼｯｸM"/>
                <w:sz w:val="21"/>
              </w:rPr>
              <w:t>肥料・飼料等</w:t>
            </w:r>
          </w:p>
        </w:tc>
        <w:tc>
          <w:tcPr>
            <w:tcW w:w="777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276" w:lineRule="auto"/>
              <w:ind w:left="205" w:right="110" w:rightChars="50"/>
              <w:jc w:val="both"/>
              <w:rPr>
                <w:rFonts w:hint="default" w:ascii="HGPｺﾞｼｯｸM" w:hAnsi="HGPｺﾞｼｯｸM" w:eastAsia="HGPｺﾞｼｯｸM"/>
                <w:sz w:val="21"/>
              </w:rPr>
            </w:pPr>
            <w:r>
              <w:rPr>
                <w:rFonts w:hint="eastAsia" w:ascii="HGPｺﾞｼｯｸM" w:hAnsi="HGPｺﾞｼｯｸM" w:eastAsia="HGPｺﾞｼｯｸM"/>
                <w:sz w:val="21"/>
              </w:rPr>
              <w:t>・肥料・飼料等が水害等を受けた場合は、平時に把握している事業者へ処理・処分を依頼する。</w:t>
            </w:r>
          </w:p>
        </w:tc>
      </w:tr>
      <w:tr>
        <w:trPr>
          <w:trHeight w:val="2279" w:hRule="atLeast"/>
        </w:trPr>
        <w:tc>
          <w:tcPr>
            <w:tcW w:w="13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300" w:lineRule="exact"/>
              <w:ind w:left="103"/>
              <w:jc w:val="center"/>
              <w:rPr>
                <w:rFonts w:hint="default" w:ascii="HGPｺﾞｼｯｸM" w:hAnsi="HGPｺﾞｼｯｸM" w:eastAsia="HGPｺﾞｼｯｸM"/>
                <w:sz w:val="21"/>
              </w:rPr>
            </w:pPr>
            <w:bookmarkStart w:id="54" w:name="_Hlk32395307"/>
            <w:r>
              <w:rPr>
                <w:rFonts w:hint="eastAsia" w:ascii="HGPｺﾞｼｯｸM" w:hAnsi="HGPｺﾞｼｯｸM" w:eastAsia="HGPｺﾞｼｯｸM"/>
                <w:sz w:val="21"/>
              </w:rPr>
              <w:t>PCB</w:t>
            </w:r>
            <w:r>
              <w:rPr>
                <w:rFonts w:hint="eastAsia" w:ascii="HGPｺﾞｼｯｸM" w:hAnsi="HGPｺﾞｼｯｸM" w:eastAsia="HGPｺﾞｼｯｸM"/>
                <w:sz w:val="21"/>
              </w:rPr>
              <w:t>廃棄物</w:t>
            </w:r>
            <w:bookmarkEnd w:id="54"/>
          </w:p>
        </w:tc>
        <w:tc>
          <w:tcPr>
            <w:tcW w:w="777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276" w:lineRule="auto"/>
              <w:ind w:left="205" w:right="62" w:rightChars="28"/>
              <w:rPr>
                <w:rFonts w:hint="default" w:ascii="HGPｺﾞｼｯｸM" w:hAnsi="HGPｺﾞｼｯｸM" w:eastAsia="HGPｺﾞｼｯｸM"/>
                <w:sz w:val="21"/>
              </w:rPr>
            </w:pPr>
            <w:r>
              <w:rPr>
                <w:rFonts w:hint="eastAsia" w:ascii="HGPｺﾞｼｯｸM" w:hAnsi="HGPｺﾞｼｯｸM" w:eastAsia="HGPｺﾞｼｯｸM"/>
                <w:sz w:val="21"/>
              </w:rPr>
              <w:t>・ＰＣＢ廃棄物は、被災市区町村の処理対象物とはせず、ＰＣＢ保管事業者に引き渡す。</w:t>
            </w:r>
          </w:p>
          <w:p>
            <w:pPr>
              <w:pStyle w:val="0"/>
              <w:spacing w:line="276" w:lineRule="auto"/>
              <w:ind w:left="205" w:right="110" w:rightChars="50"/>
              <w:rPr>
                <w:rFonts w:hint="default" w:ascii="HGPｺﾞｼｯｸM" w:hAnsi="HGPｺﾞｼｯｸM" w:eastAsia="HGPｺﾞｼｯｸM"/>
                <w:sz w:val="21"/>
              </w:rPr>
            </w:pPr>
            <w:r>
              <w:rPr>
                <w:rFonts w:hint="eastAsia" w:ascii="HGPｺﾞｼｯｸM" w:hAnsi="HGPｺﾞｼｯｸM" w:eastAsia="HGPｺﾞｼｯｸM"/>
                <w:sz w:val="21"/>
              </w:rPr>
              <w:t>・ＰＣＢを使用・保管している損壊家屋等の撤去（必要に応じて解体）を行う場合や撤去（必要に応じて解体）作業中にＰＣＢ機器類を発見した場合は、他の廃棄物に混入しないよう分別し、保管する。</w:t>
            </w:r>
          </w:p>
          <w:p>
            <w:pPr>
              <w:pStyle w:val="0"/>
              <w:spacing w:line="276" w:lineRule="auto"/>
              <w:ind w:left="205" w:right="110" w:rightChars="50"/>
              <w:rPr>
                <w:rFonts w:hint="default" w:ascii="HGPｺﾞｼｯｸM" w:hAnsi="HGPｺﾞｼｯｸM" w:eastAsia="HGPｺﾞｼｯｸM"/>
                <w:sz w:val="21"/>
              </w:rPr>
            </w:pPr>
            <w:r>
              <w:rPr>
                <w:rFonts w:hint="eastAsia" w:ascii="HGPｺﾞｼｯｸM" w:hAnsi="HGPｺﾞｼｯｸM" w:eastAsia="HGPｺﾞｼｯｸM"/>
                <w:sz w:val="21"/>
              </w:rPr>
              <w:t>・ＰＣＢ含有有無の判断がつかないトランス・コンデンサ等の機器は、ＰＣＢ廃棄物とみなして分別する。</w:t>
            </w:r>
          </w:p>
        </w:tc>
      </w:tr>
      <w:tr>
        <w:trPr>
          <w:trHeight w:val="979" w:hRule="atLeast"/>
        </w:trPr>
        <w:tc>
          <w:tcPr>
            <w:tcW w:w="13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300" w:lineRule="exact"/>
              <w:ind w:left="103"/>
              <w:jc w:val="center"/>
              <w:rPr>
                <w:rFonts w:hint="default" w:ascii="HGPｺﾞｼｯｸM" w:hAnsi="HGPｺﾞｼｯｸM" w:eastAsia="HGPｺﾞｼｯｸM"/>
                <w:sz w:val="21"/>
              </w:rPr>
            </w:pPr>
            <w:r>
              <w:rPr>
                <w:rFonts w:hint="eastAsia" w:ascii="HGPｺﾞｼｯｸM" w:hAnsi="HGPｺﾞｼｯｸM" w:eastAsia="HGPｺﾞｼｯｸM"/>
                <w:sz w:val="21"/>
              </w:rPr>
              <w:t>テトラクロロエチレン</w:t>
            </w:r>
          </w:p>
        </w:tc>
        <w:tc>
          <w:tcPr>
            <w:tcW w:w="777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276" w:lineRule="auto"/>
              <w:ind w:left="205" w:right="110" w:rightChars="50"/>
              <w:rPr>
                <w:rFonts w:hint="default" w:ascii="HGPｺﾞｼｯｸM" w:hAnsi="HGPｺﾞｼｯｸM" w:eastAsia="HGPｺﾞｼｯｸM"/>
                <w:sz w:val="21"/>
              </w:rPr>
            </w:pPr>
            <w:r>
              <w:rPr>
                <w:rFonts w:hint="eastAsia" w:ascii="HGPｺﾞｼｯｸM" w:hAnsi="HGPｺﾞｼｯｸM" w:eastAsia="HGPｺﾞｼｯｸM"/>
                <w:sz w:val="21"/>
              </w:rPr>
              <w:t>・最終処分に関する基準を越えたテトラクロロエチレン等を含む汚泥の埋立処分を行う場合は、原則として焼却処理を行う。</w:t>
            </w:r>
          </w:p>
        </w:tc>
      </w:tr>
    </w:tbl>
    <w:p>
      <w:pPr>
        <w:pStyle w:val="0"/>
        <w:widowControl w:val="1"/>
        <w:autoSpaceDE w:val="1"/>
        <w:autoSpaceDN w:val="1"/>
        <w:rPr>
          <w:rFonts w:hint="default" w:ascii="ＭＳ 明朝" w:hAnsi="ＭＳ 明朝" w:eastAsia="ＭＳ 明朝"/>
          <w:sz w:val="18"/>
        </w:rPr>
      </w:pPr>
      <w:r>
        <w:rPr>
          <w:rFonts w:hint="eastAsia" w:ascii="ＭＳ 明朝" w:hAnsi="ＭＳ 明朝" w:eastAsia="ＭＳ 明朝"/>
          <w:sz w:val="18"/>
        </w:rPr>
        <w:t>出典：環境省災害廃棄物対策指針（平成</w:t>
      </w:r>
      <w:r>
        <w:rPr>
          <w:rFonts w:hint="eastAsia" w:ascii="ＭＳ 明朝" w:hAnsi="ＭＳ 明朝" w:eastAsia="ＭＳ 明朝"/>
          <w:sz w:val="18"/>
        </w:rPr>
        <w:t>30</w:t>
      </w:r>
      <w:r>
        <w:rPr>
          <w:rFonts w:hint="eastAsia" w:ascii="ＭＳ 明朝" w:hAnsi="ＭＳ 明朝" w:eastAsia="ＭＳ 明朝"/>
          <w:sz w:val="18"/>
        </w:rPr>
        <w:t>年</w:t>
      </w:r>
      <w:r>
        <w:rPr>
          <w:rFonts w:hint="eastAsia" w:ascii="ＭＳ 明朝" w:hAnsi="ＭＳ 明朝" w:eastAsia="ＭＳ 明朝"/>
          <w:sz w:val="18"/>
        </w:rPr>
        <w:t>3</w:t>
      </w:r>
      <w:r>
        <w:rPr>
          <w:rFonts w:hint="eastAsia" w:ascii="ＭＳ 明朝" w:hAnsi="ＭＳ 明朝" w:eastAsia="ＭＳ 明朝"/>
          <w:sz w:val="18"/>
        </w:rPr>
        <w:t>月）</w:t>
      </w:r>
      <w:r>
        <w:rPr>
          <w:rFonts w:hint="eastAsia" w:ascii="ＭＳ 明朝" w:hAnsi="ＭＳ 明朝" w:eastAsia="ＭＳ 明朝"/>
          <w:sz w:val="18"/>
        </w:rPr>
        <w:t>p.2-45</w:t>
      </w:r>
      <w:r>
        <w:rPr>
          <w:rFonts w:hint="eastAsia" w:ascii="ＭＳ 明朝" w:hAnsi="ＭＳ 明朝" w:eastAsia="ＭＳ 明朝"/>
          <w:sz w:val="18"/>
        </w:rPr>
        <w:t>、表</w:t>
      </w:r>
      <w:r>
        <w:rPr>
          <w:rFonts w:hint="eastAsia" w:ascii="ＭＳ 明朝" w:hAnsi="ＭＳ 明朝" w:eastAsia="ＭＳ 明朝"/>
          <w:sz w:val="18"/>
        </w:rPr>
        <w:t xml:space="preserve"> 2-3-1 </w:t>
      </w:r>
      <w:r>
        <w:rPr>
          <w:rFonts w:hint="eastAsia" w:ascii="ＭＳ 明朝" w:hAnsi="ＭＳ 明朝" w:eastAsia="ＭＳ 明朝"/>
          <w:sz w:val="18"/>
        </w:rPr>
        <w:t>を編集</w:t>
      </w:r>
      <w:bookmarkStart w:id="55" w:name="_Toc24793490"/>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tabs>
          <w:tab w:val="left" w:leader="none" w:pos="2796"/>
        </w:tabs>
        <w:spacing w:before="1" w:beforeLines="0" w:beforeAutospacing="0" w:after="43" w:afterLines="0" w:afterAutospacing="0"/>
        <w:jc w:val="center"/>
        <w:rPr>
          <w:rFonts w:hint="default"/>
          <w:sz w:val="21"/>
        </w:rPr>
      </w:pPr>
      <w:r>
        <w:rPr>
          <w:rFonts w:hint="eastAsia"/>
          <w:sz w:val="21"/>
        </w:rPr>
        <w:t>表２９（</w:t>
      </w:r>
      <w:r>
        <w:rPr>
          <w:rFonts w:hint="eastAsia"/>
          <w:sz w:val="21"/>
        </w:rPr>
        <w:t>2</w:t>
      </w:r>
      <w:r>
        <w:rPr>
          <w:rFonts w:hint="eastAsia"/>
          <w:sz w:val="21"/>
        </w:rPr>
        <w:t>）</w:t>
      </w:r>
      <w:r>
        <w:rPr>
          <w:rFonts w:hint="eastAsia" w:asciiTheme="minorEastAsia" w:hAnsiTheme="minorEastAsia" w:eastAsiaTheme="minorEastAsia"/>
          <w:sz w:val="21"/>
        </w:rPr>
        <w:t>　</w:t>
      </w:r>
      <w:r>
        <w:rPr>
          <w:rFonts w:hint="eastAsia"/>
          <w:sz w:val="21"/>
        </w:rPr>
        <w:t>有害・危険性廃棄物処理の留意事項</w:t>
      </w:r>
    </w:p>
    <w:tbl>
      <w:tblPr>
        <w:tblStyle w:val="54"/>
        <w:tblW w:w="913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1362"/>
        <w:gridCol w:w="7773"/>
      </w:tblGrid>
      <w:tr>
        <w:trPr>
          <w:trHeight w:val="488" w:hRule="atLeast"/>
          <w:tblHeader/>
        </w:trPr>
        <w:tc>
          <w:tcPr>
            <w:tcW w:w="13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tabs>
                <w:tab w:val="left" w:leader="none" w:pos="964"/>
              </w:tabs>
              <w:spacing w:line="300" w:lineRule="exact"/>
              <w:jc w:val="center"/>
              <w:rPr>
                <w:rFonts w:hint="default" w:ascii="HGPｺﾞｼｯｸM" w:hAnsi="HGPｺﾞｼｯｸM" w:eastAsia="HGPｺﾞｼｯｸM"/>
                <w:sz w:val="21"/>
              </w:rPr>
            </w:pPr>
            <w:r>
              <w:rPr>
                <w:rFonts w:hint="eastAsia" w:ascii="HGPｺﾞｼｯｸM" w:hAnsi="HGPｺﾞｼｯｸM" w:eastAsia="HGPｺﾞｼｯｸM"/>
                <w:sz w:val="21"/>
              </w:rPr>
              <w:t>種類</w:t>
            </w:r>
          </w:p>
        </w:tc>
        <w:tc>
          <w:tcPr>
            <w:tcW w:w="777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background1" w:themeFillTint="FF" w:themeFillShade="D9"/>
            <w:vAlign w:val="center"/>
          </w:tcPr>
          <w:p>
            <w:pPr>
              <w:pStyle w:val="0"/>
              <w:spacing w:line="300" w:lineRule="exact"/>
              <w:jc w:val="center"/>
              <w:rPr>
                <w:rFonts w:hint="default" w:ascii="HGPｺﾞｼｯｸM" w:hAnsi="HGPｺﾞｼｯｸM" w:eastAsia="HGPｺﾞｼｯｸM"/>
                <w:sz w:val="21"/>
              </w:rPr>
            </w:pPr>
            <w:r>
              <w:rPr>
                <w:rFonts w:hint="eastAsia" w:ascii="HGPｺﾞｼｯｸM" w:hAnsi="HGPｺﾞｼｯｸM" w:eastAsia="HGPｺﾞｼｯｸM"/>
                <w:sz w:val="21"/>
              </w:rPr>
              <w:t>留意事項等</w:t>
            </w:r>
          </w:p>
        </w:tc>
      </w:tr>
      <w:tr>
        <w:trPr>
          <w:trHeight w:val="1262" w:hRule="atLeast"/>
        </w:trPr>
        <w:tc>
          <w:tcPr>
            <w:tcW w:w="13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300" w:lineRule="exact"/>
              <w:ind w:left="103"/>
              <w:jc w:val="center"/>
              <w:rPr>
                <w:rFonts w:hint="default" w:ascii="HGPｺﾞｼｯｸM" w:hAnsi="HGPｺﾞｼｯｸM" w:eastAsia="HGPｺﾞｼｯｸM"/>
                <w:sz w:val="21"/>
              </w:rPr>
            </w:pPr>
            <w:r>
              <w:rPr>
                <w:rFonts w:hint="eastAsia" w:ascii="HGPｺﾞｼｯｸM" w:hAnsi="HGPｺﾞｼｯｸM" w:eastAsia="HGPｺﾞｼｯｸM"/>
                <w:sz w:val="21"/>
              </w:rPr>
              <w:t>危険物</w:t>
            </w:r>
          </w:p>
        </w:tc>
        <w:tc>
          <w:tcPr>
            <w:tcW w:w="777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276" w:lineRule="auto"/>
              <w:ind w:left="205" w:right="110" w:rightChars="50"/>
              <w:rPr>
                <w:rFonts w:hint="default" w:ascii="HGPｺﾞｼｯｸM" w:hAnsi="HGPｺﾞｼｯｸM" w:eastAsia="HGPｺﾞｼｯｸM"/>
                <w:sz w:val="21"/>
              </w:rPr>
            </w:pPr>
            <w:r>
              <w:rPr>
                <w:rFonts w:hint="eastAsia" w:ascii="HGPｺﾞｼｯｸM" w:hAnsi="HGPｺﾞｼｯｸM" w:eastAsia="HGPｺﾞｼｯｸM"/>
                <w:sz w:val="21"/>
              </w:rPr>
              <w:t>・危険物の処理は、種類によって異なる。（例：消火器の処理は日本消火器工業会、高圧ガスの処理は県エルピーガス協会、フロン・アセチレン・酸素等の処理は民間製造業者など）</w:t>
            </w:r>
          </w:p>
        </w:tc>
      </w:tr>
      <w:tr>
        <w:trPr>
          <w:trHeight w:val="1974" w:hRule="atLeast"/>
        </w:trPr>
        <w:tc>
          <w:tcPr>
            <w:tcW w:w="13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300" w:lineRule="exact"/>
              <w:ind w:left="103"/>
              <w:jc w:val="center"/>
              <w:rPr>
                <w:rFonts w:hint="default" w:ascii="HGPｺﾞｼｯｸM" w:hAnsi="HGPｺﾞｼｯｸM" w:eastAsia="HGPｺﾞｼｯｸM"/>
                <w:sz w:val="21"/>
              </w:rPr>
            </w:pPr>
            <w:r>
              <w:rPr>
                <w:rFonts w:hint="eastAsia" w:ascii="HGPｺﾞｼｯｸM" w:hAnsi="HGPｺﾞｼｯｸM" w:eastAsia="HGPｺﾞｼｯｸM"/>
                <w:sz w:val="21"/>
              </w:rPr>
              <w:t>太陽光発電設備</w:t>
            </w:r>
          </w:p>
        </w:tc>
        <w:tc>
          <w:tcPr>
            <w:tcW w:w="777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276" w:lineRule="auto"/>
              <w:ind w:left="205" w:right="110" w:rightChars="50"/>
              <w:rPr>
                <w:rFonts w:hint="default" w:ascii="HGPｺﾞｼｯｸM" w:hAnsi="HGPｺﾞｼｯｸM" w:eastAsia="HGPｺﾞｼｯｸM"/>
                <w:sz w:val="21"/>
              </w:rPr>
            </w:pPr>
            <w:r>
              <w:rPr>
                <w:rFonts w:hint="eastAsia" w:ascii="HGPｺﾞｼｯｸM" w:hAnsi="HGPｺﾞｼｯｸM" w:eastAsia="HGPｺﾞｼｯｸM"/>
                <w:sz w:val="21"/>
              </w:rPr>
              <w:t>・太陽電池モジュールは破損していても光が当たれば発電するため、感電に注意する。</w:t>
            </w:r>
          </w:p>
          <w:p>
            <w:pPr>
              <w:pStyle w:val="0"/>
              <w:spacing w:line="276" w:lineRule="auto"/>
              <w:ind w:left="205" w:right="110" w:rightChars="50"/>
              <w:rPr>
                <w:rFonts w:hint="default" w:ascii="HGPｺﾞｼｯｸM" w:hAnsi="HGPｺﾞｼｯｸM" w:eastAsia="HGPｺﾞｼｯｸM"/>
                <w:sz w:val="21"/>
              </w:rPr>
            </w:pPr>
            <w:r>
              <w:rPr>
                <w:rFonts w:hint="eastAsia" w:ascii="HGPｺﾞｼｯｸM" w:hAnsi="HGPｺﾞｼｯｸM" w:eastAsia="HGPｺﾞｼｯｸM"/>
                <w:sz w:val="21"/>
              </w:rPr>
              <w:t>・感電に注意して、作業に当たっては、乾いた軍手やゴム手袋、ゴム長靴を着用し、絶縁処理された工具を使用する。</w:t>
            </w:r>
          </w:p>
          <w:p>
            <w:pPr>
              <w:pStyle w:val="0"/>
              <w:spacing w:line="276" w:lineRule="auto"/>
              <w:ind w:left="205" w:right="110" w:rightChars="50"/>
              <w:rPr>
                <w:rFonts w:hint="default" w:ascii="HGPｺﾞｼｯｸM" w:hAnsi="HGPｺﾞｼｯｸM" w:eastAsia="HGPｺﾞｼｯｸM"/>
                <w:sz w:val="21"/>
              </w:rPr>
            </w:pPr>
            <w:r>
              <w:rPr>
                <w:rFonts w:hint="eastAsia" w:ascii="HGPｺﾞｼｯｸM" w:hAnsi="HGPｺﾞｼｯｸM" w:eastAsia="HGPｺﾞｼｯｸM"/>
                <w:sz w:val="21"/>
              </w:rPr>
              <w:t>・可能であれば、太陽電池パネルに光が当たらないように段ボールや板などで覆いをするか、裏返しにする。</w:t>
            </w:r>
          </w:p>
        </w:tc>
      </w:tr>
      <w:tr>
        <w:trPr>
          <w:trHeight w:val="1408" w:hRule="atLeast"/>
        </w:trPr>
        <w:tc>
          <w:tcPr>
            <w:tcW w:w="136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300" w:lineRule="exact"/>
              <w:ind w:left="103"/>
              <w:jc w:val="center"/>
              <w:rPr>
                <w:rFonts w:hint="default" w:ascii="HGPｺﾞｼｯｸM" w:hAnsi="HGPｺﾞｼｯｸM" w:eastAsia="HGPｺﾞｼｯｸM"/>
                <w:sz w:val="21"/>
              </w:rPr>
            </w:pPr>
            <w:r>
              <w:rPr>
                <w:rFonts w:hint="eastAsia" w:ascii="HGPｺﾞｼｯｸM" w:hAnsi="HGPｺﾞｼｯｸM" w:eastAsia="HGPｺﾞｼｯｸM"/>
                <w:sz w:val="21"/>
              </w:rPr>
              <w:t>蓄電池</w:t>
            </w:r>
          </w:p>
        </w:tc>
        <w:tc>
          <w:tcPr>
            <w:tcW w:w="7773"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vAlign w:val="center"/>
          </w:tcPr>
          <w:p>
            <w:pPr>
              <w:pStyle w:val="0"/>
              <w:spacing w:line="276" w:lineRule="auto"/>
              <w:ind w:left="205" w:right="110" w:rightChars="50"/>
              <w:rPr>
                <w:rFonts w:hint="default" w:ascii="HGPｺﾞｼｯｸM" w:hAnsi="HGPｺﾞｼｯｸM" w:eastAsia="HGPｺﾞｼｯｸM"/>
                <w:sz w:val="21"/>
              </w:rPr>
            </w:pPr>
            <w:r>
              <w:rPr>
                <w:rFonts w:hint="eastAsia" w:ascii="HGPｺﾞｼｯｸM" w:hAnsi="HGPｺﾞｼｯｸM" w:eastAsia="HGPｺﾞｼｯｸM"/>
                <w:sz w:val="21"/>
              </w:rPr>
              <w:t>・感電に注意して、乾いた軍手やゴム手袋、ゴム長靴を着用し、絶縁処理された工具を使用する。</w:t>
            </w:r>
          </w:p>
          <w:p>
            <w:pPr>
              <w:pStyle w:val="0"/>
              <w:spacing w:line="276" w:lineRule="auto"/>
              <w:ind w:left="205" w:right="110" w:rightChars="50"/>
              <w:rPr>
                <w:rFonts w:hint="default" w:ascii="HGPｺﾞｼｯｸM" w:hAnsi="HGPｺﾞｼｯｸM" w:eastAsia="HGPｺﾞｼｯｸM"/>
                <w:sz w:val="21"/>
              </w:rPr>
            </w:pPr>
            <w:r>
              <w:rPr>
                <w:rFonts w:hint="eastAsia" w:ascii="HGPｺﾞｼｯｸM" w:hAnsi="HGPｺﾞｼｯｸM" w:eastAsia="HGPｺﾞｼｯｸM"/>
                <w:sz w:val="21"/>
              </w:rPr>
              <w:t>・電気工事士やメーカーなどの専門家の指示を受ける。</w:t>
            </w:r>
          </w:p>
        </w:tc>
      </w:tr>
    </w:tbl>
    <w:p>
      <w:pPr>
        <w:pStyle w:val="0"/>
        <w:widowControl w:val="1"/>
        <w:autoSpaceDE w:val="1"/>
        <w:autoSpaceDN w:val="1"/>
        <w:rPr>
          <w:rFonts w:hint="default" w:ascii="ＭＳ 明朝" w:hAnsi="ＭＳ 明朝" w:eastAsia="ＭＳ 明朝"/>
          <w:sz w:val="18"/>
        </w:rPr>
      </w:pPr>
      <w:r>
        <w:rPr>
          <w:rFonts w:hint="eastAsia" w:ascii="ＭＳ 明朝" w:hAnsi="ＭＳ 明朝" w:eastAsia="ＭＳ 明朝"/>
          <w:sz w:val="18"/>
        </w:rPr>
        <w:t>出典：環境省災害廃棄物対策指針（平成</w:t>
      </w:r>
      <w:r>
        <w:rPr>
          <w:rFonts w:hint="eastAsia" w:ascii="ＭＳ 明朝" w:hAnsi="ＭＳ 明朝" w:eastAsia="ＭＳ 明朝"/>
          <w:sz w:val="18"/>
        </w:rPr>
        <w:t>30</w:t>
      </w:r>
      <w:r>
        <w:rPr>
          <w:rFonts w:hint="eastAsia" w:ascii="ＭＳ 明朝" w:hAnsi="ＭＳ 明朝" w:eastAsia="ＭＳ 明朝"/>
          <w:sz w:val="18"/>
        </w:rPr>
        <w:t>年</w:t>
      </w:r>
      <w:r>
        <w:rPr>
          <w:rFonts w:hint="eastAsia" w:ascii="ＭＳ 明朝" w:hAnsi="ＭＳ 明朝" w:eastAsia="ＭＳ 明朝"/>
          <w:sz w:val="18"/>
        </w:rPr>
        <w:t>3</w:t>
      </w:r>
      <w:r>
        <w:rPr>
          <w:rFonts w:hint="eastAsia" w:ascii="ＭＳ 明朝" w:hAnsi="ＭＳ 明朝" w:eastAsia="ＭＳ 明朝"/>
          <w:sz w:val="18"/>
        </w:rPr>
        <w:t>月）</w:t>
      </w:r>
      <w:r>
        <w:rPr>
          <w:rFonts w:hint="eastAsia" w:ascii="ＭＳ 明朝" w:hAnsi="ＭＳ 明朝" w:eastAsia="ＭＳ 明朝"/>
          <w:sz w:val="18"/>
        </w:rPr>
        <w:t>p.2-45</w:t>
      </w:r>
      <w:r>
        <w:rPr>
          <w:rFonts w:hint="eastAsia" w:ascii="ＭＳ 明朝" w:hAnsi="ＭＳ 明朝" w:eastAsia="ＭＳ 明朝"/>
          <w:sz w:val="18"/>
        </w:rPr>
        <w:t>、表</w:t>
      </w:r>
      <w:r>
        <w:rPr>
          <w:rFonts w:hint="eastAsia" w:ascii="ＭＳ 明朝" w:hAnsi="ＭＳ 明朝" w:eastAsia="ＭＳ 明朝"/>
          <w:sz w:val="18"/>
        </w:rPr>
        <w:t xml:space="preserve">2-3-1 </w:t>
      </w:r>
      <w:r>
        <w:rPr>
          <w:rFonts w:hint="eastAsia" w:ascii="ＭＳ 明朝" w:hAnsi="ＭＳ 明朝" w:eastAsia="ＭＳ 明朝"/>
          <w:sz w:val="18"/>
        </w:rPr>
        <w:t>を編集</w:t>
      </w: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p>
    <w:p>
      <w:pPr>
        <w:pStyle w:val="0"/>
        <w:widowControl w:val="1"/>
        <w:autoSpaceDE w:val="1"/>
        <w:autoSpaceDN w:val="1"/>
        <w:rPr>
          <w:rFonts w:hint="default" w:ascii="ＭＳ 明朝" w:hAnsi="ＭＳ 明朝" w:eastAsia="ＭＳ 明朝"/>
          <w:sz w:val="18"/>
        </w:rPr>
      </w:pPr>
      <w:r>
        <w:rPr>
          <w:rFonts w:hint="default" w:ascii="ＭＳ 明朝" w:hAnsi="ＭＳ 明朝" w:eastAsia="ＭＳ 明朝"/>
          <w:sz w:val="18"/>
        </w:rPr>
        <w:br w:type="page"/>
      </w:r>
    </w:p>
    <w:p>
      <w:pPr>
        <w:pStyle w:val="0"/>
        <w:keepNext w:val="1"/>
        <w:outlineLvl w:val="1"/>
        <w:rPr>
          <w:rFonts w:hint="default"/>
          <w:sz w:val="24"/>
        </w:rPr>
      </w:pPr>
      <w:bookmarkStart w:id="56" w:name="_Toc27146517"/>
      <w:bookmarkStart w:id="57" w:name="_Toc60838763"/>
      <w:r>
        <w:rPr>
          <w:rFonts w:hint="default"/>
          <w:sz w:val="24"/>
        </w:rPr>
        <w:t>7</w:t>
      </w:r>
      <w:r>
        <w:rPr>
          <w:rFonts w:hint="eastAsia"/>
          <w:sz w:val="24"/>
        </w:rPr>
        <w:t>章　風水害における処理対応</w:t>
      </w:r>
      <w:bookmarkEnd w:id="55"/>
      <w:bookmarkEnd w:id="56"/>
      <w:bookmarkEnd w:id="57"/>
    </w:p>
    <w:p>
      <w:pPr>
        <w:pStyle w:val="0"/>
        <w:widowControl w:val="1"/>
        <w:autoSpaceDE w:val="1"/>
        <w:autoSpaceDN w:val="1"/>
        <w:ind w:firstLine="210" w:firstLineChars="100"/>
        <w:rPr>
          <w:rFonts w:hint="default" w:ascii="ＭＳ 明朝" w:hAnsi="ＭＳ 明朝" w:eastAsia="ＭＳ 明朝"/>
          <w:sz w:val="21"/>
        </w:rPr>
      </w:pPr>
      <w:r>
        <w:rPr>
          <w:rFonts w:hint="eastAsia" w:ascii="ＭＳ 明朝" w:hAnsi="ＭＳ 明朝" w:eastAsia="ＭＳ 明朝"/>
          <w:sz w:val="21"/>
        </w:rPr>
        <w:t>風水害は、地震災害と比較すると局地的になり、災害廃棄物発生量が地震と比較して少ないことから、基本的には地震災害時の対応方針に準じるものとする。しかしながら、通常のごみと比較すると水分を多く含むなど、表３０に示す特徴を有することから、収集運搬・処理にあたって、留意する必要がある。</w:t>
      </w:r>
    </w:p>
    <w:p>
      <w:pPr>
        <w:pStyle w:val="0"/>
        <w:widowControl w:val="1"/>
        <w:autoSpaceDE w:val="1"/>
        <w:autoSpaceDN w:val="1"/>
        <w:ind w:firstLine="210" w:firstLineChars="100"/>
        <w:rPr>
          <w:rFonts w:hint="default" w:ascii="ＭＳ 明朝" w:hAnsi="ＭＳ 明朝" w:eastAsia="ＭＳ 明朝"/>
          <w:sz w:val="21"/>
        </w:rPr>
      </w:pPr>
      <w:r>
        <w:rPr>
          <w:rFonts w:hint="eastAsia" w:ascii="ＭＳ 明朝" w:hAnsi="ＭＳ 明朝" w:eastAsia="ＭＳ 明朝"/>
          <w:sz w:val="21"/>
        </w:rPr>
        <w:t>また、特に重要となるのが、発災後速やかに仮置場の位置情報や、搬入・分別のルール等を周知することである。風水害では、床上・床下浸水家屋が多いため、水が引いた直後からごみが排出される。このため、適切に行わない場合、必要以上の処理期間やコストを要することとなる。これらの留意点を踏まえ、適切に対応することが必要である。</w:t>
      </w:r>
    </w:p>
    <w:p>
      <w:pPr>
        <w:pStyle w:val="0"/>
        <w:rPr>
          <w:rFonts w:hint="default"/>
        </w:rPr>
      </w:pPr>
    </w:p>
    <w:p>
      <w:pPr>
        <w:pStyle w:val="0"/>
        <w:widowControl w:val="1"/>
        <w:autoSpaceDE w:val="1"/>
        <w:autoSpaceDN w:val="1"/>
        <w:jc w:val="center"/>
        <w:rPr>
          <w:rFonts w:hint="default"/>
          <w:sz w:val="21"/>
        </w:rPr>
      </w:pPr>
      <w:r>
        <w:rPr>
          <w:rFonts w:hint="eastAsia"/>
          <w:sz w:val="21"/>
        </w:rPr>
        <w:t>表３０　水害廃棄物の特徴</w:t>
      </w:r>
    </w:p>
    <w:tbl>
      <w:tblPr>
        <w:tblStyle w:val="55"/>
        <w:tblW w:w="8520" w:type="dxa"/>
        <w:tblInd w:w="0" w:type="dxa"/>
        <w:tblLayout w:type="fixed"/>
        <w:tblLook w:firstRow="1" w:lastRow="0" w:firstColumn="1" w:lastColumn="0" w:noHBand="0" w:noVBand="1" w:val="04A0"/>
      </w:tblPr>
      <w:tblGrid>
        <w:gridCol w:w="1512"/>
        <w:gridCol w:w="7008"/>
      </w:tblGrid>
      <w:tr>
        <w:trPr>
          <w:trHeight w:val="519" w:hRule="atLeast"/>
        </w:trPr>
        <w:tc>
          <w:tcPr>
            <w:tcW w:w="1512" w:type="dxa"/>
            <w:shd w:val="clear" w:color="auto" w:themeFill="background1" w:themeFillTint="FF" w:themeFillShade="D9"/>
            <w:vAlign w:val="center"/>
          </w:tcPr>
          <w:p>
            <w:pPr>
              <w:pStyle w:val="0"/>
              <w:widowControl w:val="1"/>
              <w:autoSpaceDE w:val="1"/>
              <w:autoSpaceDN w:val="1"/>
              <w:jc w:val="center"/>
              <w:rPr>
                <w:rFonts w:hint="default" w:ascii="HGPｺﾞｼｯｸM" w:hAnsi="HGPｺﾞｼｯｸM" w:eastAsia="HGPｺﾞｼｯｸM"/>
                <w:sz w:val="21"/>
              </w:rPr>
            </w:pPr>
            <w:r>
              <w:rPr>
                <w:rFonts w:hint="eastAsia" w:ascii="HGPｺﾞｼｯｸM" w:hAnsi="HGPｺﾞｼｯｸM" w:eastAsia="HGPｺﾞｼｯｸM"/>
                <w:sz w:val="21"/>
              </w:rPr>
              <w:t>廃棄物の区分</w:t>
            </w:r>
          </w:p>
        </w:tc>
        <w:tc>
          <w:tcPr>
            <w:tcW w:w="7008" w:type="dxa"/>
            <w:shd w:val="clear" w:color="auto" w:themeFill="background1" w:themeFillTint="FF" w:themeFillShade="D9"/>
            <w:vAlign w:val="center"/>
          </w:tcPr>
          <w:p>
            <w:pPr>
              <w:pStyle w:val="0"/>
              <w:widowControl w:val="1"/>
              <w:autoSpaceDE w:val="1"/>
              <w:autoSpaceDN w:val="1"/>
              <w:jc w:val="center"/>
              <w:rPr>
                <w:rFonts w:hint="default" w:ascii="HGPｺﾞｼｯｸM" w:hAnsi="HGPｺﾞｼｯｸM" w:eastAsia="HGPｺﾞｼｯｸM"/>
                <w:sz w:val="21"/>
              </w:rPr>
            </w:pPr>
            <w:r>
              <w:rPr>
                <w:rFonts w:hint="eastAsia" w:ascii="HGPｺﾞｼｯｸM" w:hAnsi="HGPｺﾞｼｯｸM" w:eastAsia="HGPｺﾞｼｯｸM"/>
                <w:sz w:val="21"/>
              </w:rPr>
              <w:t>特徴</w:t>
            </w:r>
          </w:p>
        </w:tc>
      </w:tr>
      <w:tr>
        <w:trPr>
          <w:trHeight w:val="2933" w:hRule="atLeast"/>
        </w:trPr>
        <w:tc>
          <w:tcPr>
            <w:tcW w:w="1512" w:type="dxa"/>
            <w:vAlign w:val="center"/>
          </w:tcPr>
          <w:p>
            <w:pPr>
              <w:pStyle w:val="0"/>
              <w:widowControl w:val="1"/>
              <w:autoSpaceDE w:val="1"/>
              <w:autoSpaceDN w:val="1"/>
              <w:jc w:val="center"/>
              <w:rPr>
                <w:rFonts w:hint="default" w:ascii="HGPｺﾞｼｯｸM" w:hAnsi="HGPｺﾞｼｯｸM" w:eastAsia="HGPｺﾞｼｯｸM"/>
                <w:sz w:val="21"/>
              </w:rPr>
            </w:pPr>
            <w:r>
              <w:rPr>
                <w:rFonts w:hint="eastAsia" w:ascii="HGPｺﾞｼｯｸM" w:hAnsi="HGPｺﾞｼｯｸM" w:eastAsia="HGPｺﾞｼｯｸM"/>
                <w:sz w:val="21"/>
              </w:rPr>
              <w:t>粗大ごみ等</w:t>
            </w:r>
          </w:p>
        </w:tc>
        <w:tc>
          <w:tcPr>
            <w:tcW w:w="7008" w:type="dxa"/>
            <w:vAlign w:val="center"/>
          </w:tcPr>
          <w:p>
            <w:pPr>
              <w:pStyle w:val="0"/>
              <w:widowControl w:val="1"/>
              <w:autoSpaceDE w:val="1"/>
              <w:autoSpaceDN w:val="1"/>
              <w:spacing w:line="276" w:lineRule="auto"/>
              <w:rPr>
                <w:rFonts w:hint="default" w:ascii="HGPｺﾞｼｯｸM" w:hAnsi="HGPｺﾞｼｯｸM" w:eastAsia="HGPｺﾞｼｯｸM"/>
                <w:sz w:val="21"/>
              </w:rPr>
            </w:pPr>
            <w:r>
              <w:rPr>
                <w:rFonts w:hint="eastAsia" w:ascii="HGPｺﾞｼｯｸM" w:hAnsi="HGPｺﾞｼｯｸM" w:eastAsia="HGPｺﾞｼｯｸM"/>
                <w:sz w:val="21"/>
              </w:rPr>
              <w:t>・水分を多く含むため、腐敗しやすく、悪臭・汚水を発生する。</w:t>
            </w:r>
          </w:p>
          <w:p>
            <w:pPr>
              <w:pStyle w:val="0"/>
              <w:widowControl w:val="1"/>
              <w:autoSpaceDE w:val="1"/>
              <w:autoSpaceDN w:val="1"/>
              <w:spacing w:line="276" w:lineRule="auto"/>
              <w:ind w:left="105" w:hanging="105" w:hangingChars="50"/>
              <w:rPr>
                <w:rFonts w:hint="default" w:ascii="HGPｺﾞｼｯｸM" w:hAnsi="HGPｺﾞｼｯｸM" w:eastAsia="HGPｺﾞｼｯｸM"/>
                <w:sz w:val="21"/>
              </w:rPr>
            </w:pPr>
            <w:r>
              <w:rPr>
                <w:rFonts w:hint="eastAsia" w:ascii="HGPｺﾞｼｯｸM" w:hAnsi="HGPｺﾞｼｯｸM" w:eastAsia="HGPｺﾞｼｯｸM"/>
                <w:sz w:val="21"/>
              </w:rPr>
              <w:t>・水分を含んで重量がある畳や家具等の粗大ごみが多量に発生するため、平常時の人員及び車輌等では収集・運搬が困難である。</w:t>
            </w:r>
          </w:p>
          <w:p>
            <w:pPr>
              <w:pStyle w:val="0"/>
              <w:widowControl w:val="1"/>
              <w:autoSpaceDE w:val="1"/>
              <w:autoSpaceDN w:val="1"/>
              <w:spacing w:line="276" w:lineRule="auto"/>
              <w:rPr>
                <w:rFonts w:hint="default" w:ascii="HGPｺﾞｼｯｸM" w:hAnsi="HGPｺﾞｼｯｸM" w:eastAsia="HGPｺﾞｼｯｸM"/>
                <w:sz w:val="21"/>
              </w:rPr>
            </w:pPr>
            <w:r>
              <w:rPr>
                <w:rFonts w:hint="eastAsia" w:ascii="HGPｺﾞｼｯｸM" w:hAnsi="HGPｺﾞｼｯｸM" w:eastAsia="HGPｺﾞｼｯｸM"/>
                <w:sz w:val="21"/>
              </w:rPr>
              <w:t>・土砂が多量に混入しているため、処理にあたって留意が必要である。</w:t>
            </w:r>
          </w:p>
          <w:p>
            <w:pPr>
              <w:pStyle w:val="0"/>
              <w:widowControl w:val="1"/>
              <w:autoSpaceDE w:val="1"/>
              <w:autoSpaceDN w:val="1"/>
              <w:spacing w:line="276" w:lineRule="auto"/>
              <w:ind w:left="105" w:hanging="105" w:hangingChars="50"/>
              <w:rPr>
                <w:rFonts w:hint="default" w:ascii="HGPｺﾞｼｯｸM" w:hAnsi="HGPｺﾞｼｯｸM" w:eastAsia="HGPｺﾞｼｯｸM"/>
                <w:sz w:val="21"/>
              </w:rPr>
            </w:pPr>
            <w:r>
              <w:rPr>
                <w:rFonts w:hint="eastAsia" w:ascii="HGPｺﾞｼｯｸM" w:hAnsi="HGPｺﾞｼｯｸM" w:eastAsia="HGPｺﾞｼｯｸM"/>
                <w:sz w:val="21"/>
              </w:rPr>
              <w:t>・ガスボンベ等発火しやすい廃棄物が混入している、あるいは畳等の発酵により発熱・発火する可能性があるため、収集・保管には留意が必要である。</w:t>
            </w:r>
          </w:p>
          <w:p>
            <w:pPr>
              <w:pStyle w:val="0"/>
              <w:widowControl w:val="1"/>
              <w:autoSpaceDE w:val="1"/>
              <w:autoSpaceDN w:val="1"/>
              <w:spacing w:line="276" w:lineRule="auto"/>
              <w:ind w:left="105" w:hanging="105" w:hangingChars="50"/>
              <w:rPr>
                <w:rFonts w:hint="default" w:ascii="HGPｺﾞｼｯｸM" w:hAnsi="HGPｺﾞｼｯｸM" w:eastAsia="HGPｺﾞｼｯｸM"/>
                <w:sz w:val="21"/>
              </w:rPr>
            </w:pPr>
            <w:r>
              <w:rPr>
                <w:rFonts w:hint="eastAsia" w:ascii="HGPｺﾞｼｯｸM" w:hAnsi="HGPｺﾞｼｯｸM" w:eastAsia="HGPｺﾞｼｯｸM"/>
                <w:sz w:val="21"/>
              </w:rPr>
              <w:t>・便乗による廃棄物（廃タイヤや業務用プロパン等）が混入することがあり、混入防止の留意が必要である。</w:t>
            </w:r>
          </w:p>
        </w:tc>
      </w:tr>
      <w:tr>
        <w:trPr>
          <w:trHeight w:val="1118" w:hRule="atLeast"/>
        </w:trPr>
        <w:tc>
          <w:tcPr>
            <w:tcW w:w="1512" w:type="dxa"/>
            <w:vAlign w:val="center"/>
          </w:tcPr>
          <w:p>
            <w:pPr>
              <w:pStyle w:val="0"/>
              <w:widowControl w:val="1"/>
              <w:autoSpaceDE w:val="1"/>
              <w:autoSpaceDN w:val="1"/>
              <w:jc w:val="center"/>
              <w:rPr>
                <w:rFonts w:hint="default" w:ascii="HGPｺﾞｼｯｸM" w:hAnsi="HGPｺﾞｼｯｸM" w:eastAsia="HGPｺﾞｼｯｸM"/>
                <w:sz w:val="21"/>
              </w:rPr>
            </w:pPr>
            <w:r>
              <w:rPr>
                <w:rFonts w:hint="eastAsia" w:ascii="HGPｺﾞｼｯｸM" w:hAnsi="HGPｺﾞｼｯｸM" w:eastAsia="HGPｺﾞｼｯｸM"/>
                <w:sz w:val="21"/>
              </w:rPr>
              <w:t>し尿等</w:t>
            </w:r>
          </w:p>
        </w:tc>
        <w:tc>
          <w:tcPr>
            <w:tcW w:w="7008" w:type="dxa"/>
            <w:vAlign w:val="center"/>
          </w:tcPr>
          <w:p>
            <w:pPr>
              <w:pStyle w:val="0"/>
              <w:widowControl w:val="1"/>
              <w:autoSpaceDE w:val="1"/>
              <w:autoSpaceDN w:val="1"/>
              <w:spacing w:line="276" w:lineRule="auto"/>
              <w:ind w:left="105" w:hanging="105" w:hangingChars="50"/>
              <w:rPr>
                <w:rFonts w:hint="default" w:ascii="HGPｺﾞｼｯｸM" w:hAnsi="HGPｺﾞｼｯｸM" w:eastAsia="HGPｺﾞｼｯｸM"/>
                <w:sz w:val="21"/>
              </w:rPr>
            </w:pPr>
            <w:r>
              <w:rPr>
                <w:rFonts w:hint="eastAsia" w:ascii="HGPｺﾞｼｯｸM" w:hAnsi="HGPｺﾞｼｯｸM" w:eastAsia="HGPｺﾞｼｯｸM"/>
                <w:sz w:val="21"/>
              </w:rPr>
              <w:t>・水没した汲み取り便所の便槽や浄化槽については、被災後速やかに汲み取り、清掃、周辺の消毒が必要となる。</w:t>
            </w:r>
          </w:p>
        </w:tc>
      </w:tr>
      <w:tr>
        <w:trPr>
          <w:trHeight w:val="1119" w:hRule="atLeast"/>
        </w:trPr>
        <w:tc>
          <w:tcPr>
            <w:tcW w:w="1512" w:type="dxa"/>
            <w:vAlign w:val="center"/>
          </w:tcPr>
          <w:p>
            <w:pPr>
              <w:pStyle w:val="0"/>
              <w:widowControl w:val="1"/>
              <w:autoSpaceDE w:val="1"/>
              <w:autoSpaceDN w:val="1"/>
              <w:jc w:val="center"/>
              <w:rPr>
                <w:rFonts w:hint="default" w:ascii="HGPｺﾞｼｯｸM" w:hAnsi="HGPｺﾞｼｯｸM" w:eastAsia="HGPｺﾞｼｯｸM"/>
                <w:sz w:val="21"/>
              </w:rPr>
            </w:pPr>
            <w:r>
              <w:rPr>
                <w:rFonts w:hint="eastAsia" w:ascii="HGPｺﾞｼｯｸM" w:hAnsi="HGPｺﾞｼｯｸM" w:eastAsia="HGPｺﾞｼｯｸM"/>
                <w:sz w:val="21"/>
              </w:rPr>
              <w:t>流木等</w:t>
            </w:r>
          </w:p>
        </w:tc>
        <w:tc>
          <w:tcPr>
            <w:tcW w:w="7008" w:type="dxa"/>
            <w:vAlign w:val="center"/>
          </w:tcPr>
          <w:p>
            <w:pPr>
              <w:pStyle w:val="0"/>
              <w:widowControl w:val="1"/>
              <w:autoSpaceDE w:val="1"/>
              <w:autoSpaceDN w:val="1"/>
              <w:spacing w:line="276" w:lineRule="auto"/>
              <w:ind w:left="105" w:hanging="105" w:hangingChars="50"/>
              <w:rPr>
                <w:rFonts w:hint="default" w:ascii="HGPｺﾞｼｯｸM" w:hAnsi="HGPｺﾞｼｯｸM" w:eastAsia="HGPｺﾞｼｯｸM"/>
                <w:sz w:val="21"/>
              </w:rPr>
            </w:pPr>
            <w:r>
              <w:rPr>
                <w:rFonts w:hint="eastAsia" w:ascii="HGPｺﾞｼｯｸM" w:hAnsi="HGPｺﾞｼｯｸM" w:eastAsia="HGPｺﾞｼｯｸM"/>
                <w:sz w:val="21"/>
              </w:rPr>
              <w:t>・洪水により流されてきた流木やビニル等が一時的に大量発生するため、処理が必要となる場合がある。</w:t>
            </w:r>
          </w:p>
        </w:tc>
      </w:tr>
      <w:tr>
        <w:trPr>
          <w:trHeight w:val="2128" w:hRule="atLeast"/>
        </w:trPr>
        <w:tc>
          <w:tcPr>
            <w:tcW w:w="1512" w:type="dxa"/>
            <w:vAlign w:val="center"/>
          </w:tcPr>
          <w:p>
            <w:pPr>
              <w:pStyle w:val="0"/>
              <w:widowControl w:val="1"/>
              <w:autoSpaceDE w:val="1"/>
              <w:autoSpaceDN w:val="1"/>
              <w:jc w:val="center"/>
              <w:rPr>
                <w:rFonts w:hint="default" w:ascii="HGPｺﾞｼｯｸM" w:hAnsi="HGPｺﾞｼｯｸM" w:eastAsia="HGPｺﾞｼｯｸM"/>
                <w:sz w:val="21"/>
              </w:rPr>
            </w:pPr>
            <w:r>
              <w:rPr>
                <w:rFonts w:hint="eastAsia" w:ascii="HGPｺﾞｼｯｸM" w:hAnsi="HGPｺﾞｼｯｸM" w:eastAsia="HGPｺﾞｼｯｸM"/>
                <w:sz w:val="21"/>
              </w:rPr>
              <w:t>畳等</w:t>
            </w:r>
          </w:p>
        </w:tc>
        <w:tc>
          <w:tcPr>
            <w:tcW w:w="7008" w:type="dxa"/>
            <w:vAlign w:val="center"/>
          </w:tcPr>
          <w:p>
            <w:pPr>
              <w:pStyle w:val="0"/>
              <w:widowControl w:val="1"/>
              <w:autoSpaceDE w:val="1"/>
              <w:spacing w:before="14" w:beforeLines="5" w:beforeAutospacing="0" w:after="14" w:afterLines="5" w:afterAutospacing="0" w:line="276" w:lineRule="auto"/>
              <w:ind w:left="105" w:hanging="105" w:hangingChars="50"/>
              <w:rPr>
                <w:rFonts w:hint="default" w:ascii="HGPｺﾞｼｯｸM" w:hAnsi="HGPｺﾞｼｯｸM" w:eastAsia="HGPｺﾞｼｯｸM"/>
                <w:kern w:val="2"/>
                <w:sz w:val="21"/>
              </w:rPr>
            </w:pPr>
            <w:r>
              <w:rPr>
                <w:rFonts w:hint="eastAsia" w:ascii="HGPｺﾞｼｯｸM" w:hAnsi="HGPｺﾞｼｯｸM" w:eastAsia="HGPｺﾞｼｯｸM"/>
                <w:kern w:val="2"/>
                <w:sz w:val="21"/>
              </w:rPr>
              <w:t>・水分をふくんだ畳等の発酵により発熱・発火する可能性があるため、火災や腐敗による二次災害等への注意が必要であり、早期に資源化や処理を行う必要がある。消毒・消臭等、感染症の防止、衛生面の保全を図る。</w:t>
            </w:r>
          </w:p>
          <w:p>
            <w:pPr>
              <w:pStyle w:val="0"/>
              <w:widowControl w:val="1"/>
              <w:autoSpaceDE w:val="1"/>
              <w:autoSpaceDN w:val="1"/>
              <w:spacing w:line="276" w:lineRule="auto"/>
              <w:ind w:left="105" w:hanging="105" w:hangingChars="50"/>
              <w:rPr>
                <w:rFonts w:hint="default" w:ascii="HGPｺﾞｼｯｸM" w:hAnsi="HGPｺﾞｼｯｸM" w:eastAsia="HGPｺﾞｼｯｸM"/>
                <w:sz w:val="21"/>
              </w:rPr>
            </w:pPr>
            <w:r>
              <w:rPr>
                <w:rFonts w:hint="eastAsia" w:ascii="HGPｺﾞｼｯｸM" w:hAnsi="HGPｺﾞｼｯｸM" w:eastAsia="HGPｺﾞｼｯｸM"/>
                <w:kern w:val="2"/>
                <w:sz w:val="21"/>
              </w:rPr>
              <w:t>・畳、カーペットは、保管スペースや早期の乾燥を図るためカッターによる切断（</w:t>
            </w:r>
            <w:r>
              <w:rPr>
                <w:rFonts w:hint="eastAsia" w:ascii="HGPｺﾞｼｯｸM" w:hAnsi="HGPｺﾞｼｯｸM" w:eastAsia="HGPｺﾞｼｯｸM"/>
                <w:kern w:val="2"/>
                <w:sz w:val="21"/>
              </w:rPr>
              <w:t>1/4</w:t>
            </w:r>
            <w:r>
              <w:rPr>
                <w:rFonts w:hint="eastAsia" w:ascii="HGPｺﾞｼｯｸM" w:hAnsi="HGPｺﾞｼｯｸM" w:eastAsia="HGPｺﾞｼｯｸM"/>
                <w:kern w:val="2"/>
                <w:sz w:val="21"/>
              </w:rPr>
              <w:t>程度）等の対応をすることがのぞましい。</w:t>
            </w:r>
          </w:p>
        </w:tc>
      </w:tr>
    </w:tbl>
    <w:p>
      <w:pPr>
        <w:pStyle w:val="0"/>
        <w:widowControl w:val="1"/>
        <w:autoSpaceDE w:val="1"/>
        <w:autoSpaceDN w:val="1"/>
        <w:ind w:right="662" w:rightChars="301"/>
        <w:rPr>
          <w:rFonts w:hint="default" w:ascii="ＭＳ 明朝" w:hAnsi="ＭＳ 明朝" w:eastAsia="ＭＳ 明朝"/>
          <w:sz w:val="18"/>
        </w:rPr>
      </w:pPr>
      <w:r>
        <w:rPr>
          <w:rFonts w:hint="eastAsia" w:ascii="ＭＳ 明朝" w:hAnsi="ＭＳ 明朝" w:eastAsia="ＭＳ 明朝"/>
          <w:sz w:val="18"/>
        </w:rPr>
        <w:t>出典：</w:t>
      </w:r>
      <w:r>
        <w:rPr>
          <w:rFonts w:hint="eastAsia" w:ascii="ＭＳ 明朝" w:hAnsi="ＭＳ 明朝" w:eastAsia="ＭＳ 明朝"/>
          <w:color w:val="000000" w:themeColor="text1"/>
          <w:sz w:val="18"/>
        </w:rPr>
        <w:t>水害廃棄物対策指針、災害廃棄物対策指針（平成</w:t>
      </w:r>
      <w:r>
        <w:rPr>
          <w:rFonts w:hint="eastAsia" w:ascii="ＭＳ 明朝" w:hAnsi="ＭＳ 明朝" w:eastAsia="ＭＳ 明朝"/>
          <w:color w:val="000000" w:themeColor="text1"/>
          <w:sz w:val="18"/>
        </w:rPr>
        <w:t>30</w:t>
      </w:r>
      <w:r>
        <w:rPr>
          <w:rFonts w:hint="eastAsia" w:ascii="ＭＳ 明朝" w:hAnsi="ＭＳ 明朝" w:eastAsia="ＭＳ 明朝"/>
          <w:color w:val="000000" w:themeColor="text1"/>
          <w:sz w:val="18"/>
        </w:rPr>
        <w:t>年</w:t>
      </w:r>
      <w:r>
        <w:rPr>
          <w:rFonts w:hint="eastAsia" w:ascii="ＭＳ 明朝" w:hAnsi="ＭＳ 明朝" w:eastAsia="ＭＳ 明朝"/>
          <w:color w:val="000000" w:themeColor="text1"/>
          <w:sz w:val="18"/>
        </w:rPr>
        <w:t>3</w:t>
      </w:r>
      <w:r>
        <w:rPr>
          <w:rFonts w:hint="eastAsia" w:ascii="ＭＳ 明朝" w:hAnsi="ＭＳ 明朝" w:eastAsia="ＭＳ 明朝"/>
          <w:color w:val="000000" w:themeColor="text1"/>
          <w:sz w:val="18"/>
        </w:rPr>
        <w:t>月）を参考に作成</w:t>
      </w:r>
    </w:p>
    <w:p>
      <w:pPr>
        <w:pStyle w:val="0"/>
        <w:widowControl w:val="1"/>
        <w:autoSpaceDE w:val="1"/>
        <w:autoSpaceDN w:val="1"/>
        <w:rPr>
          <w:rFonts w:hint="default" w:asciiTheme="majorHAnsi" w:hAnsiTheme="majorHAnsi" w:eastAsiaTheme="majorEastAsia"/>
        </w:rPr>
      </w:pPr>
      <w:r>
        <w:rPr>
          <w:rFonts w:hint="default"/>
        </w:rPr>
        <w:br w:type="page"/>
      </w:r>
    </w:p>
    <w:p>
      <w:pPr>
        <w:pStyle w:val="0"/>
        <w:keepNext w:val="1"/>
        <w:outlineLvl w:val="1"/>
        <w:rPr>
          <w:rFonts w:hint="default"/>
          <w:sz w:val="24"/>
        </w:rPr>
      </w:pPr>
      <w:bookmarkStart w:id="58" w:name="_Toc24793491"/>
      <w:bookmarkStart w:id="59" w:name="_Toc27146518"/>
      <w:bookmarkStart w:id="60" w:name="_Toc60838764"/>
      <w:r>
        <w:rPr>
          <w:rFonts w:hint="default"/>
          <w:sz w:val="24"/>
        </w:rPr>
        <w:t>8</w:t>
      </w:r>
      <w:r>
        <w:rPr>
          <w:rFonts w:hint="eastAsia"/>
          <w:sz w:val="24"/>
        </w:rPr>
        <w:t>章　災害廃棄物処理実行計画の作成</w:t>
      </w:r>
      <w:bookmarkEnd w:id="58"/>
      <w:bookmarkEnd w:id="59"/>
      <w:bookmarkEnd w:id="60"/>
    </w:p>
    <w:p>
      <w:pPr>
        <w:pStyle w:val="0"/>
        <w:spacing w:line="276" w:lineRule="auto"/>
        <w:ind w:right="117" w:firstLine="210" w:firstLineChars="100"/>
        <w:jc w:val="both"/>
        <w:rPr>
          <w:rFonts w:hint="default" w:ascii="ＭＳ 明朝" w:hAnsi="ＭＳ 明朝" w:eastAsia="ＭＳ 明朝"/>
          <w:sz w:val="21"/>
        </w:rPr>
      </w:pPr>
      <w:r>
        <w:rPr>
          <w:rFonts w:hint="default" w:ascii="ＭＳ 明朝" w:hAnsi="ＭＳ 明朝" w:eastAsia="ＭＳ 明朝"/>
          <w:sz w:val="21"/>
        </w:rPr>
        <w:t>発災前に作成した処理計画を基に、災害廃棄物の発生量と廃棄物処理施設の被害状況を把握した上で、</w:t>
      </w:r>
      <w:r>
        <w:rPr>
          <w:rFonts w:hint="eastAsia" w:ascii="ＭＳ 明朝" w:hAnsi="ＭＳ 明朝" w:eastAsia="ＭＳ 明朝"/>
          <w:b w:val="0"/>
          <w:sz w:val="21"/>
          <w:u w:val="none" w:color="auto"/>
        </w:rPr>
        <w:t>発災後早い段階で</w:t>
      </w:r>
      <w:r>
        <w:rPr>
          <w:rFonts w:hint="default" w:ascii="ＭＳ 明朝" w:hAnsi="ＭＳ 明朝" w:eastAsia="ＭＳ 明朝"/>
          <w:sz w:val="21"/>
        </w:rPr>
        <w:t>実行計画を作成</w:t>
      </w:r>
      <w:r>
        <w:rPr>
          <w:rFonts w:hint="eastAsia" w:ascii="ＭＳ 明朝" w:hAnsi="ＭＳ 明朝" w:eastAsia="ＭＳ 明朝"/>
          <w:sz w:val="21"/>
        </w:rPr>
        <w:t>する</w:t>
      </w:r>
      <w:r>
        <w:rPr>
          <w:rFonts w:hint="default" w:ascii="ＭＳ 明朝" w:hAnsi="ＭＳ 明朝" w:eastAsia="ＭＳ 明朝"/>
          <w:sz w:val="21"/>
        </w:rPr>
        <w:t>。</w:t>
      </w:r>
    </w:p>
    <w:p>
      <w:pPr>
        <w:pStyle w:val="0"/>
        <w:spacing w:line="276" w:lineRule="auto"/>
        <w:ind w:right="114" w:firstLine="210" w:firstLineChars="100"/>
        <w:jc w:val="both"/>
        <w:rPr>
          <w:rFonts w:hint="default" w:ascii="ＭＳ 明朝" w:hAnsi="ＭＳ 明朝" w:eastAsia="ＭＳ 明朝"/>
          <w:sz w:val="21"/>
        </w:rPr>
      </w:pPr>
      <w:r>
        <w:rPr>
          <w:rFonts w:hint="default" w:ascii="ＭＳ 明朝" w:hAnsi="ＭＳ 明朝" w:eastAsia="ＭＳ 明朝"/>
          <w:sz w:val="21"/>
        </w:rPr>
        <w:t>発災直後は災害廃棄物量等を十分に把握できないこともあるため、災害廃棄物処理の全体像を示すためにも実行計画を作成する必要があり、処理の進捗に応じて段階的に見直しを行</w:t>
      </w:r>
      <w:r>
        <w:rPr>
          <w:rFonts w:hint="eastAsia" w:ascii="ＭＳ 明朝" w:hAnsi="ＭＳ 明朝" w:eastAsia="ＭＳ 明朝"/>
          <w:sz w:val="21"/>
        </w:rPr>
        <w:t>う</w:t>
      </w:r>
      <w:r>
        <w:rPr>
          <w:rFonts w:hint="default" w:ascii="ＭＳ 明朝" w:hAnsi="ＭＳ 明朝" w:eastAsia="ＭＳ 明朝"/>
          <w:sz w:val="21"/>
        </w:rPr>
        <w:t>。実行計画の具体的な項目例は、表</w:t>
      </w:r>
      <w:r>
        <w:rPr>
          <w:rFonts w:hint="eastAsia" w:ascii="ＭＳ 明朝" w:hAnsi="ＭＳ 明朝" w:eastAsia="ＭＳ 明朝"/>
          <w:sz w:val="21"/>
        </w:rPr>
        <w:t>３１</w:t>
      </w:r>
      <w:r>
        <w:rPr>
          <w:rFonts w:hint="default" w:ascii="ＭＳ 明朝" w:hAnsi="ＭＳ 明朝" w:eastAsia="ＭＳ 明朝"/>
          <w:sz w:val="21"/>
        </w:rPr>
        <w:t>のとおりと</w:t>
      </w:r>
      <w:r>
        <w:rPr>
          <w:rFonts w:hint="eastAsia" w:ascii="ＭＳ 明朝" w:hAnsi="ＭＳ 明朝" w:eastAsia="ＭＳ 明朝"/>
          <w:sz w:val="21"/>
        </w:rPr>
        <w:t>する</w:t>
      </w:r>
      <w:r>
        <w:rPr>
          <w:rFonts w:hint="default" w:ascii="ＭＳ 明朝" w:hAnsi="ＭＳ 明朝" w:eastAsia="ＭＳ 明朝"/>
          <w:sz w:val="21"/>
        </w:rPr>
        <w:t>。</w:t>
      </w:r>
    </w:p>
    <w:p>
      <w:pPr>
        <w:pStyle w:val="0"/>
        <w:spacing w:before="8" w:beforeLines="0" w:beforeAutospacing="0"/>
        <w:rPr>
          <w:rFonts w:hint="default"/>
          <w:sz w:val="21"/>
        </w:rPr>
      </w:pPr>
    </w:p>
    <w:p>
      <w:pPr>
        <w:pStyle w:val="0"/>
        <w:tabs>
          <w:tab w:val="left" w:leader="none" w:pos="3756"/>
        </w:tabs>
        <w:spacing w:before="1" w:beforeLines="0" w:beforeAutospacing="0" w:after="43" w:afterLines="0" w:afterAutospacing="0"/>
        <w:jc w:val="center"/>
        <w:rPr>
          <w:rFonts w:hint="default"/>
          <w:sz w:val="21"/>
        </w:rPr>
      </w:pPr>
      <w:r>
        <w:rPr>
          <w:rFonts w:hint="default"/>
          <w:sz w:val="21"/>
        </w:rPr>
        <w:t>表</w:t>
      </w:r>
      <w:r>
        <w:rPr>
          <w:rFonts w:hint="eastAsia"/>
          <w:sz w:val="21"/>
        </w:rPr>
        <w:t>３１</w:t>
      </w:r>
      <w:r>
        <w:rPr>
          <w:rFonts w:hint="eastAsia" w:asciiTheme="minorEastAsia" w:hAnsiTheme="minorEastAsia" w:eastAsiaTheme="minorEastAsia"/>
          <w:sz w:val="21"/>
        </w:rPr>
        <w:t>　</w:t>
      </w:r>
      <w:r>
        <w:rPr>
          <w:rFonts w:hint="default"/>
          <w:sz w:val="21"/>
        </w:rPr>
        <w:t>実行計画の項目例</w:t>
      </w:r>
    </w:p>
    <w:tbl>
      <w:tblPr>
        <w:tblStyle w:val="54"/>
        <w:tblW w:w="0" w:type="auto"/>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1" w:firstColumn="1" w:lastColumn="1" w:noHBand="0" w:noVBand="0" w:val="01E0"/>
      </w:tblPr>
      <w:tblGrid>
        <w:gridCol w:w="6783"/>
      </w:tblGrid>
      <w:tr>
        <w:trPr>
          <w:trHeight w:val="369" w:hRule="atLeast"/>
        </w:trPr>
        <w:tc>
          <w:tcPr>
            <w:tcW w:w="6783" w:type="dxa"/>
            <w:shd w:val="clear" w:color="auto" w:themeFill="background1" w:themeFillTint="FF" w:themeFillShade="D9"/>
            <w:vAlign w:val="center"/>
          </w:tcPr>
          <w:p>
            <w:pPr>
              <w:pStyle w:val="0"/>
              <w:spacing w:line="260" w:lineRule="exact"/>
              <w:ind w:left="103"/>
              <w:jc w:val="both"/>
              <w:rPr>
                <w:rFonts w:hint="default" w:ascii="HGPｺﾞｼｯｸM" w:hAnsi="HGPｺﾞｼｯｸM" w:eastAsia="HGPｺﾞｼｯｸM"/>
                <w:sz w:val="21"/>
              </w:rPr>
            </w:pPr>
            <w:r>
              <w:rPr>
                <w:rFonts w:hint="eastAsia" w:ascii="HGPｺﾞｼｯｸM" w:hAnsi="HGPｺﾞｼｯｸM" w:eastAsia="HGPｺﾞｼｯｸM"/>
                <w:sz w:val="21"/>
              </w:rPr>
              <w:t>1</w:t>
            </w:r>
            <w:r>
              <w:rPr>
                <w:rFonts w:hint="eastAsia" w:ascii="HGPｺﾞｼｯｸM" w:hAnsi="HGPｺﾞｼｯｸM" w:eastAsia="HGPｺﾞｼｯｸM"/>
                <w:spacing w:val="53"/>
                <w:sz w:val="21"/>
              </w:rPr>
              <w:t xml:space="preserve"> </w:t>
            </w:r>
            <w:r>
              <w:rPr>
                <w:rFonts w:hint="eastAsia" w:ascii="HGPｺﾞｼｯｸM" w:hAnsi="HGPｺﾞｼｯｸM" w:eastAsia="HGPｺﾞｼｯｸM"/>
                <w:sz w:val="21"/>
              </w:rPr>
              <w:t>実行計画の基本的考え方</w:t>
            </w:r>
          </w:p>
        </w:tc>
      </w:tr>
      <w:tr>
        <w:trPr>
          <w:trHeight w:val="884" w:hRule="atLeast"/>
        </w:trPr>
        <w:tc>
          <w:tcPr>
            <w:tcW w:w="6783" w:type="dxa"/>
            <w:vAlign w:val="center"/>
          </w:tcPr>
          <w:p>
            <w:pPr>
              <w:pStyle w:val="0"/>
              <w:numPr>
                <w:ilvl w:val="1"/>
                <w:numId w:val="5"/>
              </w:numPr>
              <w:tabs>
                <w:tab w:val="left" w:leader="none" w:pos="800"/>
              </w:tabs>
              <w:spacing w:line="260" w:lineRule="exact"/>
              <w:jc w:val="both"/>
              <w:rPr>
                <w:rFonts w:hint="default" w:ascii="HGPｺﾞｼｯｸM" w:hAnsi="HGPｺﾞｼｯｸM" w:eastAsia="HGPｺﾞｼｯｸM"/>
                <w:sz w:val="21"/>
              </w:rPr>
            </w:pPr>
            <w:r>
              <w:rPr>
                <w:rFonts w:hint="eastAsia" w:ascii="HGPｺﾞｼｯｸM" w:hAnsi="HGPｺﾞｼｯｸM" w:eastAsia="HGPｺﾞｼｯｸM"/>
                <w:sz w:val="21"/>
              </w:rPr>
              <w:t>基本方針</w:t>
            </w:r>
          </w:p>
          <w:p>
            <w:pPr>
              <w:pStyle w:val="0"/>
              <w:numPr>
                <w:ilvl w:val="1"/>
                <w:numId w:val="5"/>
              </w:numPr>
              <w:tabs>
                <w:tab w:val="left" w:leader="none" w:pos="800"/>
              </w:tabs>
              <w:spacing w:before="29" w:beforeLines="0" w:beforeAutospacing="0" w:line="260" w:lineRule="exact"/>
              <w:jc w:val="both"/>
              <w:rPr>
                <w:rFonts w:hint="default" w:ascii="HGPｺﾞｼｯｸM" w:hAnsi="HGPｺﾞｼｯｸM" w:eastAsia="HGPｺﾞｼｯｸM"/>
                <w:sz w:val="21"/>
              </w:rPr>
            </w:pPr>
            <w:r>
              <w:rPr>
                <w:rFonts w:hint="eastAsia" w:ascii="HGPｺﾞｼｯｸM" w:hAnsi="HGPｺﾞｼｯｸM" w:eastAsia="HGPｺﾞｼｯｸM"/>
                <w:sz w:val="21"/>
              </w:rPr>
              <w:t>実行計画の特徴</w:t>
            </w:r>
          </w:p>
        </w:tc>
      </w:tr>
      <w:tr>
        <w:trPr>
          <w:trHeight w:val="387" w:hRule="atLeast"/>
        </w:trPr>
        <w:tc>
          <w:tcPr>
            <w:tcW w:w="6783" w:type="dxa"/>
            <w:shd w:val="clear" w:color="auto" w:themeFill="background1" w:themeFillTint="FF" w:themeFillShade="D9"/>
            <w:vAlign w:val="center"/>
          </w:tcPr>
          <w:p>
            <w:pPr>
              <w:pStyle w:val="0"/>
              <w:spacing w:line="260" w:lineRule="exact"/>
              <w:ind w:left="103"/>
              <w:jc w:val="both"/>
              <w:rPr>
                <w:rFonts w:hint="default" w:ascii="HGPｺﾞｼｯｸM" w:hAnsi="HGPｺﾞｼｯｸM" w:eastAsia="HGPｺﾞｼｯｸM"/>
                <w:sz w:val="21"/>
              </w:rPr>
            </w:pPr>
            <w:r>
              <w:rPr>
                <w:rFonts w:hint="eastAsia" w:ascii="HGPｺﾞｼｯｸM" w:hAnsi="HGPｺﾞｼｯｸM" w:eastAsia="HGPｺﾞｼｯｸM"/>
                <w:sz w:val="21"/>
              </w:rPr>
              <w:t>2</w:t>
            </w:r>
            <w:r>
              <w:rPr>
                <w:rFonts w:hint="eastAsia" w:ascii="HGPｺﾞｼｯｸM" w:hAnsi="HGPｺﾞｼｯｸM" w:eastAsia="HGPｺﾞｼｯｸM"/>
                <w:spacing w:val="53"/>
                <w:sz w:val="21"/>
              </w:rPr>
              <w:t xml:space="preserve"> </w:t>
            </w:r>
            <w:r>
              <w:rPr>
                <w:rFonts w:hint="eastAsia" w:ascii="HGPｺﾞｼｯｸM" w:hAnsi="HGPｺﾞｼｯｸM" w:eastAsia="HGPｺﾞｼｯｸM"/>
                <w:sz w:val="21"/>
              </w:rPr>
              <w:t>被災状況と災害廃棄物の発生量及び性状</w:t>
            </w:r>
          </w:p>
        </w:tc>
      </w:tr>
      <w:tr>
        <w:trPr>
          <w:trHeight w:val="1058" w:hRule="atLeast"/>
        </w:trPr>
        <w:tc>
          <w:tcPr>
            <w:tcW w:w="6783" w:type="dxa"/>
            <w:vAlign w:val="center"/>
          </w:tcPr>
          <w:p>
            <w:pPr>
              <w:pStyle w:val="0"/>
              <w:numPr>
                <w:ilvl w:val="1"/>
                <w:numId w:val="6"/>
              </w:numPr>
              <w:tabs>
                <w:tab w:val="left" w:leader="none" w:pos="800"/>
              </w:tabs>
              <w:spacing w:line="260" w:lineRule="exact"/>
              <w:jc w:val="both"/>
              <w:rPr>
                <w:rFonts w:hint="default" w:ascii="HGPｺﾞｼｯｸM" w:hAnsi="HGPｺﾞｼｯｸM" w:eastAsia="HGPｺﾞｼｯｸM"/>
                <w:sz w:val="21"/>
              </w:rPr>
            </w:pPr>
            <w:r>
              <w:rPr>
                <w:rFonts w:hint="eastAsia" w:ascii="HGPｺﾞｼｯｸM" w:hAnsi="HGPｺﾞｼｯｸM" w:eastAsia="HGPｺﾞｼｯｸM"/>
                <w:sz w:val="21"/>
              </w:rPr>
              <w:t>被災状況</w:t>
            </w:r>
          </w:p>
          <w:p>
            <w:pPr>
              <w:pStyle w:val="0"/>
              <w:numPr>
                <w:ilvl w:val="1"/>
                <w:numId w:val="6"/>
              </w:numPr>
              <w:tabs>
                <w:tab w:val="left" w:leader="none" w:pos="800"/>
              </w:tabs>
              <w:spacing w:before="29" w:beforeLines="0" w:beforeAutospacing="0" w:line="260" w:lineRule="exact"/>
              <w:jc w:val="both"/>
              <w:rPr>
                <w:rFonts w:hint="default" w:ascii="HGPｺﾞｼｯｸM" w:hAnsi="HGPｺﾞｼｯｸM" w:eastAsia="HGPｺﾞｼｯｸM"/>
                <w:sz w:val="21"/>
              </w:rPr>
            </w:pPr>
            <w:r>
              <w:rPr>
                <w:rFonts w:hint="eastAsia" w:ascii="HGPｺﾞｼｯｸM" w:hAnsi="HGPｺﾞｼｯｸM" w:eastAsia="HGPｺﾞｼｯｸM"/>
                <w:sz w:val="21"/>
              </w:rPr>
              <w:t>発生量の推計</w:t>
            </w:r>
          </w:p>
          <w:p>
            <w:pPr>
              <w:pStyle w:val="0"/>
              <w:numPr>
                <w:ilvl w:val="1"/>
                <w:numId w:val="6"/>
              </w:numPr>
              <w:tabs>
                <w:tab w:val="left" w:leader="none" w:pos="800"/>
              </w:tabs>
              <w:spacing w:before="29" w:beforeLines="0" w:beforeAutospacing="0" w:line="260" w:lineRule="exact"/>
              <w:jc w:val="both"/>
              <w:rPr>
                <w:rFonts w:hint="default" w:ascii="HGPｺﾞｼｯｸM" w:hAnsi="HGPｺﾞｼｯｸM" w:eastAsia="HGPｺﾞｼｯｸM"/>
                <w:sz w:val="21"/>
              </w:rPr>
            </w:pPr>
            <w:r>
              <w:rPr>
                <w:rFonts w:hint="eastAsia" w:ascii="HGPｺﾞｼｯｸM" w:hAnsi="HGPｺﾞｼｯｸM" w:eastAsia="HGPｺﾞｼｯｸM"/>
                <w:spacing w:val="-1"/>
                <w:sz w:val="21"/>
              </w:rPr>
              <w:t>災害廃棄物の性状</w:t>
            </w:r>
          </w:p>
        </w:tc>
      </w:tr>
      <w:tr>
        <w:trPr>
          <w:trHeight w:val="334" w:hRule="atLeast"/>
        </w:trPr>
        <w:tc>
          <w:tcPr>
            <w:tcW w:w="6783" w:type="dxa"/>
            <w:shd w:val="clear" w:color="auto" w:themeFill="background1" w:themeFillTint="FF" w:themeFillShade="D9"/>
            <w:vAlign w:val="center"/>
          </w:tcPr>
          <w:p>
            <w:pPr>
              <w:pStyle w:val="0"/>
              <w:spacing w:line="260" w:lineRule="exact"/>
              <w:ind w:left="103"/>
              <w:jc w:val="both"/>
              <w:rPr>
                <w:rFonts w:hint="default" w:ascii="HGPｺﾞｼｯｸM" w:hAnsi="HGPｺﾞｼｯｸM" w:eastAsia="HGPｺﾞｼｯｸM"/>
                <w:sz w:val="21"/>
              </w:rPr>
            </w:pPr>
            <w:r>
              <w:rPr>
                <w:rFonts w:hint="eastAsia" w:ascii="HGPｺﾞｼｯｸM" w:hAnsi="HGPｺﾞｼｯｸM" w:eastAsia="HGPｺﾞｼｯｸM"/>
                <w:sz w:val="21"/>
              </w:rPr>
              <w:t>3</w:t>
            </w:r>
            <w:r>
              <w:rPr>
                <w:rFonts w:hint="eastAsia" w:ascii="HGPｺﾞｼｯｸM" w:hAnsi="HGPｺﾞｼｯｸM" w:eastAsia="HGPｺﾞｼｯｸM"/>
                <w:spacing w:val="53"/>
                <w:sz w:val="21"/>
              </w:rPr>
              <w:t xml:space="preserve"> </w:t>
            </w:r>
            <w:r>
              <w:rPr>
                <w:rFonts w:hint="eastAsia" w:ascii="HGPｺﾞｼｯｸM" w:hAnsi="HGPｺﾞｼｯｸM" w:eastAsia="HGPｺﾞｼｯｸM"/>
                <w:sz w:val="21"/>
              </w:rPr>
              <w:t>災害廃棄物処理の概要</w:t>
            </w:r>
          </w:p>
        </w:tc>
      </w:tr>
      <w:tr>
        <w:trPr>
          <w:trHeight w:val="1362" w:hRule="atLeast"/>
        </w:trPr>
        <w:tc>
          <w:tcPr>
            <w:tcW w:w="6783" w:type="dxa"/>
            <w:vAlign w:val="center"/>
          </w:tcPr>
          <w:p>
            <w:pPr>
              <w:pStyle w:val="0"/>
              <w:numPr>
                <w:ilvl w:val="1"/>
                <w:numId w:val="7"/>
              </w:numPr>
              <w:tabs>
                <w:tab w:val="left" w:leader="none" w:pos="800"/>
              </w:tabs>
              <w:spacing w:line="260" w:lineRule="exact"/>
              <w:jc w:val="both"/>
              <w:rPr>
                <w:rFonts w:hint="default" w:ascii="HGPｺﾞｼｯｸM" w:hAnsi="HGPｺﾞｼｯｸM" w:eastAsia="HGPｺﾞｼｯｸM"/>
                <w:sz w:val="21"/>
              </w:rPr>
            </w:pPr>
            <w:r>
              <w:rPr>
                <w:rFonts w:hint="eastAsia" w:ascii="HGPｺﾞｼｯｸM" w:hAnsi="HGPｺﾞｼｯｸM" w:eastAsia="HGPｺﾞｼｯｸM"/>
                <w:spacing w:val="-1"/>
                <w:sz w:val="21"/>
              </w:rPr>
              <w:t>災害廃棄物の処理に当たっての基本的考え方</w:t>
            </w:r>
          </w:p>
          <w:p>
            <w:pPr>
              <w:pStyle w:val="0"/>
              <w:numPr>
                <w:ilvl w:val="1"/>
                <w:numId w:val="7"/>
              </w:numPr>
              <w:tabs>
                <w:tab w:val="left" w:leader="none" w:pos="800"/>
              </w:tabs>
              <w:spacing w:before="29" w:beforeLines="0" w:beforeAutospacing="0" w:line="260" w:lineRule="exact"/>
              <w:jc w:val="both"/>
              <w:rPr>
                <w:rFonts w:hint="default" w:ascii="HGPｺﾞｼｯｸM" w:hAnsi="HGPｺﾞｼｯｸM" w:eastAsia="HGPｺﾞｼｯｸM"/>
                <w:sz w:val="21"/>
              </w:rPr>
            </w:pPr>
            <w:r>
              <w:rPr>
                <w:rFonts w:hint="eastAsia" w:ascii="HGPｺﾞｼｯｸM" w:hAnsi="HGPｺﾞｼｯｸM" w:eastAsia="HGPｺﾞｼｯｸM"/>
                <w:spacing w:val="-1"/>
                <w:sz w:val="21"/>
              </w:rPr>
              <w:t>市町村内の処理・処分能力</w:t>
            </w:r>
          </w:p>
          <w:p>
            <w:pPr>
              <w:pStyle w:val="0"/>
              <w:numPr>
                <w:ilvl w:val="1"/>
                <w:numId w:val="7"/>
              </w:numPr>
              <w:tabs>
                <w:tab w:val="left" w:leader="none" w:pos="800"/>
              </w:tabs>
              <w:spacing w:before="29" w:beforeLines="0" w:beforeAutospacing="0" w:line="260" w:lineRule="exact"/>
              <w:jc w:val="both"/>
              <w:rPr>
                <w:rFonts w:hint="default" w:ascii="HGPｺﾞｼｯｸM" w:hAnsi="HGPｺﾞｼｯｸM" w:eastAsia="HGPｺﾞｼｯｸM"/>
                <w:sz w:val="21"/>
              </w:rPr>
            </w:pPr>
            <w:r>
              <w:rPr>
                <w:rFonts w:hint="eastAsia" w:ascii="HGPｺﾞｼｯｸM" w:hAnsi="HGPｺﾞｼｯｸM" w:eastAsia="HGPｺﾞｼｯｸM"/>
                <w:spacing w:val="-1"/>
                <w:sz w:val="21"/>
              </w:rPr>
              <w:t>処理スケジュール</w:t>
            </w:r>
          </w:p>
          <w:p>
            <w:pPr>
              <w:pStyle w:val="0"/>
              <w:numPr>
                <w:ilvl w:val="1"/>
                <w:numId w:val="7"/>
              </w:numPr>
              <w:tabs>
                <w:tab w:val="left" w:leader="none" w:pos="800"/>
              </w:tabs>
              <w:spacing w:before="29" w:beforeLines="0" w:beforeAutospacing="0" w:line="260" w:lineRule="exact"/>
              <w:jc w:val="both"/>
              <w:rPr>
                <w:rFonts w:hint="default" w:ascii="HGPｺﾞｼｯｸM" w:hAnsi="HGPｺﾞｼｯｸM" w:eastAsia="HGPｺﾞｼｯｸM"/>
                <w:sz w:val="21"/>
              </w:rPr>
            </w:pPr>
            <w:r>
              <w:rPr>
                <w:rFonts w:hint="eastAsia" w:ascii="HGPｺﾞｼｯｸM" w:hAnsi="HGPｺﾞｼｯｸM" w:eastAsia="HGPｺﾞｼｯｸM"/>
                <w:sz w:val="21"/>
              </w:rPr>
              <w:t>処理フロー</w:t>
            </w:r>
          </w:p>
        </w:tc>
      </w:tr>
      <w:tr>
        <w:trPr>
          <w:trHeight w:val="334" w:hRule="atLeast"/>
        </w:trPr>
        <w:tc>
          <w:tcPr>
            <w:tcW w:w="6783" w:type="dxa"/>
            <w:shd w:val="clear" w:color="auto" w:themeFill="background1" w:themeFillTint="FF" w:themeFillShade="D9"/>
            <w:vAlign w:val="center"/>
          </w:tcPr>
          <w:p>
            <w:pPr>
              <w:pStyle w:val="0"/>
              <w:spacing w:line="260" w:lineRule="exact"/>
              <w:ind w:left="103"/>
              <w:jc w:val="both"/>
              <w:rPr>
                <w:rFonts w:hint="default" w:ascii="HGPｺﾞｼｯｸM" w:hAnsi="HGPｺﾞｼｯｸM" w:eastAsia="HGPｺﾞｼｯｸM"/>
                <w:sz w:val="21"/>
              </w:rPr>
            </w:pPr>
            <w:r>
              <w:rPr>
                <w:rFonts w:hint="eastAsia" w:ascii="HGPｺﾞｼｯｸM" w:hAnsi="HGPｺﾞｼｯｸM" w:eastAsia="HGPｺﾞｼｯｸM"/>
                <w:sz w:val="21"/>
              </w:rPr>
              <w:t>4</w:t>
            </w:r>
            <w:r>
              <w:rPr>
                <w:rFonts w:hint="eastAsia" w:ascii="HGPｺﾞｼｯｸM" w:hAnsi="HGPｺﾞｼｯｸM" w:eastAsia="HGPｺﾞｼｯｸM"/>
                <w:spacing w:val="53"/>
                <w:sz w:val="21"/>
              </w:rPr>
              <w:t xml:space="preserve"> </w:t>
            </w:r>
            <w:r>
              <w:rPr>
                <w:rFonts w:hint="eastAsia" w:ascii="HGPｺﾞｼｯｸM" w:hAnsi="HGPｺﾞｼｯｸM" w:eastAsia="HGPｺﾞｼｯｸM"/>
                <w:sz w:val="21"/>
              </w:rPr>
              <w:t>処理方法の具体的な内容</w:t>
            </w:r>
          </w:p>
        </w:tc>
      </w:tr>
      <w:tr>
        <w:trPr>
          <w:trHeight w:val="1329" w:hRule="atLeast"/>
        </w:trPr>
        <w:tc>
          <w:tcPr>
            <w:tcW w:w="6783" w:type="dxa"/>
            <w:vAlign w:val="center"/>
          </w:tcPr>
          <w:p>
            <w:pPr>
              <w:pStyle w:val="0"/>
              <w:numPr>
                <w:ilvl w:val="1"/>
                <w:numId w:val="8"/>
              </w:numPr>
              <w:spacing w:line="260" w:lineRule="exact"/>
              <w:jc w:val="both"/>
              <w:rPr>
                <w:rFonts w:hint="default" w:ascii="HGPｺﾞｼｯｸM" w:hAnsi="HGPｺﾞｼｯｸM" w:eastAsia="HGPｺﾞｼｯｸM"/>
                <w:sz w:val="21"/>
              </w:rPr>
            </w:pPr>
            <w:r>
              <w:rPr>
                <w:rFonts w:hint="eastAsia" w:ascii="HGPｺﾞｼｯｸM" w:hAnsi="HGPｺﾞｼｯｸM" w:eastAsia="HGPｺﾞｼｯｸM"/>
                <w:sz w:val="21"/>
              </w:rPr>
              <w:t>仮置場</w:t>
            </w:r>
          </w:p>
          <w:p>
            <w:pPr>
              <w:pStyle w:val="0"/>
              <w:numPr>
                <w:ilvl w:val="1"/>
                <w:numId w:val="8"/>
              </w:numPr>
              <w:tabs>
                <w:tab w:val="left" w:leader="none" w:pos="800"/>
              </w:tabs>
              <w:spacing w:before="29" w:beforeLines="0" w:beforeAutospacing="0" w:line="260" w:lineRule="exact"/>
              <w:ind w:left="799" w:hanging="456"/>
              <w:jc w:val="both"/>
              <w:rPr>
                <w:rFonts w:hint="default" w:ascii="HGPｺﾞｼｯｸM" w:hAnsi="HGPｺﾞｼｯｸM" w:eastAsia="HGPｺﾞｼｯｸM"/>
                <w:sz w:val="21"/>
              </w:rPr>
            </w:pPr>
            <w:r>
              <w:rPr>
                <w:rFonts w:hint="eastAsia" w:ascii="HGPｺﾞｼｯｸM" w:hAnsi="HGPｺﾞｼｯｸM" w:eastAsia="HGPｺﾞｼｯｸM"/>
                <w:sz w:val="21"/>
              </w:rPr>
              <w:t>収集運搬計画</w:t>
            </w:r>
          </w:p>
          <w:p>
            <w:pPr>
              <w:pStyle w:val="0"/>
              <w:numPr>
                <w:ilvl w:val="1"/>
                <w:numId w:val="8"/>
              </w:numPr>
              <w:tabs>
                <w:tab w:val="left" w:leader="none" w:pos="800"/>
              </w:tabs>
              <w:spacing w:before="29" w:beforeLines="0" w:beforeAutospacing="0" w:line="260" w:lineRule="exact"/>
              <w:ind w:left="799" w:hanging="456"/>
              <w:jc w:val="both"/>
              <w:rPr>
                <w:rFonts w:hint="default" w:ascii="HGPｺﾞｼｯｸM" w:hAnsi="HGPｺﾞｼｯｸM" w:eastAsia="HGPｺﾞｼｯｸM"/>
                <w:sz w:val="21"/>
              </w:rPr>
            </w:pPr>
            <w:r>
              <w:rPr>
                <w:rFonts w:hint="eastAsia" w:ascii="HGPｺﾞｼｯｸM" w:hAnsi="HGPｺﾞｼｯｸM" w:eastAsia="HGPｺﾞｼｯｸM"/>
                <w:sz w:val="21"/>
              </w:rPr>
              <w:t>解体・撤去</w:t>
            </w:r>
          </w:p>
          <w:p>
            <w:pPr>
              <w:pStyle w:val="0"/>
              <w:numPr>
                <w:ilvl w:val="1"/>
                <w:numId w:val="8"/>
              </w:numPr>
              <w:tabs>
                <w:tab w:val="left" w:leader="none" w:pos="800"/>
              </w:tabs>
              <w:spacing w:before="29" w:beforeLines="0" w:beforeAutospacing="0" w:line="260" w:lineRule="exact"/>
              <w:ind w:left="799" w:hanging="456"/>
              <w:jc w:val="both"/>
              <w:rPr>
                <w:rFonts w:hint="default" w:ascii="HGPｺﾞｼｯｸM" w:hAnsi="HGPｺﾞｼｯｸM" w:eastAsia="HGPｺﾞｼｯｸM"/>
                <w:sz w:val="21"/>
              </w:rPr>
            </w:pPr>
            <w:r>
              <w:rPr>
                <w:rFonts w:hint="eastAsia" w:ascii="HGPｺﾞｼｯｸM" w:hAnsi="HGPｺﾞｼｯｸM" w:eastAsia="HGPｺﾞｼｯｸM"/>
                <w:sz w:val="21"/>
              </w:rPr>
              <w:t>処理・処分</w:t>
            </w:r>
          </w:p>
        </w:tc>
      </w:tr>
      <w:tr>
        <w:trPr>
          <w:trHeight w:val="334" w:hRule="atLeast"/>
        </w:trPr>
        <w:tc>
          <w:tcPr>
            <w:tcW w:w="6783" w:type="dxa"/>
            <w:shd w:val="clear" w:color="auto" w:themeFill="background1" w:themeFillTint="FF" w:themeFillShade="D9"/>
            <w:vAlign w:val="center"/>
          </w:tcPr>
          <w:p>
            <w:pPr>
              <w:pStyle w:val="0"/>
              <w:spacing w:line="260" w:lineRule="exact"/>
              <w:ind w:left="103"/>
              <w:jc w:val="both"/>
              <w:rPr>
                <w:rFonts w:hint="default" w:ascii="HGPｺﾞｼｯｸM" w:hAnsi="HGPｺﾞｼｯｸM" w:eastAsia="HGPｺﾞｼｯｸM"/>
                <w:sz w:val="21"/>
              </w:rPr>
            </w:pPr>
            <w:r>
              <w:rPr>
                <w:rFonts w:hint="eastAsia" w:ascii="HGPｺﾞｼｯｸM" w:hAnsi="HGPｺﾞｼｯｸM" w:eastAsia="HGPｺﾞｼｯｸM"/>
                <w:sz w:val="21"/>
              </w:rPr>
              <w:t>5</w:t>
            </w:r>
            <w:r>
              <w:rPr>
                <w:rFonts w:hint="eastAsia" w:ascii="HGPｺﾞｼｯｸM" w:hAnsi="HGPｺﾞｼｯｸM" w:eastAsia="HGPｺﾞｼｯｸM"/>
                <w:spacing w:val="53"/>
                <w:sz w:val="21"/>
              </w:rPr>
              <w:t xml:space="preserve"> </w:t>
            </w:r>
            <w:r>
              <w:rPr>
                <w:rFonts w:hint="eastAsia" w:ascii="HGPｺﾞｼｯｸM" w:hAnsi="HGPｺﾞｼｯｸM" w:eastAsia="HGPｺﾞｼｯｸM"/>
                <w:sz w:val="21"/>
              </w:rPr>
              <w:t>安全対策及び不測の事態への対応計画</w:t>
            </w:r>
          </w:p>
        </w:tc>
      </w:tr>
      <w:tr>
        <w:trPr>
          <w:trHeight w:val="2346" w:hRule="atLeast"/>
        </w:trPr>
        <w:tc>
          <w:tcPr>
            <w:tcW w:w="6783" w:type="dxa"/>
            <w:tcBorders>
              <w:top w:val="none" w:color="auto" w:sz="0" w:space="0"/>
              <w:left w:val="none" w:color="auto" w:sz="0" w:space="0"/>
              <w:bottom w:val="single" w:color="000000" w:sz="4" w:space="0"/>
              <w:right w:val="none" w:color="auto" w:sz="0" w:space="0"/>
              <w:tl2br w:val="none" w:color="auto" w:sz="0" w:space="0"/>
              <w:tr2bl w:val="none" w:color="auto" w:sz="0" w:space="0"/>
            </w:tcBorders>
            <w:vAlign w:val="center"/>
          </w:tcPr>
          <w:p>
            <w:pPr>
              <w:pStyle w:val="0"/>
              <w:numPr>
                <w:ilvl w:val="1"/>
                <w:numId w:val="9"/>
              </w:numPr>
              <w:tabs>
                <w:tab w:val="left" w:leader="none" w:pos="800"/>
              </w:tabs>
              <w:spacing w:line="260" w:lineRule="exact"/>
              <w:ind w:hanging="893"/>
              <w:jc w:val="both"/>
              <w:rPr>
                <w:rFonts w:hint="default" w:ascii="HGPｺﾞｼｯｸM" w:hAnsi="HGPｺﾞｼｯｸM" w:eastAsia="HGPｺﾞｼｯｸM"/>
                <w:sz w:val="21"/>
              </w:rPr>
            </w:pPr>
            <w:r>
              <w:rPr>
                <w:rFonts w:hint="eastAsia" w:ascii="HGPｺﾞｼｯｸM" w:hAnsi="HGPｺﾞｼｯｸM" w:eastAsia="HGPｺﾞｼｯｸM"/>
                <w:spacing w:val="-1"/>
                <w:sz w:val="21"/>
              </w:rPr>
              <w:t>安全・作業環境管理</w:t>
            </w:r>
          </w:p>
          <w:p>
            <w:pPr>
              <w:pStyle w:val="0"/>
              <w:numPr>
                <w:ilvl w:val="1"/>
                <w:numId w:val="9"/>
              </w:numPr>
              <w:tabs>
                <w:tab w:val="left" w:leader="none" w:pos="800"/>
              </w:tabs>
              <w:spacing w:before="29" w:beforeLines="0" w:beforeAutospacing="0" w:line="260" w:lineRule="exact"/>
              <w:ind w:hanging="893"/>
              <w:jc w:val="both"/>
              <w:rPr>
                <w:rFonts w:hint="default" w:ascii="HGPｺﾞｼｯｸM" w:hAnsi="HGPｺﾞｼｯｸM" w:eastAsia="HGPｺﾞｼｯｸM"/>
                <w:sz w:val="21"/>
              </w:rPr>
            </w:pPr>
            <w:r>
              <w:rPr>
                <w:rFonts w:hint="eastAsia" w:ascii="HGPｺﾞｼｯｸM" w:hAnsi="HGPｺﾞｼｯｸM" w:eastAsia="HGPｺﾞｼｯｸM"/>
                <w:sz w:val="21"/>
              </w:rPr>
              <w:t>リスク管理</w:t>
            </w:r>
          </w:p>
          <w:p>
            <w:pPr>
              <w:pStyle w:val="0"/>
              <w:numPr>
                <w:ilvl w:val="1"/>
                <w:numId w:val="9"/>
              </w:numPr>
              <w:tabs>
                <w:tab w:val="left" w:leader="none" w:pos="800"/>
              </w:tabs>
              <w:spacing w:before="29" w:beforeLines="0" w:beforeAutospacing="0" w:line="260" w:lineRule="exact"/>
              <w:ind w:hanging="893"/>
              <w:jc w:val="both"/>
              <w:rPr>
                <w:rFonts w:hint="default" w:ascii="HGPｺﾞｼｯｸM" w:hAnsi="HGPｺﾞｼｯｸM" w:eastAsia="HGPｺﾞｼｯｸM"/>
                <w:sz w:val="21"/>
              </w:rPr>
            </w:pPr>
            <w:r>
              <w:rPr>
                <w:rFonts w:hint="eastAsia" w:ascii="HGPｺﾞｼｯｸM" w:hAnsi="HGPｺﾞｼｯｸM" w:eastAsia="HGPｺﾞｼｯｸM"/>
                <w:spacing w:val="-1"/>
                <w:sz w:val="21"/>
              </w:rPr>
              <w:t>健康被害を防止するための作業環境管理</w:t>
            </w:r>
          </w:p>
          <w:p>
            <w:pPr>
              <w:pStyle w:val="0"/>
              <w:numPr>
                <w:ilvl w:val="1"/>
                <w:numId w:val="9"/>
              </w:numPr>
              <w:tabs>
                <w:tab w:val="left" w:leader="none" w:pos="800"/>
              </w:tabs>
              <w:spacing w:before="29" w:beforeLines="0" w:beforeAutospacing="0" w:line="260" w:lineRule="exact"/>
              <w:ind w:hanging="893"/>
              <w:jc w:val="both"/>
              <w:rPr>
                <w:rFonts w:hint="default" w:ascii="HGPｺﾞｼｯｸM" w:hAnsi="HGPｺﾞｼｯｸM" w:eastAsia="HGPｺﾞｼｯｸM"/>
                <w:sz w:val="21"/>
              </w:rPr>
            </w:pPr>
            <w:r>
              <w:rPr>
                <w:rFonts w:hint="eastAsia" w:ascii="HGPｺﾞｼｯｸM" w:hAnsi="HGPｺﾞｼｯｸM" w:eastAsia="HGPｺﾞｼｯｸM"/>
                <w:sz w:val="21"/>
              </w:rPr>
              <w:t>周辺環境対策</w:t>
            </w:r>
          </w:p>
          <w:p>
            <w:pPr>
              <w:pStyle w:val="0"/>
              <w:numPr>
                <w:ilvl w:val="1"/>
                <w:numId w:val="9"/>
              </w:numPr>
              <w:tabs>
                <w:tab w:val="left" w:leader="none" w:pos="800"/>
              </w:tabs>
              <w:spacing w:before="29" w:beforeLines="0" w:beforeAutospacing="0" w:line="260" w:lineRule="exact"/>
              <w:ind w:hanging="893"/>
              <w:jc w:val="both"/>
              <w:rPr>
                <w:rFonts w:hint="default" w:ascii="HGPｺﾞｼｯｸM" w:hAnsi="HGPｺﾞｼｯｸM" w:eastAsia="HGPｺﾞｼｯｸM"/>
                <w:sz w:val="21"/>
              </w:rPr>
            </w:pPr>
            <w:r>
              <w:rPr>
                <w:rFonts w:hint="eastAsia" w:ascii="HGPｺﾞｼｯｸM" w:hAnsi="HGPｺﾞｼｯｸM" w:eastAsia="HGPｺﾞｼｯｸM"/>
                <w:spacing w:val="-1"/>
                <w:sz w:val="21"/>
              </w:rPr>
              <w:t>適正処理が困難な廃棄物の保管処理方法</w:t>
            </w:r>
          </w:p>
          <w:p>
            <w:pPr>
              <w:pStyle w:val="0"/>
              <w:numPr>
                <w:ilvl w:val="1"/>
                <w:numId w:val="9"/>
              </w:numPr>
              <w:tabs>
                <w:tab w:val="left" w:leader="none" w:pos="800"/>
              </w:tabs>
              <w:spacing w:before="29" w:beforeLines="0" w:beforeAutospacing="0" w:line="260" w:lineRule="exact"/>
              <w:ind w:hanging="893"/>
              <w:jc w:val="both"/>
              <w:rPr>
                <w:rFonts w:hint="default" w:ascii="HGPｺﾞｼｯｸM" w:hAnsi="HGPｺﾞｼｯｸM" w:eastAsia="HGPｺﾞｼｯｸM"/>
                <w:sz w:val="21"/>
              </w:rPr>
            </w:pPr>
            <w:r>
              <w:rPr>
                <w:rFonts w:hint="eastAsia" w:ascii="HGPｺﾞｼｯｸM" w:hAnsi="HGPｺﾞｼｯｸM" w:eastAsia="HGPｺﾞｼｯｸM"/>
                <w:sz w:val="21"/>
              </w:rPr>
              <w:t>貴重品、遺品、</w:t>
            </w:r>
            <w:r>
              <w:rPr>
                <w:rFonts w:hint="eastAsia" w:ascii="HGPｺﾞｼｯｸM" w:hAnsi="HGPｺﾞｼｯｸM" w:eastAsia="HGPｺﾞｼｯｸM"/>
                <w:spacing w:val="-2"/>
                <w:sz w:val="21"/>
              </w:rPr>
              <w:t>思い出の品等の管理方法</w:t>
            </w:r>
          </w:p>
          <w:p>
            <w:pPr>
              <w:pStyle w:val="0"/>
              <w:numPr>
                <w:ilvl w:val="1"/>
                <w:numId w:val="9"/>
              </w:numPr>
              <w:tabs>
                <w:tab w:val="left" w:leader="none" w:pos="800"/>
              </w:tabs>
              <w:spacing w:before="29" w:beforeLines="0" w:beforeAutospacing="0" w:line="260" w:lineRule="exact"/>
              <w:ind w:hanging="893"/>
              <w:jc w:val="both"/>
              <w:rPr>
                <w:rFonts w:hint="default" w:ascii="HGPｺﾞｼｯｸM" w:hAnsi="HGPｺﾞｼｯｸM" w:eastAsia="HGPｺﾞｼｯｸM"/>
                <w:sz w:val="21"/>
              </w:rPr>
            </w:pPr>
            <w:r>
              <w:rPr>
                <w:rFonts w:hint="eastAsia" w:ascii="HGPｺﾞｼｯｸM" w:hAnsi="HGPｺﾞｼｯｸM" w:eastAsia="HGPｺﾞｼｯｸM"/>
                <w:spacing w:val="-1"/>
                <w:sz w:val="21"/>
              </w:rPr>
              <w:t>取扱いに配慮が必要となる廃棄物の保管管理方法</w:t>
            </w:r>
          </w:p>
        </w:tc>
      </w:tr>
      <w:tr>
        <w:trPr>
          <w:trHeight w:val="334" w:hRule="atLeast"/>
        </w:trPr>
        <w:tc>
          <w:tcPr>
            <w:tcW w:w="6783" w:type="dxa"/>
            <w:tcBorders>
              <w:top w:val="single" w:color="000000" w:sz="4" w:space="0"/>
              <w:left w:val="none" w:color="auto" w:sz="0" w:space="0"/>
              <w:bottom w:val="none" w:color="auto" w:sz="0" w:space="0"/>
              <w:right w:val="none" w:color="auto" w:sz="0" w:space="0"/>
              <w:tl2br w:val="none" w:color="auto" w:sz="0" w:space="0"/>
              <w:tr2bl w:val="none" w:color="auto" w:sz="0" w:space="0"/>
            </w:tcBorders>
            <w:shd w:val="clear" w:color="auto" w:themeFill="background1" w:themeFillTint="FF" w:themeFillShade="D9"/>
            <w:vAlign w:val="center"/>
          </w:tcPr>
          <w:p>
            <w:pPr>
              <w:pStyle w:val="0"/>
              <w:spacing w:line="260" w:lineRule="exact"/>
              <w:ind w:left="103"/>
              <w:jc w:val="both"/>
              <w:rPr>
                <w:rFonts w:hint="default" w:ascii="HGPｺﾞｼｯｸM" w:hAnsi="HGPｺﾞｼｯｸM" w:eastAsia="HGPｺﾞｼｯｸM"/>
                <w:sz w:val="21"/>
              </w:rPr>
            </w:pPr>
            <w:r>
              <w:rPr>
                <w:rFonts w:hint="eastAsia" w:ascii="HGPｺﾞｼｯｸM" w:hAnsi="HGPｺﾞｼｯｸM" w:eastAsia="HGPｺﾞｼｯｸM"/>
                <w:sz w:val="21"/>
              </w:rPr>
              <w:t>6</w:t>
            </w:r>
            <w:r>
              <w:rPr>
                <w:rFonts w:hint="eastAsia" w:ascii="HGPｺﾞｼｯｸM" w:hAnsi="HGPｺﾞｼｯｸM" w:eastAsia="HGPｺﾞｼｯｸM"/>
                <w:spacing w:val="53"/>
                <w:sz w:val="21"/>
              </w:rPr>
              <w:t>　</w:t>
            </w:r>
            <w:r>
              <w:rPr>
                <w:rFonts w:hint="eastAsia" w:ascii="HGPｺﾞｼｯｸM" w:hAnsi="HGPｺﾞｼｯｸM" w:eastAsia="HGPｺﾞｼｯｸM"/>
                <w:sz w:val="21"/>
              </w:rPr>
              <w:t>管理計画</w:t>
            </w:r>
          </w:p>
        </w:tc>
      </w:tr>
      <w:tr>
        <w:trPr>
          <w:trHeight w:val="1350" w:hRule="atLeast"/>
        </w:trPr>
        <w:tc>
          <w:tcPr>
            <w:tcW w:w="6783" w:type="dxa"/>
            <w:vAlign w:val="center"/>
          </w:tcPr>
          <w:p>
            <w:pPr>
              <w:pStyle w:val="0"/>
              <w:numPr>
                <w:ilvl w:val="1"/>
                <w:numId w:val="10"/>
              </w:numPr>
              <w:tabs>
                <w:tab w:val="left" w:leader="none" w:pos="800"/>
              </w:tabs>
              <w:spacing w:line="260" w:lineRule="exact"/>
              <w:jc w:val="both"/>
              <w:rPr>
                <w:rFonts w:hint="default" w:ascii="HGPｺﾞｼｯｸM" w:hAnsi="HGPｺﾞｼｯｸM" w:eastAsia="HGPｺﾞｼｯｸM"/>
                <w:sz w:val="21"/>
              </w:rPr>
            </w:pPr>
            <w:r>
              <w:rPr>
                <w:rFonts w:hint="eastAsia" w:ascii="HGPｺﾞｼｯｸM" w:hAnsi="HGPｺﾞｼｯｸM" w:eastAsia="HGPｺﾞｼｯｸM"/>
                <w:spacing w:val="-1"/>
                <w:sz w:val="21"/>
              </w:rPr>
              <w:t>災害廃棄物処理量の管理</w:t>
            </w:r>
          </w:p>
          <w:p>
            <w:pPr>
              <w:pStyle w:val="0"/>
              <w:numPr>
                <w:ilvl w:val="1"/>
                <w:numId w:val="10"/>
              </w:numPr>
              <w:tabs>
                <w:tab w:val="left" w:leader="none" w:pos="800"/>
              </w:tabs>
              <w:spacing w:before="29" w:beforeLines="0" w:beforeAutospacing="0" w:line="260" w:lineRule="exact"/>
              <w:jc w:val="both"/>
              <w:rPr>
                <w:rFonts w:hint="default" w:ascii="HGPｺﾞｼｯｸM" w:hAnsi="HGPｺﾞｼｯｸM" w:eastAsia="HGPｺﾞｼｯｸM"/>
                <w:sz w:val="21"/>
              </w:rPr>
            </w:pPr>
            <w:r>
              <w:rPr>
                <w:rFonts w:hint="eastAsia" w:ascii="HGPｺﾞｼｯｸM" w:hAnsi="HGPｺﾞｼｯｸM" w:eastAsia="HGPｺﾞｼｯｸM"/>
                <w:sz w:val="21"/>
              </w:rPr>
              <w:t>情報の公開</w:t>
            </w:r>
          </w:p>
          <w:p>
            <w:pPr>
              <w:pStyle w:val="0"/>
              <w:numPr>
                <w:ilvl w:val="1"/>
                <w:numId w:val="10"/>
              </w:numPr>
              <w:tabs>
                <w:tab w:val="left" w:leader="none" w:pos="800"/>
              </w:tabs>
              <w:spacing w:before="29" w:beforeLines="0" w:beforeAutospacing="0" w:line="260" w:lineRule="exact"/>
              <w:jc w:val="both"/>
              <w:rPr>
                <w:rFonts w:hint="default" w:ascii="HGPｺﾞｼｯｸM" w:hAnsi="HGPｺﾞｼｯｸM" w:eastAsia="HGPｺﾞｼｯｸM"/>
                <w:sz w:val="21"/>
              </w:rPr>
            </w:pPr>
            <w:r>
              <w:rPr>
                <w:rFonts w:hint="eastAsia" w:ascii="HGPｺﾞｼｯｸM" w:hAnsi="HGPｺﾞｼｯｸM" w:eastAsia="HGPｺﾞｼｯｸM"/>
                <w:sz w:val="21"/>
              </w:rPr>
              <w:t>都道府県、</w:t>
            </w:r>
            <w:r>
              <w:rPr>
                <w:rFonts w:hint="eastAsia" w:ascii="HGPｺﾞｼｯｸM" w:hAnsi="HGPｺﾞｼｯｸM" w:eastAsia="HGPｺﾞｼｯｸM"/>
                <w:spacing w:val="-1"/>
                <w:sz w:val="21"/>
              </w:rPr>
              <w:t>市町村等関係機関との情報共有</w:t>
            </w:r>
          </w:p>
          <w:p>
            <w:pPr>
              <w:pStyle w:val="0"/>
              <w:numPr>
                <w:ilvl w:val="1"/>
                <w:numId w:val="10"/>
              </w:numPr>
              <w:tabs>
                <w:tab w:val="left" w:leader="none" w:pos="800"/>
              </w:tabs>
              <w:spacing w:before="29" w:beforeLines="0" w:beforeAutospacing="0" w:line="260" w:lineRule="exact"/>
              <w:jc w:val="both"/>
              <w:rPr>
                <w:rFonts w:hint="default" w:ascii="HGPｺﾞｼｯｸM" w:hAnsi="HGPｺﾞｼｯｸM" w:eastAsia="HGPｺﾞｼｯｸM"/>
                <w:sz w:val="21"/>
              </w:rPr>
            </w:pPr>
            <w:r>
              <w:rPr>
                <w:rFonts w:hint="eastAsia" w:ascii="HGPｺﾞｼｯｸM" w:hAnsi="HGPｺﾞｼｯｸM" w:eastAsia="HGPｺﾞｼｯｸM"/>
                <w:spacing w:val="-1"/>
                <w:sz w:val="21"/>
              </w:rPr>
              <w:t>処理完了の確認</w:t>
            </w:r>
            <w:r>
              <w:rPr>
                <w:rFonts w:hint="eastAsia" w:ascii="HGPｺﾞｼｯｸM" w:hAnsi="HGPｺﾞｼｯｸM" w:eastAsia="HGPｺﾞｼｯｸM"/>
                <w:sz w:val="21"/>
              </w:rPr>
              <w:t>（跡地返還要領）</w:t>
            </w:r>
          </w:p>
        </w:tc>
      </w:tr>
    </w:tbl>
    <w:p>
      <w:pPr>
        <w:pStyle w:val="0"/>
        <w:spacing w:before="46" w:beforeLines="0" w:beforeAutospacing="0" w:line="276" w:lineRule="auto"/>
        <w:ind w:right="114"/>
        <w:rPr>
          <w:rFonts w:hint="default" w:ascii="ＭＳ 明朝" w:hAnsi="ＭＳ 明朝" w:eastAsia="ＭＳ 明朝"/>
          <w:sz w:val="24"/>
        </w:rPr>
      </w:pPr>
    </w:p>
    <w:sectPr>
      <w:pgSz w:w="11910" w:h="16840"/>
      <w:pgMar w:top="1701" w:right="1701" w:bottom="1701" w:left="1701" w:header="0" w:footer="397" w:gutter="0"/>
      <w:cols w:space="720"/>
      <w:textDirection w:val="lrTb"/>
      <w:docGrid w:linePitch="299"/>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HGSｺﾞｼｯｸM">
    <w:panose1 w:val="00000000000000000000"/>
    <w:charset w:val="80"/>
    <w:family w:val="moder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HGPｺﾞｼｯｸE">
    <w:panose1 w:val="00000000000000000000"/>
    <w:charset w:val="80"/>
    <w:family w:val="modern"/>
    <w:notTrueType/>
    <w:pitch w:val="variable"/>
    <w:sig w:usb0="00000000" w:usb1="00000000" w:usb2="00000000" w:usb3="00000000" w:csb0="01008200" w:csb1="00000000"/>
  </w:font>
  <w:font w:name="Meiryo UI">
    <w:panose1 w:val="00000000000000000000"/>
    <w:charset w:val="80"/>
    <w:family w:val="modern"/>
    <w:notTrueType/>
    <w:pitch w:val="variable"/>
    <w:sig w:usb0="00000000" w:usb1="00000000" w:usb2="00000000" w:usb3="00000000" w:csb0="01008200" w:csb1="00000000"/>
  </w:font>
  <w:font w:name="HGPｺﾞｼｯｸM">
    <w:panose1 w:val="00000000000000000000"/>
    <w:charset w:val="80"/>
    <w:family w:val="modern"/>
    <w:notTrueType/>
    <w:pitch w:val="variable"/>
    <w:sig w:usb0="00000000" w:usb1="00000000" w:usb2="00000000" w:usb3="00000000" w:csb0="01008200" w:csb1="00000000"/>
  </w:font>
  <w:font w:name="Segoe UI Symbol">
    <w:panose1 w:val="00000000000000000000"/>
    <w:charset w:val="00"/>
    <w:family w:val="swiss"/>
    <w:notTrueType/>
    <w:pitch w:val="variable"/>
    <w:sig w:usb0="00000000" w:usb1="00000000" w:usb2="00000000" w:usb3="00000000" w:csb0="FF000000" w:csb1="00000000"/>
  </w:font>
  <w:font w:name="ＭＳ Ｐ明朝">
    <w:panose1 w:val="00000000000000000000"/>
    <w:charset w:val="80"/>
    <w:family w:val="roma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 w:name="HGSｺﾞｼｯｸM">
    <w:panose1 w:val="00000800000000000000"/>
    <w:charset w:val="80"/>
    <w:family w:val="modern"/>
    <w:notTrueType/>
    <w:pitch w:val="variable"/>
    <w:sig w:usb0="00000000" w:usb1="00000000" w:usb2="00000000" w:usb3="00000000" w:csb0="01008200" w:csb1="00000000"/>
  </w:font>
  <w:font w:name="Meiryo UI">
    <w:panose1 w:val="000008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HGPｺﾞｼｯｸM">
    <w:panose1 w:val="00000800000000000000"/>
    <w:charset w:val="80"/>
    <w:family w:val="moder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445184169"/>
      <w:docPartObj>
        <w:docPartGallery w:val="Page Numbers (Bottom of Page)"/>
        <w:docPartUnique/>
      </w:docPartObj>
    </w:sdtPr>
    <w:sdtEndPr>
      <w:rPr>
        <w:rFonts w:hint="default"/>
      </w:rPr>
    </w:sdtEndPr>
    <w:sdtContent>
      <w:p>
        <w:pPr>
          <w:pStyle w:val="31"/>
          <w:jc w:val="center"/>
          <w:rPr>
            <w:rFonts w:hint="default"/>
          </w:rPr>
        </w:pPr>
      </w:p>
    </w:sdtContent>
  </w:sdt>
  <w:p>
    <w:pPr>
      <w:pStyle w:val="31"/>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716627625"/>
      <w:docPartObj>
        <w:docPartGallery w:val="Page Numbers (Bottom of Page)"/>
        <w:docPartUnique/>
      </w:docPartObj>
    </w:sdtPr>
    <w:sdtEndPr>
      <w:rPr>
        <w:rFonts w:hint="default"/>
      </w:rPr>
    </w:sdtEndPr>
    <w:sdtContent>
      <w:p>
        <w:pPr>
          <w:pStyle w:val="31"/>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27</w:t>
        </w:r>
        <w:r>
          <w:rPr>
            <w:rFonts w:hint="eastAsia"/>
          </w:rPr>
          <w:fldChar w:fldCharType="end"/>
        </w:r>
      </w:p>
    </w:sdtContent>
  </w:sdt>
  <w:p>
    <w:pPr>
      <w:pStyle w:val="31"/>
      <w:rPr>
        <w:rFonts w:hint="default"/>
      </w:rPr>
    </w:pPr>
  </w:p>
</w:ftr>
</file>

<file path=word/numbering.xml><?xml version="1.0" encoding="utf-8"?>
<w:numbering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abstractNum w:abstractNumId="0">
    <w:nsid w:val="00000001"/>
    <w:multiLevelType w:val="hybridMultilevel"/>
    <w:tmpl w:val="97448B28"/>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nsid w:val="00000002"/>
    <w:multiLevelType w:val="hybridMultilevel"/>
    <w:tmpl w:val="3D9CFB22"/>
    <w:lvl w:ilvl="0" w:tplc="33CCA75E">
      <w:start w:val="1"/>
      <w:numFmt w:val="decimal"/>
      <w:lvlText w:val="%1章"/>
      <w:lvlJc w:val="left"/>
      <w:pPr>
        <w:ind w:left="550" w:hanging="55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nsid w:val="00000003"/>
    <w:multiLevelType w:val="hybridMultilevel"/>
    <w:tmpl w:val="B2C607CA"/>
    <w:lvl w:ilvl="0" w:tplc="6EC62BF4">
      <w:start w:val="1"/>
      <w:numFmt w:val="aiueoFullWidth"/>
      <w:lvlText w:val="%1）"/>
      <w:lvlJc w:val="left"/>
      <w:pPr>
        <w:ind w:left="440" w:hanging="44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nsid w:val="00000004"/>
    <w:multiLevelType w:val="hybridMultilevel"/>
    <w:tmpl w:val="7B9439FC"/>
    <w:lvl w:ilvl="0" w:tplc="769EF116">
      <w:start w:val="1"/>
      <w:numFmt w:val="irohaFullWidth"/>
      <w:lvlText w:val="%1）"/>
      <w:lvlJc w:val="left"/>
      <w:pPr>
        <w:ind w:left="440" w:hanging="44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nsid w:val="00000005"/>
    <w:multiLevelType w:val="multilevel"/>
    <w:tmpl w:val="42088020"/>
    <w:lvl w:ilvl="0">
      <w:start w:val="1"/>
      <w:numFmt w:val="decimal"/>
      <w:lvlText w:val="%1"/>
      <w:lvlJc w:val="left"/>
      <w:pPr>
        <w:ind w:left="799" w:hanging="456"/>
      </w:pPr>
      <w:rPr>
        <w:rFonts w:hint="default"/>
      </w:rPr>
    </w:lvl>
    <w:lvl w:ilvl="1">
      <w:start w:val="1"/>
      <w:numFmt w:val="decimal"/>
      <w:lvlText w:val="%1.%2"/>
      <w:lvlJc w:val="left"/>
      <w:pPr>
        <w:ind w:left="799" w:hanging="456"/>
      </w:pPr>
      <w:rPr>
        <w:rFonts w:hint="default" w:ascii="Arial" w:hAnsi="Arial" w:eastAsia="Arial"/>
        <w:spacing w:val="-12"/>
        <w:w w:val="99"/>
        <w:sz w:val="24"/>
      </w:rPr>
    </w:lvl>
    <w:lvl w:ilvl="2">
      <w:numFmt w:val="bullet"/>
      <w:lvlText w:val="•"/>
      <w:lvlJc w:val="left"/>
      <w:pPr>
        <w:ind w:left="2311" w:hanging="456"/>
      </w:pPr>
      <w:rPr>
        <w:rFonts w:hint="default"/>
      </w:rPr>
    </w:lvl>
    <w:lvl w:ilvl="3">
      <w:numFmt w:val="bullet"/>
      <w:lvlText w:val="•"/>
      <w:lvlJc w:val="left"/>
      <w:pPr>
        <w:ind w:left="3066" w:hanging="456"/>
      </w:pPr>
      <w:rPr>
        <w:rFonts w:hint="default"/>
      </w:rPr>
    </w:lvl>
    <w:lvl w:ilvl="4">
      <w:numFmt w:val="bullet"/>
      <w:lvlText w:val="•"/>
      <w:lvlJc w:val="left"/>
      <w:pPr>
        <w:ind w:left="3822" w:hanging="456"/>
      </w:pPr>
      <w:rPr>
        <w:rFonts w:hint="default"/>
      </w:rPr>
    </w:lvl>
    <w:lvl w:ilvl="5">
      <w:numFmt w:val="bullet"/>
      <w:lvlText w:val="•"/>
      <w:lvlJc w:val="left"/>
      <w:pPr>
        <w:ind w:left="4577" w:hanging="456"/>
      </w:pPr>
      <w:rPr>
        <w:rFonts w:hint="default"/>
      </w:rPr>
    </w:lvl>
    <w:lvl w:ilvl="6">
      <w:numFmt w:val="bullet"/>
      <w:lvlText w:val="•"/>
      <w:lvlJc w:val="left"/>
      <w:pPr>
        <w:ind w:left="5333" w:hanging="456"/>
      </w:pPr>
      <w:rPr>
        <w:rFonts w:hint="default"/>
      </w:rPr>
    </w:lvl>
    <w:lvl w:ilvl="7">
      <w:numFmt w:val="bullet"/>
      <w:lvlText w:val="•"/>
      <w:lvlJc w:val="left"/>
      <w:pPr>
        <w:ind w:left="6089" w:hanging="456"/>
      </w:pPr>
      <w:rPr>
        <w:rFonts w:hint="default"/>
      </w:rPr>
    </w:lvl>
    <w:lvl w:ilvl="8">
      <w:numFmt w:val="bullet"/>
      <w:lvlText w:val="•"/>
      <w:lvlJc w:val="left"/>
      <w:pPr>
        <w:ind w:left="6844" w:hanging="456"/>
      </w:pPr>
      <w:rPr>
        <w:rFonts w:hint="default"/>
      </w:rPr>
    </w:lvl>
  </w:abstractNum>
  <w:abstractNum w:abstractNumId="5">
    <w:nsid w:val="00000006"/>
    <w:multiLevelType w:val="multilevel"/>
    <w:tmpl w:val="A45C0608"/>
    <w:lvl w:ilvl="0">
      <w:start w:val="2"/>
      <w:numFmt w:val="decimal"/>
      <w:lvlText w:val="%1"/>
      <w:lvlJc w:val="left"/>
      <w:pPr>
        <w:ind w:left="799" w:hanging="456"/>
      </w:pPr>
      <w:rPr>
        <w:rFonts w:hint="default"/>
      </w:rPr>
    </w:lvl>
    <w:lvl w:ilvl="1">
      <w:start w:val="1"/>
      <w:numFmt w:val="decimal"/>
      <w:lvlText w:val="%1.%2"/>
      <w:lvlJc w:val="left"/>
      <w:pPr>
        <w:ind w:left="799" w:hanging="456"/>
      </w:pPr>
      <w:rPr>
        <w:rFonts w:hint="default" w:ascii="Arial" w:hAnsi="Arial" w:eastAsia="Arial"/>
        <w:spacing w:val="-12"/>
        <w:w w:val="99"/>
        <w:sz w:val="24"/>
      </w:rPr>
    </w:lvl>
    <w:lvl w:ilvl="2">
      <w:numFmt w:val="bullet"/>
      <w:lvlText w:val="•"/>
      <w:lvlJc w:val="left"/>
      <w:pPr>
        <w:ind w:left="2311" w:hanging="456"/>
      </w:pPr>
      <w:rPr>
        <w:rFonts w:hint="default"/>
      </w:rPr>
    </w:lvl>
    <w:lvl w:ilvl="3">
      <w:numFmt w:val="bullet"/>
      <w:lvlText w:val="•"/>
      <w:lvlJc w:val="left"/>
      <w:pPr>
        <w:ind w:left="3066" w:hanging="456"/>
      </w:pPr>
      <w:rPr>
        <w:rFonts w:hint="default"/>
      </w:rPr>
    </w:lvl>
    <w:lvl w:ilvl="4">
      <w:numFmt w:val="bullet"/>
      <w:lvlText w:val="•"/>
      <w:lvlJc w:val="left"/>
      <w:pPr>
        <w:ind w:left="3822" w:hanging="456"/>
      </w:pPr>
      <w:rPr>
        <w:rFonts w:hint="default"/>
      </w:rPr>
    </w:lvl>
    <w:lvl w:ilvl="5">
      <w:numFmt w:val="bullet"/>
      <w:lvlText w:val="•"/>
      <w:lvlJc w:val="left"/>
      <w:pPr>
        <w:ind w:left="4577" w:hanging="456"/>
      </w:pPr>
      <w:rPr>
        <w:rFonts w:hint="default"/>
      </w:rPr>
    </w:lvl>
    <w:lvl w:ilvl="6">
      <w:numFmt w:val="bullet"/>
      <w:lvlText w:val="•"/>
      <w:lvlJc w:val="left"/>
      <w:pPr>
        <w:ind w:left="5333" w:hanging="456"/>
      </w:pPr>
      <w:rPr>
        <w:rFonts w:hint="default"/>
      </w:rPr>
    </w:lvl>
    <w:lvl w:ilvl="7">
      <w:numFmt w:val="bullet"/>
      <w:lvlText w:val="•"/>
      <w:lvlJc w:val="left"/>
      <w:pPr>
        <w:ind w:left="6089" w:hanging="456"/>
      </w:pPr>
      <w:rPr>
        <w:rFonts w:hint="default"/>
      </w:rPr>
    </w:lvl>
    <w:lvl w:ilvl="8">
      <w:numFmt w:val="bullet"/>
      <w:lvlText w:val="•"/>
      <w:lvlJc w:val="left"/>
      <w:pPr>
        <w:ind w:left="6844" w:hanging="456"/>
      </w:pPr>
      <w:rPr>
        <w:rFonts w:hint="default"/>
      </w:rPr>
    </w:lvl>
  </w:abstractNum>
  <w:abstractNum w:abstractNumId="6">
    <w:nsid w:val="00000007"/>
    <w:multiLevelType w:val="multilevel"/>
    <w:tmpl w:val="C9B01B1C"/>
    <w:lvl w:ilvl="0">
      <w:start w:val="3"/>
      <w:numFmt w:val="decimal"/>
      <w:lvlText w:val="%1"/>
      <w:lvlJc w:val="left"/>
      <w:pPr>
        <w:ind w:left="799" w:hanging="456"/>
      </w:pPr>
      <w:rPr>
        <w:rFonts w:hint="default"/>
      </w:rPr>
    </w:lvl>
    <w:lvl w:ilvl="1">
      <w:start w:val="1"/>
      <w:numFmt w:val="decimal"/>
      <w:lvlText w:val="%1.%2"/>
      <w:lvlJc w:val="left"/>
      <w:pPr>
        <w:ind w:left="799" w:hanging="456"/>
      </w:pPr>
      <w:rPr>
        <w:rFonts w:hint="default" w:ascii="Arial" w:hAnsi="Arial" w:eastAsia="Arial"/>
        <w:spacing w:val="-12"/>
        <w:w w:val="99"/>
        <w:sz w:val="24"/>
      </w:rPr>
    </w:lvl>
    <w:lvl w:ilvl="2">
      <w:numFmt w:val="bullet"/>
      <w:lvlText w:val="•"/>
      <w:lvlJc w:val="left"/>
      <w:pPr>
        <w:ind w:left="2311" w:hanging="456"/>
      </w:pPr>
      <w:rPr>
        <w:rFonts w:hint="default"/>
      </w:rPr>
    </w:lvl>
    <w:lvl w:ilvl="3">
      <w:numFmt w:val="bullet"/>
      <w:lvlText w:val="•"/>
      <w:lvlJc w:val="left"/>
      <w:pPr>
        <w:ind w:left="3066" w:hanging="456"/>
      </w:pPr>
      <w:rPr>
        <w:rFonts w:hint="default"/>
      </w:rPr>
    </w:lvl>
    <w:lvl w:ilvl="4">
      <w:numFmt w:val="bullet"/>
      <w:lvlText w:val="•"/>
      <w:lvlJc w:val="left"/>
      <w:pPr>
        <w:ind w:left="3822" w:hanging="456"/>
      </w:pPr>
      <w:rPr>
        <w:rFonts w:hint="default"/>
      </w:rPr>
    </w:lvl>
    <w:lvl w:ilvl="5">
      <w:numFmt w:val="bullet"/>
      <w:lvlText w:val="•"/>
      <w:lvlJc w:val="left"/>
      <w:pPr>
        <w:ind w:left="4577" w:hanging="456"/>
      </w:pPr>
      <w:rPr>
        <w:rFonts w:hint="default"/>
      </w:rPr>
    </w:lvl>
    <w:lvl w:ilvl="6">
      <w:numFmt w:val="bullet"/>
      <w:lvlText w:val="•"/>
      <w:lvlJc w:val="left"/>
      <w:pPr>
        <w:ind w:left="5333" w:hanging="456"/>
      </w:pPr>
      <w:rPr>
        <w:rFonts w:hint="default"/>
      </w:rPr>
    </w:lvl>
    <w:lvl w:ilvl="7">
      <w:numFmt w:val="bullet"/>
      <w:lvlText w:val="•"/>
      <w:lvlJc w:val="left"/>
      <w:pPr>
        <w:ind w:left="6089" w:hanging="456"/>
      </w:pPr>
      <w:rPr>
        <w:rFonts w:hint="default"/>
      </w:rPr>
    </w:lvl>
    <w:lvl w:ilvl="8">
      <w:numFmt w:val="bullet"/>
      <w:lvlText w:val="•"/>
      <w:lvlJc w:val="left"/>
      <w:pPr>
        <w:ind w:left="6844" w:hanging="456"/>
      </w:pPr>
      <w:rPr>
        <w:rFonts w:hint="default"/>
      </w:rPr>
    </w:lvl>
  </w:abstractNum>
  <w:abstractNum w:abstractNumId="7">
    <w:nsid w:val="00000008"/>
    <w:multiLevelType w:val="multilevel"/>
    <w:tmpl w:val="C81ED756"/>
    <w:lvl w:ilvl="0">
      <w:start w:val="4"/>
      <w:numFmt w:val="decimal"/>
      <w:lvlText w:val="%1"/>
      <w:lvlJc w:val="left"/>
      <w:pPr>
        <w:ind w:left="739" w:hanging="396"/>
      </w:pPr>
      <w:rPr>
        <w:rFonts w:hint="default"/>
      </w:rPr>
    </w:lvl>
    <w:lvl w:ilvl="1">
      <w:start w:val="1"/>
      <w:numFmt w:val="decimal"/>
      <w:lvlText w:val="%1.%2"/>
      <w:lvlJc w:val="left"/>
      <w:pPr>
        <w:ind w:left="739" w:hanging="396"/>
      </w:pPr>
      <w:rPr>
        <w:rFonts w:hint="default" w:ascii="Arial" w:hAnsi="Arial" w:eastAsia="Arial"/>
        <w:w w:val="99"/>
        <w:sz w:val="24"/>
      </w:rPr>
    </w:lvl>
    <w:lvl w:ilvl="2">
      <w:numFmt w:val="bullet"/>
      <w:lvlText w:val="•"/>
      <w:lvlJc w:val="left"/>
      <w:pPr>
        <w:ind w:left="2263" w:hanging="396"/>
      </w:pPr>
      <w:rPr>
        <w:rFonts w:hint="default"/>
      </w:rPr>
    </w:lvl>
    <w:lvl w:ilvl="3">
      <w:numFmt w:val="bullet"/>
      <w:lvlText w:val="•"/>
      <w:lvlJc w:val="left"/>
      <w:pPr>
        <w:ind w:left="3024" w:hanging="396"/>
      </w:pPr>
      <w:rPr>
        <w:rFonts w:hint="default"/>
      </w:rPr>
    </w:lvl>
    <w:lvl w:ilvl="4">
      <w:numFmt w:val="bullet"/>
      <w:lvlText w:val="•"/>
      <w:lvlJc w:val="left"/>
      <w:pPr>
        <w:ind w:left="3786" w:hanging="396"/>
      </w:pPr>
      <w:rPr>
        <w:rFonts w:hint="default"/>
      </w:rPr>
    </w:lvl>
    <w:lvl w:ilvl="5">
      <w:numFmt w:val="bullet"/>
      <w:lvlText w:val="•"/>
      <w:lvlJc w:val="left"/>
      <w:pPr>
        <w:ind w:left="4547" w:hanging="396"/>
      </w:pPr>
      <w:rPr>
        <w:rFonts w:hint="default"/>
      </w:rPr>
    </w:lvl>
    <w:lvl w:ilvl="6">
      <w:numFmt w:val="bullet"/>
      <w:lvlText w:val="•"/>
      <w:lvlJc w:val="left"/>
      <w:pPr>
        <w:ind w:left="5309" w:hanging="396"/>
      </w:pPr>
      <w:rPr>
        <w:rFonts w:hint="default"/>
      </w:rPr>
    </w:lvl>
    <w:lvl w:ilvl="7">
      <w:numFmt w:val="bullet"/>
      <w:lvlText w:val="•"/>
      <w:lvlJc w:val="left"/>
      <w:pPr>
        <w:ind w:left="6071" w:hanging="396"/>
      </w:pPr>
      <w:rPr>
        <w:rFonts w:hint="default"/>
      </w:rPr>
    </w:lvl>
    <w:lvl w:ilvl="8">
      <w:numFmt w:val="bullet"/>
      <w:lvlText w:val="•"/>
      <w:lvlJc w:val="left"/>
      <w:pPr>
        <w:ind w:left="6832" w:hanging="396"/>
      </w:pPr>
      <w:rPr>
        <w:rFonts w:hint="default"/>
      </w:rPr>
    </w:lvl>
  </w:abstractNum>
  <w:abstractNum w:abstractNumId="8">
    <w:nsid w:val="00000009"/>
    <w:multiLevelType w:val="multilevel"/>
    <w:tmpl w:val="CB921FC8"/>
    <w:lvl w:ilvl="0">
      <w:start w:val="5"/>
      <w:numFmt w:val="decimal"/>
      <w:lvlText w:val="%1"/>
      <w:lvlJc w:val="left"/>
      <w:pPr>
        <w:ind w:left="1224" w:hanging="456"/>
      </w:pPr>
      <w:rPr>
        <w:rFonts w:hint="default"/>
      </w:rPr>
    </w:lvl>
    <w:lvl w:ilvl="1">
      <w:start w:val="1"/>
      <w:numFmt w:val="decimal"/>
      <w:lvlText w:val="%1.%2"/>
      <w:lvlJc w:val="left"/>
      <w:pPr>
        <w:ind w:left="1224" w:hanging="456"/>
      </w:pPr>
      <w:rPr>
        <w:rFonts w:hint="default" w:ascii="Arial" w:hAnsi="Arial" w:eastAsia="Arial"/>
        <w:spacing w:val="-12"/>
        <w:w w:val="99"/>
        <w:sz w:val="24"/>
      </w:rPr>
    </w:lvl>
    <w:lvl w:ilvl="2">
      <w:numFmt w:val="bullet"/>
      <w:lvlText w:val="•"/>
      <w:lvlJc w:val="left"/>
      <w:pPr>
        <w:ind w:left="2736" w:hanging="456"/>
      </w:pPr>
      <w:rPr>
        <w:rFonts w:hint="default"/>
      </w:rPr>
    </w:lvl>
    <w:lvl w:ilvl="3">
      <w:numFmt w:val="bullet"/>
      <w:lvlText w:val="•"/>
      <w:lvlJc w:val="left"/>
      <w:pPr>
        <w:ind w:left="3491" w:hanging="456"/>
      </w:pPr>
      <w:rPr>
        <w:rFonts w:hint="default"/>
      </w:rPr>
    </w:lvl>
    <w:lvl w:ilvl="4">
      <w:numFmt w:val="bullet"/>
      <w:lvlText w:val="•"/>
      <w:lvlJc w:val="left"/>
      <w:pPr>
        <w:ind w:left="4247" w:hanging="456"/>
      </w:pPr>
      <w:rPr>
        <w:rFonts w:hint="default"/>
      </w:rPr>
    </w:lvl>
    <w:lvl w:ilvl="5">
      <w:numFmt w:val="bullet"/>
      <w:lvlText w:val="•"/>
      <w:lvlJc w:val="left"/>
      <w:pPr>
        <w:ind w:left="5002" w:hanging="456"/>
      </w:pPr>
      <w:rPr>
        <w:rFonts w:hint="default"/>
      </w:rPr>
    </w:lvl>
    <w:lvl w:ilvl="6">
      <w:numFmt w:val="bullet"/>
      <w:lvlText w:val="•"/>
      <w:lvlJc w:val="left"/>
      <w:pPr>
        <w:ind w:left="5758" w:hanging="456"/>
      </w:pPr>
      <w:rPr>
        <w:rFonts w:hint="default"/>
      </w:rPr>
    </w:lvl>
    <w:lvl w:ilvl="7">
      <w:numFmt w:val="bullet"/>
      <w:lvlText w:val="•"/>
      <w:lvlJc w:val="left"/>
      <w:pPr>
        <w:ind w:left="6514" w:hanging="456"/>
      </w:pPr>
      <w:rPr>
        <w:rFonts w:hint="default"/>
      </w:rPr>
    </w:lvl>
    <w:lvl w:ilvl="8">
      <w:numFmt w:val="bullet"/>
      <w:lvlText w:val="•"/>
      <w:lvlJc w:val="left"/>
      <w:pPr>
        <w:ind w:left="7269" w:hanging="456"/>
      </w:pPr>
      <w:rPr>
        <w:rFonts w:hint="default"/>
      </w:rPr>
    </w:lvl>
  </w:abstractNum>
  <w:abstractNum w:abstractNumId="9">
    <w:nsid w:val="0000000A"/>
    <w:multiLevelType w:val="multilevel"/>
    <w:tmpl w:val="77CC2F4C"/>
    <w:lvl w:ilvl="0">
      <w:start w:val="6"/>
      <w:numFmt w:val="decimal"/>
      <w:lvlText w:val="%1"/>
      <w:lvlJc w:val="left"/>
      <w:pPr>
        <w:ind w:left="799" w:hanging="456"/>
      </w:pPr>
      <w:rPr>
        <w:rFonts w:hint="default"/>
      </w:rPr>
    </w:lvl>
    <w:lvl w:ilvl="1">
      <w:start w:val="1"/>
      <w:numFmt w:val="decimal"/>
      <w:lvlText w:val="%1.%2"/>
      <w:lvlJc w:val="left"/>
      <w:pPr>
        <w:ind w:left="799" w:hanging="456"/>
      </w:pPr>
      <w:rPr>
        <w:rFonts w:hint="default" w:ascii="Arial" w:hAnsi="Arial" w:eastAsia="Arial"/>
        <w:spacing w:val="-12"/>
        <w:w w:val="99"/>
        <w:sz w:val="24"/>
      </w:rPr>
    </w:lvl>
    <w:lvl w:ilvl="2">
      <w:numFmt w:val="bullet"/>
      <w:lvlText w:val="•"/>
      <w:lvlJc w:val="left"/>
      <w:pPr>
        <w:ind w:left="2311" w:hanging="456"/>
      </w:pPr>
      <w:rPr>
        <w:rFonts w:hint="default"/>
      </w:rPr>
    </w:lvl>
    <w:lvl w:ilvl="3">
      <w:numFmt w:val="bullet"/>
      <w:lvlText w:val="•"/>
      <w:lvlJc w:val="left"/>
      <w:pPr>
        <w:ind w:left="3066" w:hanging="456"/>
      </w:pPr>
      <w:rPr>
        <w:rFonts w:hint="default"/>
      </w:rPr>
    </w:lvl>
    <w:lvl w:ilvl="4">
      <w:numFmt w:val="bullet"/>
      <w:lvlText w:val="•"/>
      <w:lvlJc w:val="left"/>
      <w:pPr>
        <w:ind w:left="3822" w:hanging="456"/>
      </w:pPr>
      <w:rPr>
        <w:rFonts w:hint="default"/>
      </w:rPr>
    </w:lvl>
    <w:lvl w:ilvl="5">
      <w:numFmt w:val="bullet"/>
      <w:lvlText w:val="•"/>
      <w:lvlJc w:val="left"/>
      <w:pPr>
        <w:ind w:left="4577" w:hanging="456"/>
      </w:pPr>
      <w:rPr>
        <w:rFonts w:hint="default"/>
      </w:rPr>
    </w:lvl>
    <w:lvl w:ilvl="6">
      <w:numFmt w:val="bullet"/>
      <w:lvlText w:val="•"/>
      <w:lvlJc w:val="left"/>
      <w:pPr>
        <w:ind w:left="5333" w:hanging="456"/>
      </w:pPr>
      <w:rPr>
        <w:rFonts w:hint="default"/>
      </w:rPr>
    </w:lvl>
    <w:lvl w:ilvl="7">
      <w:numFmt w:val="bullet"/>
      <w:lvlText w:val="•"/>
      <w:lvlJc w:val="left"/>
      <w:pPr>
        <w:ind w:left="6089" w:hanging="456"/>
      </w:pPr>
      <w:rPr>
        <w:rFonts w:hint="default"/>
      </w:rPr>
    </w:lvl>
    <w:lvl w:ilvl="8">
      <w:numFmt w:val="bullet"/>
      <w:lvlText w:val="•"/>
      <w:lvlJc w:val="left"/>
      <w:pPr>
        <w:ind w:left="6844" w:hanging="456"/>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bordersDoNotSurroundHeader/>
  <w:bordersDoNotSurroundFooter/>
  <w:defaultTabStop w:val="840"/>
  <w:drawingGridHorizontalSpacing w:val="110"/>
  <w:displayHorizontalDrawingGridEvery w:val="0"/>
  <w:displayVerticalDrawingGridEvery w:val="2"/>
  <w:characterSpacingControl w:val="compressPunctuation"/>
  <w:savePreviewPicture/>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4" type="connector" idref="#_x0000_s1093">
          <o:proxy start="" idref="#_x0000_s0" connectloc="-1"/>
          <o:proxy end="" idref="#_x0000_s0" connectloc="-1"/>
        </o:r>
        <o:r id="V:Rule6" type="connector" idref="#_x0000_s1076">
          <o:proxy start="" idref="#_x0000_s0" connectloc="-1"/>
          <o:proxy end="" idref="#_x0000_s0" connectloc="-1"/>
        </o:r>
        <o:r id="V:Rule16" type="connector" idref="#_x0000_s1090">
          <o:proxy start="" idref="#_x0000_s0" connectloc="-1"/>
          <o:proxy end="" idref="#_x0000_s0" connectloc="-1"/>
        </o:r>
        <o:r id="V:Rule36" type="connector" idref="#_x0000_s1084">
          <o:proxy start="" idref="#_x0000_s0" connectloc="-1"/>
          <o:proxy end="" idref="#_x0000_s0" connectloc="-1"/>
        </o:r>
        <o:r id="V:Rule50" type="connector" idref="#_x0000_s1081">
          <o:proxy start="" idref="#_x0000_s0" connectloc="-1"/>
          <o:proxy end="" idref="#_x0000_s0" connectloc="-1"/>
        </o:r>
        <o:r id="V:Rule62" type="connector" idref="#_x0000_s1078">
          <o:proxy start="" idref="#_x0000_s0" connectloc="-1"/>
          <o:proxy end="" idref="#_x0000_s0" connectloc="-1"/>
        </o:r>
        <o:r id="V:Rule72" type="connector" idref="#_x0000_s1092">
          <o:proxy start="" idref="#_x0000_s0" connectloc="-1"/>
          <o:proxy end="" idref="#_x0000_s0" connectloc="-1"/>
        </o:r>
        <o:r id="V:Rule82" type="connector" idref="#_x0000_s1089">
          <o:proxy start="" idref="#_x0000_s0" connectloc="-1"/>
          <o:proxy end="" idref="#_x0000_s0" connectloc="-1"/>
        </o:r>
        <o:r id="V:Rule104" type="connector" idref="#_x0000_s1083">
          <o:proxy start="" idref="#_x0000_s0" connectloc="-1"/>
          <o:proxy end="" idref="#_x0000_s0" connectloc="-1"/>
        </o:r>
        <o:r id="V:Rule114" type="connector" idref="#_x0000_s1080">
          <o:proxy start="" idref="#_x0000_s0" connectloc="-1"/>
          <o:proxy end="" idref="#_x0000_s0" connectloc="-1"/>
        </o:r>
        <o:r id="V:Rule124" type="connector" idref="#_x0000_s1094">
          <o:proxy start="" idref="#_x0000_s0" connectloc="-1"/>
          <o:proxy end="" idref="#_x0000_s0" connectloc="-1"/>
        </o:r>
        <o:r id="V:Rule126" type="connector" idref="#_x0000_s1077">
          <o:proxy start="" idref="#_x0000_s0" connectloc="-1"/>
          <o:proxy end="" idref="#_x0000_s0" connectloc="-1"/>
        </o:r>
        <o:r id="V:Rule156" type="connector" idref="#_x0000_s1085">
          <o:proxy start="" idref="#_x0000_s0" connectloc="-1"/>
          <o:proxy end="" idref="#_x0000_s0" connectloc="-1"/>
        </o:r>
        <o:r id="V:Rule168" type="connector" idref="#_x0000_s1082">
          <o:proxy start="" idref="#_x0000_s0" connectloc="-1"/>
          <o:proxy end="" idref="#_x0000_s0" connectloc="-1"/>
        </o:r>
        <o:r id="V:Rule180" type="connector" idref="#_x0000_s1079">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Century" w:hAnsi="Century" w:eastAsiaTheme="minorEastAsia"/>
        <w:kern w:val="2"/>
        <w:sz w:val="21"/>
      </w:rPr>
    </w:rPrDefault>
  </w:docDefaults>
  <w:style w:type="paragraph" w:styleId="0" w:default="1">
    <w:name w:val="Normal"/>
    <w:next w:val="0"/>
    <w:link w:val="0"/>
    <w:uiPriority w:val="0"/>
    <w:qFormat/>
    <w:pPr>
      <w:widowControl w:val="0"/>
      <w:autoSpaceDE w:val="0"/>
      <w:autoSpaceDN w:val="0"/>
    </w:pPr>
    <w:rPr>
      <w:rFonts w:ascii="ＭＳ ゴシック" w:hAnsi="ＭＳ ゴシック" w:eastAsia="ＭＳ ゴシック"/>
      <w:kern w:val="0"/>
      <w:sz w:val="22"/>
    </w:rPr>
  </w:style>
  <w:style w:type="paragraph" w:styleId="1">
    <w:name w:val="heading 1"/>
    <w:basedOn w:val="0"/>
    <w:next w:val="0"/>
    <w:link w:val="18"/>
    <w:uiPriority w:val="0"/>
    <w:qFormat/>
    <w:pPr>
      <w:keepNext w:val="1"/>
      <w:outlineLvl w:val="0"/>
    </w:pPr>
    <w:rPr>
      <w:rFonts w:asciiTheme="majorHAnsi" w:hAnsiTheme="majorHAnsi" w:eastAsiaTheme="majorEastAsia"/>
      <w:sz w:val="24"/>
    </w:rPr>
  </w:style>
  <w:style w:type="paragraph" w:styleId="2">
    <w:name w:val="heading 2"/>
    <w:basedOn w:val="0"/>
    <w:next w:val="0"/>
    <w:link w:val="19"/>
    <w:uiPriority w:val="0"/>
    <w:qFormat/>
    <w:pPr>
      <w:keepNext w:val="1"/>
      <w:outlineLvl w:val="1"/>
    </w:pPr>
    <w:rPr>
      <w:rFonts w:asciiTheme="majorHAnsi" w:hAnsiTheme="majorHAnsi" w:eastAsiaTheme="majorEastAsia"/>
    </w:rPr>
  </w:style>
  <w:style w:type="paragraph" w:styleId="3">
    <w:name w:val="heading 3"/>
    <w:basedOn w:val="0"/>
    <w:next w:val="0"/>
    <w:link w:val="20"/>
    <w:uiPriority w:val="0"/>
    <w:qFormat/>
    <w:pPr>
      <w:keepNext w:val="1"/>
      <w:ind w:left="400" w:leftChars="400"/>
      <w:outlineLvl w:val="2"/>
    </w:pPr>
    <w:rPr>
      <w:rFonts w:asciiTheme="majorHAnsi" w:hAnsiTheme="majorHAnsi" w:eastAsiaTheme="majorEastAsia"/>
    </w:rPr>
  </w:style>
  <w:style w:type="paragraph" w:styleId="4">
    <w:name w:val="heading 4"/>
    <w:basedOn w:val="0"/>
    <w:next w:val="0"/>
    <w:link w:val="28"/>
    <w:uiPriority w:val="0"/>
    <w:qFormat/>
    <w:pPr>
      <w:keepNext w:val="1"/>
      <w:ind w:left="400" w:leftChars="400"/>
      <w:outlineLvl w:val="3"/>
    </w:pPr>
    <w:rPr>
      <w:b w:val="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ody Text"/>
    <w:basedOn w:val="0"/>
    <w:next w:val="15"/>
    <w:link w:val="16"/>
    <w:uiPriority w:val="0"/>
    <w:qFormat/>
    <w:rPr>
      <w:sz w:val="24"/>
    </w:rPr>
  </w:style>
  <w:style w:type="character" w:styleId="16" w:customStyle="1">
    <w:name w:val="本文 (文字)"/>
    <w:basedOn w:val="10"/>
    <w:next w:val="16"/>
    <w:link w:val="15"/>
    <w:uiPriority w:val="0"/>
    <w:rPr>
      <w:rFonts w:ascii="ＭＳ ゴシック" w:hAnsi="ＭＳ ゴシック" w:eastAsia="ＭＳ ゴシック"/>
      <w:kern w:val="0"/>
      <w:sz w:val="24"/>
    </w:rPr>
  </w:style>
  <w:style w:type="paragraph" w:styleId="17">
    <w:name w:val="List Paragraph"/>
    <w:basedOn w:val="0"/>
    <w:next w:val="17"/>
    <w:link w:val="0"/>
    <w:uiPriority w:val="0"/>
    <w:qFormat/>
    <w:pPr>
      <w:ind w:left="840" w:leftChars="400"/>
    </w:pPr>
  </w:style>
  <w:style w:type="character" w:styleId="18" w:customStyle="1">
    <w:name w:val="見出し 1 (文字)"/>
    <w:basedOn w:val="10"/>
    <w:next w:val="18"/>
    <w:link w:val="1"/>
    <w:uiPriority w:val="0"/>
    <w:rPr>
      <w:rFonts w:asciiTheme="majorHAnsi" w:hAnsiTheme="majorHAnsi" w:eastAsiaTheme="majorEastAsia"/>
      <w:kern w:val="0"/>
      <w:sz w:val="24"/>
    </w:rPr>
  </w:style>
  <w:style w:type="character" w:styleId="19" w:customStyle="1">
    <w:name w:val="見出し 2 (文字)"/>
    <w:basedOn w:val="10"/>
    <w:next w:val="19"/>
    <w:link w:val="2"/>
    <w:uiPriority w:val="0"/>
    <w:rPr>
      <w:rFonts w:asciiTheme="majorHAnsi" w:hAnsiTheme="majorHAnsi" w:eastAsiaTheme="majorEastAsia"/>
      <w:kern w:val="0"/>
      <w:sz w:val="22"/>
    </w:rPr>
  </w:style>
  <w:style w:type="character" w:styleId="20" w:customStyle="1">
    <w:name w:val="見出し 3 (文字)"/>
    <w:basedOn w:val="10"/>
    <w:next w:val="20"/>
    <w:link w:val="3"/>
    <w:uiPriority w:val="0"/>
    <w:rPr>
      <w:rFonts w:asciiTheme="majorHAnsi" w:hAnsiTheme="majorHAnsi" w:eastAsiaTheme="majorEastAsia"/>
      <w:kern w:val="0"/>
      <w:sz w:val="22"/>
    </w:rPr>
  </w:style>
  <w:style w:type="paragraph" w:styleId="21">
    <w:name w:val="toc 1"/>
    <w:basedOn w:val="0"/>
    <w:next w:val="0"/>
    <w:link w:val="0"/>
    <w:uiPriority w:val="0"/>
    <w:pPr>
      <w:tabs>
        <w:tab w:val="right" w:leader="dot" w:pos="9170"/>
      </w:tabs>
      <w:autoSpaceDE w:val="1"/>
      <w:autoSpaceDN w:val="1"/>
      <w:jc w:val="both"/>
    </w:pPr>
    <w:rPr>
      <w:rFonts w:ascii="HGSｺﾞｼｯｸM" w:hAnsi="HGSｺﾞｼｯｸM" w:eastAsia="HGSｺﾞｼｯｸM"/>
      <w:b w:val="1"/>
      <w:kern w:val="2"/>
      <w:sz w:val="32"/>
    </w:rPr>
  </w:style>
  <w:style w:type="character" w:styleId="22">
    <w:name w:val="Hyperlink"/>
    <w:next w:val="22"/>
    <w:link w:val="0"/>
    <w:uiPriority w:val="0"/>
    <w:rPr>
      <w:color w:val="0000FF"/>
      <w:u w:val="single" w:color="auto"/>
    </w:rPr>
  </w:style>
  <w:style w:type="paragraph" w:styleId="23">
    <w:name w:val="toc 2"/>
    <w:basedOn w:val="0"/>
    <w:next w:val="0"/>
    <w:link w:val="0"/>
    <w:uiPriority w:val="0"/>
    <w:pPr>
      <w:tabs>
        <w:tab w:val="right" w:leader="dot" w:pos="9160"/>
      </w:tabs>
      <w:autoSpaceDE w:val="1"/>
      <w:autoSpaceDN w:val="1"/>
      <w:ind w:left="220" w:leftChars="100"/>
      <w:jc w:val="both"/>
    </w:pPr>
    <w:rPr>
      <w:b w:val="1"/>
      <w:kern w:val="2"/>
      <w:sz w:val="24"/>
    </w:rPr>
  </w:style>
  <w:style w:type="paragraph" w:styleId="24">
    <w:name w:val="toc 3"/>
    <w:basedOn w:val="0"/>
    <w:next w:val="0"/>
    <w:link w:val="0"/>
    <w:uiPriority w:val="0"/>
    <w:pPr>
      <w:tabs>
        <w:tab w:val="right" w:leader="dot" w:pos="9160"/>
      </w:tabs>
      <w:autoSpaceDE w:val="1"/>
      <w:autoSpaceDN w:val="1"/>
      <w:ind w:left="440" w:leftChars="200"/>
      <w:jc w:val="both"/>
    </w:pPr>
    <w:rPr>
      <w:kern w:val="2"/>
      <w:sz w:val="21"/>
    </w:rPr>
  </w:style>
  <w:style w:type="paragraph" w:styleId="25" w:customStyle="1">
    <w:name w:val="Table Paragraph"/>
    <w:basedOn w:val="0"/>
    <w:next w:val="25"/>
    <w:link w:val="0"/>
    <w:uiPriority w:val="0"/>
    <w:qFormat/>
    <w:pPr>
      <w:spacing w:line="300" w:lineRule="exact"/>
      <w:ind w:left="103"/>
    </w:pPr>
  </w:style>
  <w:style w:type="paragraph" w:styleId="26">
    <w:name w:val="Balloon Text"/>
    <w:basedOn w:val="0"/>
    <w:next w:val="26"/>
    <w:link w:val="27"/>
    <w:uiPriority w:val="0"/>
    <w:semiHidden/>
    <w:rPr>
      <w:rFonts w:asciiTheme="majorHAnsi" w:hAnsiTheme="majorHAnsi" w:eastAsiaTheme="majorEastAsia"/>
      <w:sz w:val="18"/>
    </w:rPr>
  </w:style>
  <w:style w:type="character" w:styleId="27" w:customStyle="1">
    <w:name w:val="吹き出し (文字)"/>
    <w:basedOn w:val="10"/>
    <w:next w:val="27"/>
    <w:link w:val="26"/>
    <w:uiPriority w:val="0"/>
    <w:rPr>
      <w:rFonts w:asciiTheme="majorHAnsi" w:hAnsiTheme="majorHAnsi" w:eastAsiaTheme="majorEastAsia"/>
      <w:kern w:val="0"/>
      <w:sz w:val="18"/>
    </w:rPr>
  </w:style>
  <w:style w:type="character" w:styleId="28" w:customStyle="1">
    <w:name w:val="見出し 4 (文字)"/>
    <w:basedOn w:val="10"/>
    <w:next w:val="28"/>
    <w:link w:val="4"/>
    <w:uiPriority w:val="0"/>
    <w:rPr>
      <w:rFonts w:ascii="ＭＳ ゴシック" w:hAnsi="ＭＳ ゴシック" w:eastAsia="ＭＳ ゴシック"/>
      <w:b w:val="1"/>
      <w:kern w:val="0"/>
      <w:sz w:val="22"/>
    </w:rPr>
  </w:style>
  <w:style w:type="paragraph" w:styleId="29">
    <w:name w:val="header"/>
    <w:basedOn w:val="0"/>
    <w:next w:val="29"/>
    <w:link w:val="30"/>
    <w:uiPriority w:val="0"/>
    <w:pPr>
      <w:tabs>
        <w:tab w:val="center" w:leader="none" w:pos="4252"/>
        <w:tab w:val="right" w:leader="none" w:pos="8504"/>
      </w:tabs>
      <w:snapToGrid w:val="0"/>
    </w:pPr>
  </w:style>
  <w:style w:type="character" w:styleId="30" w:customStyle="1">
    <w:name w:val="ヘッダー (文字)"/>
    <w:basedOn w:val="10"/>
    <w:next w:val="30"/>
    <w:link w:val="29"/>
    <w:uiPriority w:val="0"/>
    <w:rPr>
      <w:rFonts w:ascii="ＭＳ ゴシック" w:hAnsi="ＭＳ ゴシック" w:eastAsia="ＭＳ ゴシック"/>
      <w:kern w:val="0"/>
      <w:sz w:val="22"/>
    </w:rPr>
  </w:style>
  <w:style w:type="paragraph" w:styleId="31">
    <w:name w:val="footer"/>
    <w:basedOn w:val="0"/>
    <w:next w:val="31"/>
    <w:link w:val="32"/>
    <w:uiPriority w:val="0"/>
    <w:pPr>
      <w:tabs>
        <w:tab w:val="center" w:leader="none" w:pos="4252"/>
        <w:tab w:val="right" w:leader="none" w:pos="8504"/>
      </w:tabs>
      <w:snapToGrid w:val="0"/>
    </w:pPr>
  </w:style>
  <w:style w:type="character" w:styleId="32" w:customStyle="1">
    <w:name w:val="フッター (文字)"/>
    <w:basedOn w:val="10"/>
    <w:next w:val="32"/>
    <w:link w:val="31"/>
    <w:uiPriority w:val="0"/>
    <w:rPr>
      <w:rFonts w:ascii="ＭＳ ゴシック" w:hAnsi="ＭＳ ゴシック" w:eastAsia="ＭＳ ゴシック"/>
      <w:kern w:val="0"/>
      <w:sz w:val="22"/>
    </w:rPr>
  </w:style>
  <w:style w:type="paragraph" w:styleId="33">
    <w:name w:val="caption"/>
    <w:basedOn w:val="0"/>
    <w:next w:val="0"/>
    <w:link w:val="35"/>
    <w:uiPriority w:val="0"/>
    <w:semiHidden/>
    <w:qFormat/>
    <w:pPr>
      <w:autoSpaceDE w:val="1"/>
      <w:autoSpaceDN w:val="1"/>
      <w:jc w:val="both"/>
    </w:pPr>
    <w:rPr>
      <w:rFonts w:ascii="Century" w:hAnsi="Century"/>
      <w:kern w:val="2"/>
      <w:sz w:val="21"/>
    </w:rPr>
  </w:style>
  <w:style w:type="character" w:styleId="34">
    <w:name w:val="Emphasis"/>
    <w:next w:val="34"/>
    <w:link w:val="0"/>
    <w:uiPriority w:val="0"/>
    <w:qFormat/>
    <w:rPr>
      <w:i w:val="1"/>
    </w:rPr>
  </w:style>
  <w:style w:type="character" w:styleId="35" w:customStyle="1">
    <w:name w:val="図表番号 (文字)"/>
    <w:next w:val="35"/>
    <w:link w:val="33"/>
    <w:uiPriority w:val="0"/>
    <w:rPr>
      <w:rFonts w:eastAsia="ＭＳ ゴシック"/>
    </w:rPr>
  </w:style>
  <w:style w:type="character" w:styleId="36" w:customStyle="1">
    <w:name w:val="スタイル HGPｺﾞｼｯｸE 12 pt 赤"/>
    <w:next w:val="36"/>
    <w:link w:val="0"/>
    <w:uiPriority w:val="0"/>
    <w:rPr>
      <w:rFonts w:ascii="HGPｺﾞｼｯｸE" w:hAnsi="HGPｺﾞｼｯｸE" w:eastAsia="HGPｺﾞｼｯｸE"/>
      <w:color w:val="FF0000"/>
      <w:sz w:val="24"/>
      <w:bdr w:val="none" w:color="auto" w:sz="0" w:space="0"/>
    </w:rPr>
  </w:style>
  <w:style w:type="paragraph" w:styleId="37" w:customStyle="1">
    <w:name w:val="解説文"/>
    <w:basedOn w:val="0"/>
    <w:next w:val="37"/>
    <w:link w:val="0"/>
    <w:uiPriority w:val="0"/>
    <w:pPr>
      <w:autoSpaceDE w:val="1"/>
      <w:autoSpaceDN w:val="1"/>
      <w:spacing w:line="280" w:lineRule="exact"/>
      <w:ind w:left="500" w:leftChars="500"/>
      <w:jc w:val="both"/>
    </w:pPr>
    <w:rPr>
      <w:rFonts w:ascii="ＭＳ 明朝" w:hAnsi="ＭＳ 明朝" w:eastAsia="ＭＳ 明朝"/>
      <w:kern w:val="2"/>
      <w:sz w:val="20"/>
    </w:rPr>
  </w:style>
  <w:style w:type="paragraph" w:styleId="38" w:customStyle="1">
    <w:name w:val="本文１"/>
    <w:basedOn w:val="0"/>
    <w:next w:val="38"/>
    <w:link w:val="0"/>
    <w:uiPriority w:val="0"/>
    <w:qFormat/>
    <w:pPr>
      <w:autoSpaceDE w:val="1"/>
      <w:autoSpaceDN w:val="1"/>
      <w:ind w:firstLine="221"/>
      <w:jc w:val="both"/>
    </w:pPr>
    <w:rPr>
      <w:rFonts w:ascii="ＭＳ 明朝" w:hAnsi="ＭＳ 明朝" w:eastAsia="ＭＳ 明朝"/>
      <w:kern w:val="2"/>
    </w:rPr>
  </w:style>
  <w:style w:type="character" w:styleId="39">
    <w:name w:val="annotation reference"/>
    <w:basedOn w:val="10"/>
    <w:next w:val="39"/>
    <w:link w:val="0"/>
    <w:uiPriority w:val="0"/>
    <w:semiHidden/>
    <w:rPr>
      <w:sz w:val="18"/>
    </w:rPr>
  </w:style>
  <w:style w:type="paragraph" w:styleId="40">
    <w:name w:val="annotation text"/>
    <w:basedOn w:val="0"/>
    <w:next w:val="40"/>
    <w:link w:val="41"/>
    <w:uiPriority w:val="0"/>
    <w:semiHidden/>
  </w:style>
  <w:style w:type="character" w:styleId="41" w:customStyle="1">
    <w:name w:val="コメント文字列 (文字)"/>
    <w:basedOn w:val="10"/>
    <w:next w:val="41"/>
    <w:link w:val="40"/>
    <w:uiPriority w:val="0"/>
    <w:rPr>
      <w:rFonts w:ascii="ＭＳ ゴシック" w:hAnsi="ＭＳ ゴシック" w:eastAsia="ＭＳ ゴシック"/>
      <w:kern w:val="0"/>
      <w:sz w:val="22"/>
    </w:rPr>
  </w:style>
  <w:style w:type="paragraph" w:styleId="42">
    <w:name w:val="annotation subject"/>
    <w:basedOn w:val="40"/>
    <w:next w:val="40"/>
    <w:link w:val="43"/>
    <w:uiPriority w:val="0"/>
    <w:semiHidden/>
    <w:rPr>
      <w:b w:val="1"/>
    </w:rPr>
  </w:style>
  <w:style w:type="character" w:styleId="43" w:customStyle="1">
    <w:name w:val="コメント内容 (文字)"/>
    <w:basedOn w:val="41"/>
    <w:next w:val="43"/>
    <w:link w:val="42"/>
    <w:uiPriority w:val="0"/>
    <w:rPr>
      <w:rFonts w:ascii="ＭＳ ゴシック" w:hAnsi="ＭＳ ゴシック" w:eastAsia="ＭＳ ゴシック"/>
      <w:b w:val="1"/>
      <w:kern w:val="0"/>
      <w:sz w:val="22"/>
    </w:rPr>
  </w:style>
  <w:style w:type="paragraph" w:styleId="44">
    <w:name w:val="Revision"/>
    <w:next w:val="44"/>
    <w:link w:val="0"/>
    <w:uiPriority w:val="0"/>
    <w:rPr>
      <w:rFonts w:ascii="ＭＳ ゴシック" w:hAnsi="ＭＳ ゴシック" w:eastAsia="ＭＳ ゴシック"/>
      <w:kern w:val="0"/>
      <w:sz w:val="22"/>
    </w:rPr>
  </w:style>
  <w:style w:type="paragraph" w:styleId="45" w:customStyle="1">
    <w:name w:val="スタイル1"/>
    <w:basedOn w:val="15"/>
    <w:next w:val="45"/>
    <w:link w:val="46"/>
    <w:uiPriority w:val="0"/>
    <w:pPr>
      <w:spacing w:before="45" w:beforeLines="0" w:beforeAutospacing="0" w:line="276" w:lineRule="auto"/>
      <w:ind w:right="152" w:firstLine="216" w:firstLineChars="100"/>
    </w:pPr>
    <w:rPr>
      <w:rFonts w:ascii="ＭＳ 明朝" w:hAnsi="ＭＳ 明朝" w:eastAsia="ＭＳ 明朝"/>
      <w:spacing w:val="3"/>
      <w:sz w:val="21"/>
    </w:rPr>
  </w:style>
  <w:style w:type="character" w:styleId="46" w:customStyle="1">
    <w:name w:val="スタイル1 (文字)"/>
    <w:basedOn w:val="16"/>
    <w:next w:val="46"/>
    <w:link w:val="45"/>
    <w:uiPriority w:val="0"/>
    <w:rPr>
      <w:rFonts w:ascii="ＭＳ 明朝" w:hAnsi="ＭＳ 明朝" w:eastAsia="ＭＳ 明朝"/>
      <w:spacing w:val="3"/>
      <w:kern w:val="0"/>
      <w:sz w:val="24"/>
    </w:rPr>
  </w:style>
  <w:style w:type="paragraph" w:styleId="47" w:customStyle="1">
    <w:name w:val="注釈"/>
    <w:basedOn w:val="0"/>
    <w:next w:val="47"/>
    <w:link w:val="0"/>
    <w:uiPriority w:val="0"/>
    <w:qFormat/>
    <w:pPr>
      <w:autoSpaceDE w:val="1"/>
      <w:autoSpaceDN w:val="1"/>
      <w:spacing w:line="300" w:lineRule="exact"/>
      <w:jc w:val="both"/>
    </w:pPr>
    <w:rPr>
      <w:rFonts w:ascii="Century" w:hAnsi="Century" w:eastAsia="ＭＳ 明朝"/>
      <w:kern w:val="2"/>
      <w:sz w:val="18"/>
    </w:rPr>
  </w:style>
  <w:style w:type="paragraph" w:styleId="48">
    <w:name w:val="HTML Preformatted"/>
    <w:basedOn w:val="0"/>
    <w:next w:val="48"/>
    <w:link w:val="49"/>
    <w:uiPriority w:val="0"/>
    <w:pPr>
      <w:widowControl w:val="1"/>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autoSpaceDE w:val="1"/>
      <w:autoSpaceDN w:val="1"/>
    </w:pPr>
    <w:rPr>
      <w:sz w:val="24"/>
    </w:rPr>
  </w:style>
  <w:style w:type="character" w:styleId="49" w:customStyle="1">
    <w:name w:val="HTML 書式付き (文字)"/>
    <w:basedOn w:val="10"/>
    <w:next w:val="49"/>
    <w:link w:val="48"/>
    <w:uiPriority w:val="0"/>
    <w:rPr>
      <w:rFonts w:ascii="ＭＳ ゴシック" w:hAnsi="ＭＳ ゴシック" w:eastAsia="ＭＳ ゴシック"/>
      <w:kern w:val="0"/>
      <w:sz w:val="24"/>
    </w:rPr>
  </w:style>
  <w:style w:type="character" w:styleId="50" w:customStyle="1">
    <w:name w:val="Unresolved Mention"/>
    <w:basedOn w:val="10"/>
    <w:next w:val="50"/>
    <w:link w:val="0"/>
    <w:uiPriority w:val="0"/>
    <w:rPr>
      <w:color w:val="605E5C"/>
      <w:shd w:val="clear" w:color="auto" w:fill="E1DFDD"/>
    </w:rPr>
  </w:style>
  <w:style w:type="character" w:styleId="51">
    <w:name w:val="footnote reference"/>
    <w:basedOn w:val="10"/>
    <w:next w:val="51"/>
    <w:link w:val="0"/>
    <w:uiPriority w:val="0"/>
    <w:semiHidden/>
    <w:rPr>
      <w:vertAlign w:val="superscript"/>
    </w:rPr>
  </w:style>
  <w:style w:type="character" w:styleId="52">
    <w:name w:val="endnote reference"/>
    <w:basedOn w:val="10"/>
    <w:next w:val="52"/>
    <w:link w:val="0"/>
    <w:uiPriority w:val="0"/>
    <w:semiHidden/>
    <w:rPr>
      <w:vertAlign w:val="superscript"/>
    </w:rPr>
  </w:style>
  <w:style w:type="table" w:styleId="53">
    <w:name w:val="Light List Accent 6"/>
    <w:basedOn w:val="11"/>
    <w:next w:val="53"/>
    <w:link w:val="0"/>
    <w:uiPriority w:val="0"/>
    <w:rPr>
      <w:rFonts w:asciiTheme="minorHAnsi" w:hAnsiTheme="minorHAnsi"/>
    </w:rPr>
    <w:tblPr>
      <w:tblStyleRowBandSize w:val="1"/>
      <w:tblStyleColBandSize w:val="1"/>
      <w:tblInd w:w="0" w:type="dxa"/>
      <w:tblBorders>
        <w:top w:val="single" w:color="70AD47" w:themeColor="accent6" w:sz="8" w:space="0"/>
        <w:left w:val="single" w:color="70AD47" w:themeColor="accent6" w:sz="8" w:space="0"/>
        <w:bottom w:val="single" w:color="70AD47" w:themeColor="accent6" w:sz="8" w:space="0"/>
        <w:right w:val="single" w:color="70AD47" w:themeColor="accent6" w:sz="8" w:space="0"/>
        <w:insideH w:val="none" w:color="auto" w:sz="2" w:space="0"/>
        <w:insideV w:val="none" w:color="auto" w:sz="2" w:space="0"/>
      </w:tblBorders>
    </w:tblPr>
    <w:trPr/>
    <w:tcPr/>
    <w:tblStylePr w:type="band1Horz">
      <w:tblPr/>
      <w:trPr/>
      <w:tcPr>
        <w:tcBorders>
          <w:top w:val="single" w:color="70AD47" w:themeColor="accent6" w:sz="8" w:space="0"/>
          <w:bottom w:val="single" w:color="70AD47" w:themeColor="accent6" w:sz="8" w:space="0"/>
          <w:left w:val="single" w:color="70AD47" w:themeColor="accent6" w:sz="8" w:space="0"/>
          <w:right w:val="single" w:color="70AD47" w:themeColor="accent6" w:sz="8" w:space="0"/>
        </w:tcBorders>
      </w:tcPr>
    </w:tblStylePr>
    <w:tblStylePr w:type="band1Vert">
      <w:tblPr/>
      <w:trPr/>
      <w:tcPr>
        <w:tcBorders>
          <w:top w:val="single" w:color="70AD47" w:themeColor="accent6" w:sz="8" w:space="0"/>
          <w:bottom w:val="single" w:color="70AD47" w:themeColor="accent6" w:sz="8" w:space="0"/>
          <w:left w:val="single" w:color="70AD47" w:themeColor="accent6" w:sz="8" w:space="0"/>
          <w:right w:val="single" w:color="70AD47" w:themeColor="accent6" w:sz="8" w:space="0"/>
        </w:tcBorders>
      </w:tcPr>
    </w:tblStylePr>
    <w:tblStylePr w:type="lastCol">
      <w:rPr>
        <w:b w:val="1"/>
      </w:rPr>
      <w:tblPr/>
      <w:trPr/>
      <w:tcPr/>
    </w:tblStylePr>
    <w:tblStylePr w:type="firstCol">
      <w:rPr>
        <w:b w:val="1"/>
      </w:rPr>
      <w:tblPr/>
      <w:trPr/>
      <w:tcPr/>
    </w:tblStylePr>
    <w:tblStylePr w:type="lastRow">
      <w:pPr>
        <w:spacing w:before="0" w:beforeLines="0" w:beforeAutospacing="0" w:after="0" w:afterLines="0" w:afterAutospacing="0" w:line="240" w:lineRule="auto"/>
      </w:pPr>
      <w:rPr>
        <w:b w:val="1"/>
      </w:rPr>
      <w:tblPr/>
      <w:trPr/>
      <w:tcPr>
        <w:tcBorders>
          <w:top w:val="double" w:color="70AD47" w:themeColor="accent6" w:sz="6" w:space="0"/>
          <w:bottom w:val="single" w:color="70AD47" w:themeColor="accent6" w:sz="8" w:space="0"/>
          <w:left w:val="single" w:color="70AD47" w:themeColor="accent6" w:sz="8" w:space="0"/>
          <w:right w:val="single" w:color="70AD47" w:themeColor="accent6" w:sz="8" w:space="0"/>
        </w:tcBorders>
      </w:tcPr>
    </w:tblStylePr>
    <w:tblStylePr w:type="firstRow">
      <w:pPr>
        <w:spacing w:before="0" w:beforeLines="0" w:beforeAutospacing="0" w:after="0" w:afterLines="0" w:afterAutospacing="0" w:line="240" w:lineRule="auto"/>
      </w:pPr>
      <w:rPr>
        <w:b w:val="1"/>
        <w:color w:val="FFFFFF" w:themeColor="background1"/>
      </w:rPr>
      <w:tblPr/>
      <w:trPr/>
      <w:tcPr>
        <w:shd w:val="clear" w:color="auto" w:themeFill="accent6" w:themeFillTint="FF" w:themeFillShade="FF"/>
      </w:tcPr>
    </w:tblStylePr>
  </w:style>
  <w:style w:type="table" w:styleId="54" w:customStyle="1">
    <w:name w:val="Table Normal"/>
    <w:basedOn w:val="11"/>
    <w:next w:val="54"/>
    <w:link w:val="0"/>
    <w:uiPriority w:val="0"/>
    <w:pPr>
      <w:widowControl w:val="0"/>
      <w:autoSpaceDE w:val="0"/>
      <w:autoSpaceDN w:val="0"/>
    </w:pPr>
    <w:rPr>
      <w:rFonts w:eastAsia="Times New Roman" w:asciiTheme="minorHAnsi" w:hAnsiTheme="minorHAnsi"/>
      <w:kern w:val="0"/>
      <w:sz w:val="22"/>
    </w:rPr>
    <w:tblPr>
      <w:tblStyleRowBandSize w:val="1"/>
      <w:tblStyleColBandSize w:val="1"/>
      <w:tblCellMar>
        <w:top w:w="0" w:type="dxa"/>
        <w:bottom w:w="0" w:type="dxa"/>
        <w:left w:w="0" w:type="dxa"/>
        <w:right w:w="0" w:type="dxa"/>
      </w:tblCellMar>
    </w:tblPr>
    <w:trPr/>
    <w:tcPr/>
  </w:style>
  <w:style w:type="table" w:styleId="55">
    <w:name w:val="Table Grid"/>
    <w:basedOn w:val="11"/>
    <w:next w:val="55"/>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56" w:customStyle="1">
    <w:name w:val="Grid Table Light"/>
    <w:basedOn w:val="11"/>
    <w:next w:val="56"/>
    <w:link w:val="0"/>
    <w:uiPriority w:val="0"/>
    <w:tblPr>
      <w:tblStyleRowBandSize w:val="1"/>
      <w:tblStyleColBandSize w:val="1"/>
      <w:tblBorders>
        <w:top w:val="single" w:color="BDBDBD" w:themeColor="background1" w:themeShade="BF" w:sz="4" w:space="0"/>
        <w:left w:val="single" w:color="BDBDBD" w:themeColor="background1" w:themeShade="BF" w:sz="4" w:space="0"/>
        <w:bottom w:val="single" w:color="BDBDBD" w:themeColor="background1" w:themeShade="BF" w:sz="4" w:space="0"/>
        <w:right w:val="single" w:color="BDBDBD" w:themeColor="background1" w:themeShade="BF" w:sz="4" w:space="0"/>
        <w:insideH w:val="single" w:color="BDBDBD" w:themeColor="background1" w:themeShade="BF" w:sz="4" w:space="0"/>
        <w:insideV w:val="single" w:color="BDBDBD" w:themeColor="background1" w:themeShade="BF" w:sz="4" w:space="0"/>
      </w:tblBorders>
    </w:tblPr>
    <w:trPr/>
    <w:tcPr/>
  </w:style>
  <w:style w:type="table" w:styleId="57" w:customStyle="1">
    <w:name w:val="Table Normal1"/>
    <w:basedOn w:val="11"/>
    <w:next w:val="57"/>
    <w:link w:val="0"/>
    <w:uiPriority w:val="0"/>
    <w:pPr>
      <w:widowControl w:val="0"/>
      <w:autoSpaceDE w:val="0"/>
      <w:autoSpaceDN w:val="0"/>
    </w:pPr>
    <w:rPr>
      <w:rFonts w:eastAsia="Times New Roman"/>
      <w:kern w:val="0"/>
      <w:sz w:val="22"/>
    </w:rPr>
    <w:tblPr>
      <w:tblStyleRowBandSize w:val="1"/>
      <w:tblStyleColBandSize w:val="1"/>
      <w:tblCellMar>
        <w:top w:w="0" w:type="dxa"/>
        <w:bottom w:w="0" w:type="dxa"/>
        <w:left w:w="0" w:type="dxa"/>
        <w:right w:w="0" w:type="dxa"/>
      </w:tblCellMar>
    </w:tblPr>
    <w:trPr/>
    <w:tcPr/>
  </w:style>
  <w:style w:type="table" w:styleId="58" w:customStyle="1">
    <w:name w:val="Table Normal2"/>
    <w:basedOn w:val="11"/>
    <w:next w:val="58"/>
    <w:link w:val="0"/>
    <w:uiPriority w:val="0"/>
    <w:pPr>
      <w:widowControl w:val="0"/>
      <w:autoSpaceDE w:val="0"/>
      <w:autoSpaceDN w:val="0"/>
    </w:pPr>
    <w:rPr>
      <w:rFonts w:eastAsia="Times New Roman"/>
      <w:kern w:val="0"/>
      <w:sz w:val="22"/>
    </w:rPr>
    <w:tblPr>
      <w:tblStyleRowBandSize w:val="1"/>
      <w:tblStyleColBandSize w:val="1"/>
      <w:tblCellMar>
        <w:top w:w="0" w:type="dxa"/>
        <w:bottom w:w="0" w:type="dxa"/>
        <w:left w:w="0" w:type="dxa"/>
        <w:right w:w="0" w:type="dxa"/>
      </w:tblCellMar>
    </w:tblPr>
    <w:trPr/>
    <w:tcPr/>
  </w:style>
  <w:style w:type="table" w:styleId="59" w:customStyle="1">
    <w:name w:val="Table Normal3"/>
    <w:basedOn w:val="11"/>
    <w:next w:val="59"/>
    <w:link w:val="0"/>
    <w:uiPriority w:val="0"/>
    <w:pPr>
      <w:widowControl w:val="0"/>
      <w:autoSpaceDE w:val="0"/>
      <w:autoSpaceDN w:val="0"/>
    </w:pPr>
    <w:rPr>
      <w:rFonts w:eastAsia="Times New Roman"/>
      <w:kern w:val="0"/>
      <w:sz w:val="22"/>
    </w:rPr>
    <w:tblPr>
      <w:tblStyleRowBandSize w:val="1"/>
      <w:tblStyleColBandSize w:val="1"/>
      <w:tblCellMar>
        <w:top w:w="0" w:type="dxa"/>
        <w:bottom w:w="0" w:type="dxa"/>
        <w:left w:w="0" w:type="dxa"/>
        <w:right w:w="0" w:type="dxa"/>
      </w:tblCellMar>
    </w:tblPr>
    <w:trPr/>
    <w:tcPr/>
  </w:style>
  <w:style w:type="table" w:styleId="60" w:customStyle="1">
    <w:name w:val="表 (格子)1"/>
    <w:basedOn w:val="11"/>
    <w:next w:val="60"/>
    <w:link w:val="0"/>
    <w:uiPriority w:val="0"/>
    <w:rPr>
      <w:rFonts w:eastAsia="Times New Roman"/>
    </w:rPr>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1" w:customStyle="1">
    <w:name w:val="表 (格子)2"/>
    <w:basedOn w:val="11"/>
    <w:next w:val="61"/>
    <w:link w:val="0"/>
    <w:uiPriority w:val="0"/>
    <w:rPr>
      <w:rFonts w:eastAsia="Times New Roman"/>
    </w:rPr>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2" w:customStyle="1">
    <w:name w:val="表 (格子)3"/>
    <w:basedOn w:val="11"/>
    <w:next w:val="62"/>
    <w:link w:val="0"/>
    <w:uiPriority w:val="0"/>
    <w:rPr>
      <w:rFonts w:asciiTheme="minorHAnsi" w:hAnsiTheme="minorHAnsi"/>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3" w:customStyle="1">
    <w:name w:val="表 (格子)4"/>
    <w:basedOn w:val="11"/>
    <w:next w:val="63"/>
    <w:link w:val="0"/>
    <w:uiPriority w:val="0"/>
    <w:rPr>
      <w:rFonts w:asciiTheme="minorHAnsi" w:hAnsiTheme="minorHAnsi"/>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4" w:customStyle="1">
    <w:name w:val="表 (格子)5"/>
    <w:basedOn w:val="11"/>
    <w:next w:val="64"/>
    <w:link w:val="0"/>
    <w:uiPriority w:val="0"/>
    <w:rPr>
      <w:rFonts w:asciiTheme="minorHAnsi" w:hAnsiTheme="minorHAnsi"/>
    </w:rPr>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5" w:customStyle="1">
    <w:name w:val="表 (格子)6"/>
    <w:basedOn w:val="11"/>
    <w:next w:val="65"/>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66" w:customStyle="1">
    <w:name w:val="Table Normal4"/>
    <w:basedOn w:val="11"/>
    <w:next w:val="66"/>
    <w:link w:val="0"/>
    <w:uiPriority w:val="0"/>
    <w:pPr>
      <w:widowControl w:val="0"/>
      <w:autoSpaceDE w:val="0"/>
      <w:autoSpaceDN w:val="0"/>
    </w:pPr>
    <w:rPr>
      <w:rFonts w:eastAsia="Times New Roman" w:asciiTheme="minorHAnsi" w:hAnsiTheme="minorHAnsi"/>
      <w:kern w:val="0"/>
      <w:sz w:val="22"/>
    </w:rPr>
    <w:tblPr>
      <w:tblStyleRowBandSize w:val="1"/>
      <w:tblStyleColBandSize w:val="1"/>
      <w:tblCellMar>
        <w:top w:w="0" w:type="dxa"/>
        <w:bottom w:w="0" w:type="dxa"/>
        <w:left w:w="0" w:type="dxa"/>
        <w:right w:w="0" w:type="dxa"/>
      </w:tblCellMar>
    </w:tblPr>
    <w:trPr/>
    <w:tcPr/>
  </w:style>
  <w:style w:type="table" w:styleId="67" w:customStyle="1">
    <w:name w:val="Table Normal5"/>
    <w:basedOn w:val="11"/>
    <w:next w:val="67"/>
    <w:link w:val="0"/>
    <w:uiPriority w:val="0"/>
    <w:pPr>
      <w:widowControl w:val="0"/>
      <w:autoSpaceDE w:val="0"/>
      <w:autoSpaceDN w:val="0"/>
    </w:pPr>
    <w:rPr>
      <w:rFonts w:eastAsia="Times New Roman" w:asciiTheme="minorHAnsi" w:hAnsiTheme="minorHAnsi"/>
      <w:kern w:val="0"/>
      <w:sz w:val="22"/>
    </w:rPr>
    <w:tblPr>
      <w:tblStyleRowBandSize w:val="1"/>
      <w:tblStyleColBandSize w:val="1"/>
      <w:tblCellMar>
        <w:top w:w="0" w:type="dxa"/>
        <w:bottom w:w="0" w:type="dxa"/>
        <w:left w:w="0" w:type="dxa"/>
        <w:right w:w="0" w:type="dxa"/>
      </w:tblCellMar>
    </w:tblPr>
    <w:trPr/>
    <w:tcPr/>
  </w:style>
  <w:style w:type="table" w:styleId="68" w:customStyle="1">
    <w:name w:val="Table Normal6"/>
    <w:basedOn w:val="11"/>
    <w:next w:val="68"/>
    <w:link w:val="0"/>
    <w:uiPriority w:val="0"/>
    <w:pPr>
      <w:widowControl w:val="0"/>
      <w:autoSpaceDE w:val="0"/>
      <w:autoSpaceDN w:val="0"/>
    </w:pPr>
    <w:rPr>
      <w:rFonts w:eastAsia="Times New Roman" w:asciiTheme="minorHAnsi" w:hAnsiTheme="minorHAnsi"/>
      <w:kern w:val="0"/>
      <w:sz w:val="22"/>
    </w:rPr>
    <w:tblPr>
      <w:tblStyleRowBandSize w:val="1"/>
      <w:tblStyleColBandSize w:val="1"/>
      <w:tblCellMar>
        <w:top w:w="0" w:type="dxa"/>
        <w:bottom w:w="0" w:type="dxa"/>
        <w:left w:w="0" w:type="dxa"/>
        <w:right w:w="0" w:type="dxa"/>
      </w:tblCellMar>
    </w:tblPr>
    <w:trPr/>
    <w:tcPr/>
  </w:style>
  <w:style w:type="table" w:styleId="69" w:customStyle="1">
    <w:name w:val="Table Normal7"/>
    <w:basedOn w:val="11"/>
    <w:next w:val="69"/>
    <w:link w:val="0"/>
    <w:uiPriority w:val="0"/>
    <w:pPr>
      <w:widowControl w:val="0"/>
      <w:autoSpaceDE w:val="0"/>
      <w:autoSpaceDN w:val="0"/>
    </w:pPr>
    <w:rPr>
      <w:rFonts w:eastAsia="Times New Roman" w:asciiTheme="minorHAnsi" w:hAnsiTheme="minorHAnsi"/>
      <w:kern w:val="0"/>
      <w:sz w:val="22"/>
    </w:rPr>
    <w:tblPr>
      <w:tblStyleRowBandSize w:val="1"/>
      <w:tblStyleColBandSize w:val="1"/>
      <w:tblCellMar>
        <w:top w:w="0" w:type="dxa"/>
        <w:bottom w:w="0" w:type="dxa"/>
        <w:left w:w="0" w:type="dxa"/>
        <w:right w:w="0" w:type="dxa"/>
      </w:tblCellMar>
    </w:tblPr>
    <w:trPr/>
    <w:tcPr/>
  </w:style>
  <w:style w:type="table" w:styleId="70" w:customStyle="1">
    <w:name w:val="Table Normal8"/>
    <w:basedOn w:val="11"/>
    <w:next w:val="70"/>
    <w:link w:val="0"/>
    <w:uiPriority w:val="0"/>
    <w:pPr>
      <w:widowControl w:val="0"/>
      <w:autoSpaceDE w:val="0"/>
      <w:autoSpaceDN w:val="0"/>
    </w:pPr>
    <w:rPr>
      <w:rFonts w:eastAsia="Times New Roman" w:asciiTheme="minorHAnsi" w:hAnsiTheme="minorHAnsi"/>
      <w:kern w:val="0"/>
      <w:sz w:val="22"/>
    </w:rPr>
    <w:tblPr>
      <w:tblStyleRowBandSize w:val="1"/>
      <w:tblStyleColBandSize w:val="1"/>
      <w:tblCellMar>
        <w:top w:w="0" w:type="dxa"/>
        <w:bottom w:w="0" w:type="dxa"/>
        <w:left w:w="0" w:type="dxa"/>
        <w:right w:w="0" w:type="dxa"/>
      </w:tblCellMar>
    </w:tblPr>
    <w:trPr/>
    <w:tcPr/>
  </w:style>
  <w:style w:type="table" w:styleId="71" w:customStyle="1">
    <w:name w:val="表 (格子)7"/>
    <w:basedOn w:val="11"/>
    <w:next w:val="7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theme" Target="theme/theme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1.png" /><Relationship Id="rId9" Type="http://schemas.openxmlformats.org/officeDocument/2006/relationships/image" Target="media/image2.emf" /><Relationship Id="rId10" Type="http://schemas.openxmlformats.org/officeDocument/2006/relationships/image" Target="media/image3.emf"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emf" /><Relationship Id="rId16" Type="http://schemas.openxmlformats.org/officeDocument/2006/relationships/image" Target="media/image9.emf" /><Relationship Id="rId17" Type="http://schemas.openxmlformats.org/officeDocument/2006/relationships/image" Target="media/image10.png" /><Relationship Id="rId18"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3116</TotalTime>
  <Pages>41</Pages>
  <Words>521</Words>
  <Characters>22818</Characters>
  <Application>JUST Note</Application>
  <Lines>135001</Lines>
  <Paragraphs>1140</Paragraphs>
  <CharactersWithSpaces>23105</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堀　修</dc:creator>
  <cp:lastModifiedBy>宮川 徹</cp:lastModifiedBy>
  <cp:lastPrinted>2024-08-19T00:09:03Z</cp:lastPrinted>
  <dcterms:created xsi:type="dcterms:W3CDTF">2021-02-26T08:35:00Z</dcterms:created>
  <dcterms:modified xsi:type="dcterms:W3CDTF">2024-10-09T06:51:08Z</dcterms:modified>
  <cp:revision>196</cp:revision>
</cp:coreProperties>
</file>