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right"/>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r>
        <w:rPr>
          <w:rFonts w:hint="default" w:ascii="ＭＳ ゴシック" w:hAnsi="ＭＳ ゴシック" w:eastAsia="ＭＳ ゴシック"/>
          <w:sz w:val="24"/>
        </w:rPr>
        <mc:AlternateContent>
          <mc:Choice Requires="wpg">
            <w:drawing>
              <wp:anchor distT="0" distB="0" distL="114300" distR="114300" simplePos="0" relativeHeight="4" behindDoc="0" locked="0" layoutInCell="1" hidden="0" allowOverlap="1">
                <wp:simplePos x="0" y="0"/>
                <wp:positionH relativeFrom="margin">
                  <wp:align>center</wp:align>
                </wp:positionH>
                <wp:positionV relativeFrom="paragraph">
                  <wp:posOffset>158115</wp:posOffset>
                </wp:positionV>
                <wp:extent cx="5554980" cy="1767205"/>
                <wp:effectExtent l="0" t="0" r="635" b="635"/>
                <wp:wrapNone/>
                <wp:docPr id="1026" name="グループ化 24"/>
                <a:graphic xmlns:a="http://schemas.openxmlformats.org/drawingml/2006/main">
                  <a:graphicData uri="http://schemas.microsoft.com/office/word/2010/wordprocessingGroup">
                    <wpg:wgp>
                      <wpg:cNvGrpSpPr/>
                      <wpg:grpSpPr>
                        <a:xfrm>
                          <a:off x="0" y="0"/>
                          <a:ext cx="5554980" cy="1767205"/>
                          <a:chOff x="0" y="120770"/>
                          <a:chExt cx="5555160" cy="1767240"/>
                        </a:xfrm>
                      </wpg:grpSpPr>
                      <wps:wsp>
                        <wps:cNvPr id="1027" name="テキスト ボックス 88"/>
                        <wps:cNvSpPr txBox="1"/>
                        <wps:spPr>
                          <a:xfrm>
                            <a:off x="0" y="120770"/>
                            <a:ext cx="5555160" cy="176724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360" w:lineRule="auto"/>
                                <w:jc w:val="center"/>
                                <w:rPr>
                                  <w:rFonts w:hint="default" w:ascii="ＭＳ ゴシック" w:hAnsi="ＭＳ ゴシック" w:eastAsia="ＭＳ ゴシック"/>
                                  <w:color w:val="000000" w:themeColor="text1"/>
                                  <w:sz w:val="48"/>
                                </w:rPr>
                              </w:pPr>
                              <w:r>
                                <w:rPr>
                                  <w:rFonts w:hint="eastAsia" w:ascii="ＭＳ ゴシック" w:hAnsi="ＭＳ ゴシック" w:eastAsia="ＭＳ ゴシック"/>
                                  <w:color w:val="000000" w:themeColor="text1"/>
                                  <w:sz w:val="48"/>
                                </w:rPr>
                                <w:t>第６次南風原町障がい者計画・</w:t>
                              </w:r>
                            </w:p>
                            <w:p>
                              <w:pPr>
                                <w:pStyle w:val="0"/>
                                <w:spacing w:line="360" w:lineRule="auto"/>
                                <w:jc w:val="center"/>
                                <w:rPr>
                                  <w:rFonts w:hint="default" w:ascii="ＭＳ ゴシック" w:hAnsi="ＭＳ ゴシック" w:eastAsia="ＭＳ ゴシック"/>
                                  <w:color w:val="000000" w:themeColor="text1"/>
                                  <w:sz w:val="48"/>
                                </w:rPr>
                              </w:pPr>
                              <w:r>
                                <w:rPr>
                                  <w:rFonts w:hint="eastAsia" w:ascii="ＭＳ ゴシック" w:hAnsi="ＭＳ ゴシック" w:eastAsia="ＭＳ ゴシック"/>
                                  <w:color w:val="000000" w:themeColor="text1"/>
                                  <w:sz w:val="48"/>
                                </w:rPr>
                                <w:t>南風原町</w:t>
                              </w:r>
                              <w:r>
                                <w:rPr>
                                  <w:rFonts w:hint="default" w:ascii="ＭＳ ゴシック" w:hAnsi="ＭＳ ゴシック" w:eastAsia="ＭＳ ゴシック"/>
                                  <w:color w:val="000000" w:themeColor="text1"/>
                                  <w:sz w:val="48"/>
                                </w:rPr>
                                <w:t>第</w:t>
                              </w:r>
                              <w:r>
                                <w:rPr>
                                  <w:rFonts w:hint="eastAsia" w:ascii="ＭＳ ゴシック" w:hAnsi="ＭＳ ゴシック" w:eastAsia="ＭＳ ゴシック"/>
                                  <w:color w:val="000000" w:themeColor="text1"/>
                                  <w:sz w:val="48"/>
                                </w:rPr>
                                <w:t>７期障がい福祉計画・</w:t>
                              </w:r>
                            </w:p>
                            <w:p>
                              <w:pPr>
                                <w:pStyle w:val="0"/>
                                <w:spacing w:line="360" w:lineRule="auto"/>
                                <w:jc w:val="center"/>
                                <w:rPr>
                                  <w:rFonts w:hint="default" w:ascii="ＭＳ ゴシック" w:hAnsi="ＭＳ ゴシック" w:eastAsia="ＭＳ ゴシック"/>
                                </w:rPr>
                              </w:pPr>
                              <w:r>
                                <w:rPr>
                                  <w:rFonts w:hint="eastAsia" w:ascii="ＭＳ ゴシック" w:hAnsi="ＭＳ ゴシック" w:eastAsia="ＭＳ ゴシック"/>
                                  <w:color w:val="000000" w:themeColor="text1"/>
                                  <w:sz w:val="48"/>
                                </w:rPr>
                                <w:t>南風原町第３期障がい児福祉計画</w:t>
                              </w:r>
                            </w:p>
                          </w:txbxContent>
                        </wps:txbx>
                        <wps:bodyPr rot="0" vertOverflow="overflow" horzOverflow="overflow" wrap="square" lIns="36000" rIns="36000" numCol="1" spcCol="0" rtlCol="0" fromWordArt="0" anchor="ctr" anchorCtr="0" forceAA="0" compatLnSpc="1"/>
                      </wps:wsp>
                      <wps:wsp>
                        <wps:cNvPr id="1028" name="フローチャート: 照合 11"/>
                        <wps:cNvSpPr/>
                        <wps:spPr>
                          <a:xfrm>
                            <a:off x="60383" y="138023"/>
                            <a:ext cx="189783" cy="1708030"/>
                          </a:xfrm>
                          <a:prstGeom prst="flowChartCol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29" name="フローチャート: 照合 13"/>
                        <wps:cNvSpPr/>
                        <wps:spPr>
                          <a:xfrm>
                            <a:off x="5236063" y="138023"/>
                            <a:ext cx="190561" cy="1708185"/>
                          </a:xfrm>
                          <a:prstGeom prst="flowChartCol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24" style="mso-wrap-distance-right:9pt;mso-wrap-distance-bottom:0pt;margin-top:12.45pt;mso-position-vertical-relative:text;mso-position-horizontal:center;mso-position-horizontal-relative:margin;position:absolute;height:139.15pt;mso-wrap-distance-top:0pt;width:437.4pt;mso-wrap-distance-left:9pt;z-index:4;" coordsize="5555160,1767240" coordorigin="0,120770" o:spid="_x0000_s1026" o:allowincell="t" o:allowoverlap="t">
                <v:shapetype id="_x0000_t202" coordsize="21600,21600" o:spt="202" path="m,l,21600r21600,l21600,xe">
                  <v:stroke joinstyle="miter"/>
                  <v:path gradientshapeok="t" o:connecttype="rect"/>
                </v:shapetype>
                <v:shape id="テキスト ボックス 88" style="height:1767240;width:5555160;top:120770;left:0;v-text-anchor:middle;position:absolute;" o:spid="_x0000_s1027" filled="f" stroked="f" strokeweight="1.5pt" o:spt="202" type="#_x0000_t202">
                  <v:fill/>
                  <v:textbox style="layout-flow:horizontal;" inset="0.99999999999999978mm,,0.99999999999999978mm,">
                    <w:txbxContent>
                      <w:p>
                        <w:pPr>
                          <w:pStyle w:val="0"/>
                          <w:spacing w:line="360" w:lineRule="auto"/>
                          <w:jc w:val="center"/>
                          <w:rPr>
                            <w:rFonts w:hint="default" w:ascii="ＭＳ ゴシック" w:hAnsi="ＭＳ ゴシック" w:eastAsia="ＭＳ ゴシック"/>
                            <w:color w:val="000000" w:themeColor="text1"/>
                            <w:sz w:val="48"/>
                          </w:rPr>
                        </w:pPr>
                        <w:r>
                          <w:rPr>
                            <w:rFonts w:hint="eastAsia" w:ascii="ＭＳ ゴシック" w:hAnsi="ＭＳ ゴシック" w:eastAsia="ＭＳ ゴシック"/>
                            <w:color w:val="000000" w:themeColor="text1"/>
                            <w:sz w:val="48"/>
                          </w:rPr>
                          <w:t>第６次南風原町障がい者計画・</w:t>
                        </w:r>
                      </w:p>
                      <w:p>
                        <w:pPr>
                          <w:pStyle w:val="0"/>
                          <w:spacing w:line="360" w:lineRule="auto"/>
                          <w:jc w:val="center"/>
                          <w:rPr>
                            <w:rFonts w:hint="default" w:ascii="ＭＳ ゴシック" w:hAnsi="ＭＳ ゴシック" w:eastAsia="ＭＳ ゴシック"/>
                            <w:color w:val="000000" w:themeColor="text1"/>
                            <w:sz w:val="48"/>
                          </w:rPr>
                        </w:pPr>
                        <w:r>
                          <w:rPr>
                            <w:rFonts w:hint="eastAsia" w:ascii="ＭＳ ゴシック" w:hAnsi="ＭＳ ゴシック" w:eastAsia="ＭＳ ゴシック"/>
                            <w:color w:val="000000" w:themeColor="text1"/>
                            <w:sz w:val="48"/>
                          </w:rPr>
                          <w:t>南風原町</w:t>
                        </w:r>
                        <w:r>
                          <w:rPr>
                            <w:rFonts w:hint="default" w:ascii="ＭＳ ゴシック" w:hAnsi="ＭＳ ゴシック" w:eastAsia="ＭＳ ゴシック"/>
                            <w:color w:val="000000" w:themeColor="text1"/>
                            <w:sz w:val="48"/>
                          </w:rPr>
                          <w:t>第</w:t>
                        </w:r>
                        <w:r>
                          <w:rPr>
                            <w:rFonts w:hint="eastAsia" w:ascii="ＭＳ ゴシック" w:hAnsi="ＭＳ ゴシック" w:eastAsia="ＭＳ ゴシック"/>
                            <w:color w:val="000000" w:themeColor="text1"/>
                            <w:sz w:val="48"/>
                          </w:rPr>
                          <w:t>７期障がい福祉計画・</w:t>
                        </w:r>
                      </w:p>
                      <w:p>
                        <w:pPr>
                          <w:pStyle w:val="0"/>
                          <w:spacing w:line="360" w:lineRule="auto"/>
                          <w:jc w:val="center"/>
                          <w:rPr>
                            <w:rFonts w:hint="default" w:ascii="ＭＳ ゴシック" w:hAnsi="ＭＳ ゴシック" w:eastAsia="ＭＳ ゴシック"/>
                          </w:rPr>
                        </w:pPr>
                        <w:r>
                          <w:rPr>
                            <w:rFonts w:hint="eastAsia" w:ascii="ＭＳ ゴシック" w:hAnsi="ＭＳ ゴシック" w:eastAsia="ＭＳ ゴシック"/>
                            <w:color w:val="000000" w:themeColor="text1"/>
                            <w:sz w:val="48"/>
                          </w:rPr>
                          <w:t>南風原町第３期障がい児福祉計画</w:t>
                        </w:r>
                      </w:p>
                    </w:txbxContent>
                  </v:textbox>
                  <v:imagedata o:title=""/>
                  <w10:wrap type="none" anchorx="margin" anchory="text"/>
                </v:shape>
                <v:shapetype id="_x0000_t125" coordsize="21600,21600" o:spt="125" path="m21600,21600l,21600,21600,,,xe">
                  <v:stroke joinstyle="miter"/>
                  <v:path o:extrusionok="f" gradientshapeok="t" o:connecttype="custom" o:connectlocs="10800,0;10800,10800;10800,21600" textboxrect="5400,5400,16200,16200"/>
                </v:shapetype>
                <v:shape id="フローチャート: 照合 11" style="height:1708030;width:189783;top:138023;left:60383;position:absolute;" o:spid="_x0000_s1028" filled="t" fillcolor="#000000 [3213]" stroked="f" strokecolor="#42709c" strokeweight="1pt" o:spt="125" type="#_x0000_t125">
                  <v:fill/>
                  <v:stroke linestyle="single" miterlimit="8" endcap="flat" dashstyle="solid"/>
                  <v:textbox style="layout-flow:horizontal;"/>
                  <v:imagedata o:title=""/>
                  <w10:wrap type="none" anchorx="margin" anchory="text"/>
                </v:shape>
                <v:shape id="フローチャート: 照合 13" style="height:1708185;width:190561;top:138023;left:5236063;position:absolute;" o:spid="_x0000_s1029" filled="t" fillcolor="#000000 [3213]" stroked="f" strokecolor="#42709c" strokeweight="1pt" o:spt="125" type="#_x0000_t125">
                  <v:fill/>
                  <v:stroke linestyle="single" miterlimit="8" endcap="flat" dashstyle="solid"/>
                  <v:textbox style="layout-flow:horizontal;"/>
                  <v:imagedata o:title=""/>
                  <w10:wrap type="none" anchorx="margin" anchory="text"/>
                </v:shape>
                <w10:wrap type="none" anchorx="margin" anchory="text"/>
              </v:group>
            </w:pict>
          </mc:Fallback>
        </mc:AlternateContent>
      </w: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spacing w:line="360" w:lineRule="auto"/>
        <w:jc w:val="center"/>
        <w:rPr>
          <w:rFonts w:hint="default" w:ascii="AR P明朝体U" w:hAnsi="AR P明朝体U" w:eastAsia="AR P明朝体U"/>
        </w:rPr>
      </w:pPr>
    </w:p>
    <w:p>
      <w:pPr>
        <w:pStyle w:val="0"/>
        <w:jc w:val="center"/>
        <w:rPr>
          <w:rFonts w:hint="default" w:ascii="ＭＳ ゴシック" w:hAnsi="ＭＳ ゴシック" w:eastAsia="ＭＳ ゴシック"/>
          <w:sz w:val="24"/>
        </w:rPr>
      </w:pPr>
    </w:p>
    <w:p>
      <w:pPr>
        <w:pStyle w:val="0"/>
        <w:spacing w:before="350" w:beforeLines="100" w:beforeAutospacing="0"/>
        <w:jc w:val="center"/>
        <w:rPr>
          <w:rFonts w:hint="default" w:ascii="ＭＳ ゴシック" w:hAnsi="ＭＳ ゴシック" w:eastAsia="ＭＳ ゴシック"/>
          <w:sz w:val="32"/>
        </w:rPr>
      </w:pPr>
      <w:r>
        <w:rPr>
          <w:rFonts w:hint="eastAsia" w:ascii="ＭＳ ゴシック" w:hAnsi="ＭＳ ゴシック" w:eastAsia="ＭＳ ゴシック"/>
          <w:sz w:val="32"/>
          <w:bdr w:val="single" w:color="auto" w:sz="4" w:space="0"/>
        </w:rPr>
        <w:t>　令和６年度～令和８年度　</w:t>
      </w:r>
    </w:p>
    <w:p>
      <w:pPr>
        <w:pStyle w:val="0"/>
        <w:rPr>
          <w:rFonts w:hint="default" w:ascii="ＭＳ ゴシック" w:hAnsi="ＭＳ ゴシック" w:eastAsia="ＭＳ ゴシック"/>
          <w:sz w:val="24"/>
        </w:rPr>
      </w:pPr>
      <w:bookmarkStart w:id="0" w:name="_GoBack"/>
      <w:bookmarkEnd w:id="0"/>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spacing w:line="0" w:lineRule="atLeast"/>
        <w:jc w:val="center"/>
        <w:rPr>
          <w:rFonts w:hint="default" w:ascii="ＭＳ ゴシック" w:hAnsi="ＭＳ ゴシック" w:eastAsia="ＭＳ ゴシック"/>
          <w:sz w:val="28"/>
        </w:rPr>
      </w:pPr>
      <w:r>
        <w:rPr>
          <w:rFonts w:hint="eastAsia" w:ascii="ＭＳ ゴシック" w:hAnsi="ＭＳ ゴシック" w:eastAsia="ＭＳ ゴシック"/>
          <w:kern w:val="0"/>
          <w:sz w:val="32"/>
        </w:rPr>
        <w:t>令和６年３月</w:t>
      </w:r>
    </w:p>
    <w:p>
      <w:pPr>
        <w:pStyle w:val="0"/>
        <w:spacing w:line="0" w:lineRule="atLeast"/>
        <w:jc w:val="center"/>
        <w:rPr>
          <w:rFonts w:hint="default" w:ascii="ＭＳ ゴシック" w:hAnsi="ＭＳ ゴシック" w:eastAsia="ＭＳ ゴシック"/>
          <w:sz w:val="32"/>
        </w:rPr>
      </w:pPr>
      <w:r>
        <w:rPr>
          <w:rFonts w:hint="eastAsia" w:ascii="ＭＳ ゴシック" w:hAnsi="ＭＳ ゴシック" w:eastAsia="ＭＳ ゴシック"/>
          <w:spacing w:val="164"/>
          <w:kern w:val="0"/>
          <w:sz w:val="32"/>
          <w:fitText w:val="2268" w:id="1"/>
        </w:rPr>
        <w:t>南風原</w:t>
      </w:r>
      <w:r>
        <w:rPr>
          <w:rFonts w:hint="eastAsia" w:ascii="ＭＳ ゴシック" w:hAnsi="ＭＳ ゴシック" w:eastAsia="ＭＳ ゴシック"/>
          <w:spacing w:val="2"/>
          <w:kern w:val="0"/>
          <w:sz w:val="32"/>
          <w:fitText w:val="2268" w:id="1"/>
        </w:rPr>
        <w:t>町</w:t>
      </w:r>
    </w:p>
    <w:p>
      <w:pPr>
        <w:pStyle w:val="0"/>
        <w:widowControl w:val="1"/>
        <w:jc w:val="left"/>
        <w:rPr>
          <w:rFonts w:hint="default" w:ascii="ＭＳ ゴシック" w:hAnsi="ＭＳ ゴシック" w:eastAsia="ＭＳ ゴシック"/>
          <w:sz w:val="24"/>
        </w:rPr>
      </w:pPr>
      <w:r>
        <w:rPr>
          <w:rFonts w:hint="default" w:ascii="ＭＳ ゴシック" w:hAnsi="ＭＳ ゴシック" w:eastAsia="ＭＳ ゴシック"/>
          <w:sz w:val="24"/>
        </w:rPr>
        <w:br w:type="page"/>
      </w:r>
    </w:p>
    <w:p>
      <w:pPr>
        <w:pStyle w:val="0"/>
        <w:widowControl w:val="1"/>
        <w:jc w:val="left"/>
        <w:rPr>
          <w:rFonts w:hint="default" w:ascii="ＭＳ ゴシック" w:hAnsi="ＭＳ ゴシック" w:eastAsia="ＭＳ ゴシック"/>
          <w:sz w:val="24"/>
        </w:rPr>
      </w:pPr>
      <w:r>
        <w:rPr>
          <w:rFonts w:hint="default" w:ascii="ＭＳ ゴシック" w:hAnsi="ＭＳ ゴシック" w:eastAsia="ＭＳ ゴシック"/>
          <w:sz w:val="24"/>
        </w:rPr>
        <w:br w:type="page"/>
      </w:r>
    </w:p>
    <w:p>
      <w:pPr>
        <w:pStyle w:val="0"/>
        <w:spacing w:line="420" w:lineRule="exact"/>
        <w:ind w:left="224" w:leftChars="100" w:firstLine="244" w:firstLineChars="100"/>
        <w:rPr>
          <w:rFonts w:hint="default"/>
          <w:sz w:val="24"/>
        </w:rPr>
      </w:pPr>
      <w:r>
        <w:rPr>
          <w:rFonts w:hint="default" w:ascii="BIZ UD明朝 Medium" w:hAnsi="BIZ UD明朝 Medium"/>
          <w:color w:val="000000" w:themeColor="text1"/>
          <w:sz w:val="24"/>
        </w:rPr>
        <w:drawing>
          <wp:anchor distT="0" distB="0" distL="114300" distR="114300" simplePos="0" relativeHeight="236" behindDoc="0" locked="0" layoutInCell="1" hidden="0" allowOverlap="1">
            <wp:simplePos x="0" y="0"/>
            <wp:positionH relativeFrom="column">
              <wp:posOffset>342900</wp:posOffset>
            </wp:positionH>
            <wp:positionV relativeFrom="paragraph">
              <wp:posOffset>27940</wp:posOffset>
            </wp:positionV>
            <wp:extent cx="1520825" cy="1893570"/>
            <wp:effectExtent l="0" t="0" r="0" b="0"/>
            <wp:wrapNone/>
            <wp:docPr id="1030" name="図 2" descr="あいさつ文の写真枠"/>
            <a:graphic xmlns:a="http://schemas.openxmlformats.org/drawingml/2006/main">
              <a:graphicData uri="http://schemas.openxmlformats.org/drawingml/2006/picture">
                <pic:pic xmlns:pic="http://schemas.openxmlformats.org/drawingml/2006/picture">
                  <pic:nvPicPr>
                    <pic:cNvPr id="1030" name="図 2" descr="あいさつ文の写真枠"/>
                    <pic:cNvPicPr>
                      <a:picLocks noChangeAspect="1"/>
                    </pic:cNvPicPr>
                  </pic:nvPicPr>
                  <pic:blipFill>
                    <a:blip r:embed="rId6"/>
                    <a:srcRect l="6375" t="7375" r="8765" b="6549"/>
                    <a:stretch>
                      <a:fillRect/>
                    </a:stretch>
                  </pic:blipFill>
                  <pic:spPr>
                    <a:xfrm>
                      <a:off x="0" y="0"/>
                      <a:ext cx="1520825" cy="1893570"/>
                    </a:xfrm>
                    <a:prstGeom prst="rect">
                      <a:avLst/>
                    </a:prstGeom>
                    <a:noFill/>
                  </pic:spPr>
                </pic:pic>
              </a:graphicData>
            </a:graphic>
          </wp:anchor>
        </w:drawing>
      </w:r>
      <w:r>
        <w:rPr>
          <w:rFonts w:hint="default"/>
          <w:sz w:val="24"/>
        </w:rPr>
        <w:drawing>
          <wp:anchor distT="0" distB="0" distL="114300" distR="114300" simplePos="0" relativeHeight="2" behindDoc="0" locked="0" layoutInCell="1" hidden="0" allowOverlap="1">
            <wp:simplePos x="0" y="0"/>
            <wp:positionH relativeFrom="column">
              <wp:posOffset>410210</wp:posOffset>
            </wp:positionH>
            <wp:positionV relativeFrom="paragraph">
              <wp:posOffset>106680</wp:posOffset>
            </wp:positionV>
            <wp:extent cx="1411605" cy="1725930"/>
            <wp:effectExtent l="0" t="0" r="0" b="0"/>
            <wp:wrapNone/>
            <wp:docPr id="1031" name="Picture 2"/>
            <a:graphic xmlns:a="http://schemas.openxmlformats.org/drawingml/2006/main">
              <a:graphicData uri="http://schemas.openxmlformats.org/drawingml/2006/picture">
                <pic:pic xmlns:pic="http://schemas.openxmlformats.org/drawingml/2006/picture">
                  <pic:nvPicPr>
                    <pic:cNvPr id="1031" name="Picture 2"/>
                    <pic:cNvPicPr>
                      <a:picLocks noChangeAspect="1" noChangeArrowheads="1"/>
                    </pic:cNvPicPr>
                  </pic:nvPicPr>
                  <pic:blipFill>
                    <a:blip r:embed="rId7"/>
                    <a:srcRect l="5264" r="7939" b="24205"/>
                    <a:stretch>
                      <a:fillRect/>
                    </a:stretch>
                  </pic:blipFill>
                  <pic:spPr>
                    <a:xfrm>
                      <a:off x="0" y="0"/>
                      <a:ext cx="1411605" cy="1725930"/>
                    </a:xfrm>
                    <a:prstGeom prst="rect">
                      <a:avLst/>
                    </a:prstGeom>
                    <a:noFill/>
                    <a:ln>
                      <a:noFill/>
                    </a:ln>
                  </pic:spPr>
                </pic:pic>
              </a:graphicData>
            </a:graphic>
          </wp:anchor>
        </w:drawing>
      </w:r>
    </w:p>
    <w:p>
      <w:pPr>
        <w:pStyle w:val="0"/>
        <w:spacing w:line="420" w:lineRule="exact"/>
        <w:ind w:left="224" w:leftChars="100" w:firstLine="244" w:firstLineChars="100"/>
        <w:rPr>
          <w:rFonts w:hint="default"/>
          <w:sz w:val="24"/>
        </w:rPr>
      </w:pPr>
    </w:p>
    <w:p>
      <w:pPr>
        <w:pStyle w:val="0"/>
        <w:spacing w:line="420" w:lineRule="exact"/>
        <w:ind w:left="224" w:leftChars="100" w:firstLine="244" w:firstLineChars="100"/>
        <w:rPr>
          <w:rFonts w:hint="default"/>
          <w:sz w:val="24"/>
        </w:rPr>
      </w:pPr>
    </w:p>
    <w:p>
      <w:pPr>
        <w:pStyle w:val="0"/>
        <w:jc w:val="center"/>
        <w:rPr>
          <w:rFonts w:hint="default" w:ascii="FG平成明朝体W7" w:hAnsi="FG平成明朝体W7" w:eastAsia="FG平成明朝体W7"/>
          <w:sz w:val="36"/>
        </w:rPr>
      </w:pPr>
      <w:r>
        <w:rPr>
          <w:rFonts w:hint="eastAsia" w:ascii="FG平成明朝体W7" w:hAnsi="FG平成明朝体W7" w:eastAsia="FG平成明朝体W7"/>
          <w:sz w:val="32"/>
        </w:rPr>
        <w:t>ごあいさつ</w:t>
      </w:r>
    </w:p>
    <w:p>
      <w:pPr>
        <w:pStyle w:val="0"/>
        <w:spacing w:line="420" w:lineRule="exact"/>
        <w:ind w:left="224" w:leftChars="100" w:firstLine="244" w:firstLineChars="100"/>
        <w:rPr>
          <w:rFonts w:hint="default"/>
          <w:sz w:val="24"/>
        </w:rPr>
      </w:pPr>
    </w:p>
    <w:p>
      <w:pPr>
        <w:pStyle w:val="0"/>
        <w:spacing w:line="420" w:lineRule="exact"/>
        <w:ind w:left="224" w:leftChars="100" w:firstLine="244" w:firstLineChars="100"/>
        <w:rPr>
          <w:rFonts w:hint="default"/>
          <w:sz w:val="24"/>
        </w:rPr>
      </w:pPr>
    </w:p>
    <w:p>
      <w:pPr>
        <w:pStyle w:val="0"/>
        <w:spacing w:line="420" w:lineRule="exact"/>
        <w:ind w:left="224" w:leftChars="100" w:firstLine="244" w:firstLineChars="100"/>
        <w:rPr>
          <w:rFonts w:hint="default"/>
          <w:sz w:val="24"/>
        </w:rPr>
      </w:pPr>
    </w:p>
    <w:p>
      <w:pPr>
        <w:pStyle w:val="0"/>
        <w:spacing w:after="175" w:afterLines="50" w:afterAutospacing="0"/>
        <w:ind w:left="448" w:leftChars="200" w:right="448" w:rightChars="200" w:firstLine="244" w:firstLineChars="100"/>
        <w:textAlignment w:val="center"/>
        <w:rPr>
          <w:rFonts w:hint="default"/>
          <w:sz w:val="24"/>
        </w:rPr>
      </w:pPr>
      <w:r>
        <w:rPr>
          <w:rFonts w:hint="eastAsia"/>
          <w:sz w:val="24"/>
        </w:rPr>
        <w:t>近年、少子高齢化による家族形態の変化に伴う福祉ニーズの多様化や、地域のコミュニティ力の低下等がみられます。また、大規模災害や感染症等の影響により、我が国における社会経済状況はめまぐるしく変化しており、障がいのある方やその家族が抱える課題も多様で複雑なものになってきております。</w:t>
      </w:r>
    </w:p>
    <w:p>
      <w:pPr>
        <w:pStyle w:val="0"/>
        <w:spacing w:after="175" w:afterLines="50" w:afterAutospacing="0"/>
        <w:ind w:left="448" w:leftChars="200" w:right="448" w:rightChars="200" w:firstLine="244" w:firstLineChars="100"/>
        <w:textAlignment w:val="center"/>
        <w:rPr>
          <w:rFonts w:hint="default"/>
          <w:sz w:val="24"/>
        </w:rPr>
      </w:pPr>
      <w:r>
        <w:rPr>
          <w:rFonts w:hint="eastAsia"/>
          <w:sz w:val="24"/>
        </w:rPr>
        <w:t>国においては、障がいのある方に関わる様々な制度の改革に向けた検討が進められ、多くの関係法令が可決･成立し、環境整備が行われました。</w:t>
      </w:r>
    </w:p>
    <w:p>
      <w:pPr>
        <w:pStyle w:val="0"/>
        <w:spacing w:after="175" w:afterLines="50" w:afterAutospacing="0"/>
        <w:ind w:left="448" w:leftChars="200" w:right="448" w:rightChars="200" w:firstLine="244" w:firstLineChars="100"/>
        <w:textAlignment w:val="center"/>
        <w:rPr>
          <w:rFonts w:hint="default"/>
          <w:sz w:val="24"/>
        </w:rPr>
      </w:pPr>
      <w:r>
        <w:rPr>
          <w:rFonts w:hint="eastAsia"/>
          <w:sz w:val="24"/>
        </w:rPr>
        <w:t>このような状況の中、さまざまな地域課題に対応するため、国の基本指針や県の動向、本町における福祉施策の実施状況等を踏まえ、令和６年度から令和８年度までの障がい者施策の基本的な方策（障がい者計画）とサービス提供の目標等（障がい福祉計画・障がい児福祉計画）を示した「第６次南風原町障がい者計画・南風原町第７期障がい福祉計画・南風原町第３期障がい児福祉計画」を前計画からの基本理念を継承し策定いたしました。</w:t>
      </w:r>
    </w:p>
    <w:p>
      <w:pPr>
        <w:pStyle w:val="0"/>
        <w:spacing w:after="175" w:afterLines="50" w:afterAutospacing="0"/>
        <w:ind w:left="448" w:leftChars="200" w:right="448" w:rightChars="200" w:firstLine="244" w:firstLineChars="100"/>
        <w:textAlignment w:val="center"/>
        <w:rPr>
          <w:rFonts w:hint="default"/>
          <w:sz w:val="24"/>
        </w:rPr>
      </w:pPr>
      <w:r>
        <w:rPr>
          <w:rFonts w:hint="eastAsia"/>
          <w:sz w:val="24"/>
        </w:rPr>
        <w:t>障がいの有無によって分け隔てられることなく、すべての人が相互に人格と個性を尊重し、共に支え合いながら、地域社会の中でその人らしく暮らしていくことができる地域共生社会の実現を目指して、関係機関や関係団体等との連携を図りながら施策を着実に展開してまいります。町民の皆様をはじめ、関係者の方々におかれましてもご理解とご協力をお願いいたします。</w:t>
      </w:r>
    </w:p>
    <w:p>
      <w:pPr>
        <w:pStyle w:val="0"/>
        <w:spacing w:after="175" w:afterLines="50" w:afterAutospacing="0"/>
        <w:ind w:left="448" w:leftChars="200" w:right="448" w:rightChars="200" w:firstLine="244" w:firstLineChars="100"/>
        <w:textAlignment w:val="center"/>
        <w:rPr>
          <w:rFonts w:hint="default"/>
          <w:sz w:val="24"/>
        </w:rPr>
      </w:pPr>
      <w:r>
        <w:rPr>
          <w:rFonts w:hint="eastAsia"/>
          <w:sz w:val="24"/>
        </w:rPr>
        <w:t>結びに、本計画の策定にあたりまして、慎重なご審議を賜りました各種委員会委員、関係機関等の皆様、アンケート調査やパブリックコメントなどを通じて貴重なご意見等を賜りました町民の皆様に心より感謝を申し上げます。</w:t>
      </w:r>
    </w:p>
    <w:p>
      <w:pPr>
        <w:pStyle w:val="0"/>
        <w:rPr>
          <w:rFonts w:hint="default"/>
          <w:spacing w:val="2"/>
          <w:sz w:val="24"/>
        </w:rPr>
      </w:pPr>
    </w:p>
    <w:p>
      <w:pPr>
        <w:pStyle w:val="0"/>
        <w:ind w:left="448" w:leftChars="200"/>
        <w:rPr>
          <w:rFonts w:hint="default"/>
          <w:sz w:val="24"/>
        </w:rPr>
      </w:pPr>
      <w:r>
        <w:rPr>
          <w:rFonts w:hint="eastAsia"/>
          <w:sz w:val="24"/>
        </w:rPr>
        <w:t>令和６年３月</w:t>
      </w:r>
    </w:p>
    <w:p>
      <w:pPr>
        <w:pStyle w:val="0"/>
        <w:rPr>
          <w:rFonts w:hint="default"/>
          <w:color w:val="000000" w:themeColor="text1"/>
          <w:sz w:val="24"/>
        </w:rPr>
      </w:pPr>
    </w:p>
    <w:p>
      <w:pPr>
        <w:pStyle w:val="0"/>
        <w:ind w:right="448" w:rightChars="200"/>
        <w:jc w:val="right"/>
        <w:rPr>
          <w:rFonts w:hint="default" w:ascii="HGS祥南行書体" w:hAnsi="HGS祥南行書体" w:eastAsia="FG行書体LC-M"/>
          <w:sz w:val="28"/>
        </w:rPr>
      </w:pPr>
      <w:r>
        <w:rPr>
          <w:rFonts w:hint="eastAsia" w:ascii="HGS祥南行書体" w:hAnsi="HGS祥南行書体" w:eastAsia="FG行書体LC-M"/>
          <w:sz w:val="28"/>
        </w:rPr>
        <w:t>南風原町長</w:t>
      </w:r>
      <w:r>
        <w:rPr>
          <w:rFonts w:hint="eastAsia"/>
          <w:sz w:val="28"/>
        </w:rPr>
        <w:t>　</w:t>
      </w:r>
      <w:r>
        <w:rPr>
          <w:rFonts w:hint="eastAsia" w:ascii="FG行書体LC-M" w:hAnsi="FG行書体LC-M" w:eastAsia="FG行書体LC-M"/>
          <w:sz w:val="36"/>
        </w:rPr>
        <w:t>赤</w:t>
      </w:r>
      <w:r>
        <w:rPr>
          <w:rFonts w:hint="eastAsia"/>
          <w:sz w:val="36"/>
        </w:rPr>
        <w:t>　</w:t>
      </w:r>
      <w:r>
        <w:rPr>
          <w:rFonts w:hint="eastAsia" w:ascii="FG行書体LC-M" w:hAnsi="FG行書体LC-M" w:eastAsia="FG行書体LC-M"/>
          <w:sz w:val="36"/>
        </w:rPr>
        <w:t>嶺</w:t>
      </w:r>
      <w:r>
        <w:rPr>
          <w:rFonts w:hint="eastAsia"/>
          <w:sz w:val="36"/>
        </w:rPr>
        <w:t>　</w:t>
      </w:r>
      <w:r>
        <w:rPr>
          <w:rFonts w:hint="eastAsia" w:ascii="FG行書体LC-M" w:hAnsi="FG行書体LC-M" w:eastAsia="FG行書体LC-M"/>
          <w:sz w:val="36"/>
        </w:rPr>
        <w:t>正</w:t>
      </w:r>
      <w:r>
        <w:rPr>
          <w:rFonts w:hint="eastAsia"/>
          <w:sz w:val="36"/>
        </w:rPr>
        <w:t>　</w:t>
      </w:r>
      <w:r>
        <w:rPr>
          <w:rFonts w:hint="eastAsia" w:ascii="FG行書体LC-M" w:hAnsi="FG行書体LC-M" w:eastAsia="FG行書体LC-M"/>
          <w:sz w:val="36"/>
        </w:rPr>
        <w:t>之</w:t>
      </w:r>
    </w:p>
    <w:p>
      <w:pPr>
        <w:pStyle w:val="0"/>
        <w:widowControl w:val="1"/>
        <w:spacing w:after="160" w:afterLines="0" w:afterAutospacing="0" w:line="259" w:lineRule="auto"/>
        <w:jc w:val="left"/>
        <w:rPr>
          <w:rFonts w:hint="default" w:ascii="ＭＳ ゴシック" w:hAnsi="ＭＳ ゴシック" w:eastAsia="ＭＳ ゴシック"/>
          <w:color w:val="000000" w:themeColor="text1"/>
          <w:sz w:val="24"/>
        </w:rPr>
      </w:pPr>
      <w:r>
        <w:rPr>
          <w:rFonts w:hint="default" w:ascii="ＭＳ ゴシック" w:hAnsi="ＭＳ ゴシック" w:eastAsia="ＭＳ ゴシック"/>
          <w:color w:val="000000" w:themeColor="text1"/>
          <w:sz w:val="24"/>
        </w:rPr>
        <w:br w:type="page"/>
      </w:r>
    </w:p>
    <w:p>
      <w:pPr>
        <w:pStyle w:val="0"/>
        <w:widowControl w:val="1"/>
        <w:jc w:val="left"/>
        <w:rPr>
          <w:rFonts w:hint="default" w:ascii="ＭＳ ゴシック" w:hAnsi="ＭＳ ゴシック" w:eastAsia="ＭＳ ゴシック"/>
          <w:color w:val="000000" w:themeColor="text1"/>
          <w:sz w:val="24"/>
        </w:rPr>
      </w:pPr>
    </w:p>
    <w:p>
      <w:pPr>
        <w:pStyle w:val="0"/>
        <w:widowControl w:val="1"/>
        <w:jc w:val="left"/>
        <w:rPr>
          <w:rFonts w:hint="default" w:ascii="ＭＳ ゴシック" w:hAnsi="ＭＳ ゴシック" w:eastAsia="ＭＳ ゴシック"/>
          <w:color w:val="000000" w:themeColor="text1"/>
          <w:sz w:val="24"/>
        </w:rPr>
      </w:pPr>
    </w:p>
    <w:p>
      <w:pPr>
        <w:pStyle w:val="0"/>
        <w:widowControl w:val="1"/>
        <w:jc w:val="left"/>
        <w:rPr>
          <w:rFonts w:hint="default" w:ascii="ＭＳ ゴシック" w:hAnsi="ＭＳ ゴシック" w:eastAsia="ＭＳ ゴシック"/>
          <w:color w:val="000000" w:themeColor="text1"/>
          <w:sz w:val="24"/>
        </w:rPr>
      </w:pPr>
    </w:p>
    <w:p>
      <w:pPr>
        <w:pStyle w:val="0"/>
        <w:widowControl w:val="1"/>
        <w:jc w:val="left"/>
        <w:rPr>
          <w:rFonts w:hint="default" w:ascii="ＭＳ ゴシック" w:hAnsi="ＭＳ ゴシック" w:eastAsia="ＭＳ ゴシック"/>
          <w:color w:val="000000" w:themeColor="text1"/>
          <w:sz w:val="24"/>
        </w:rPr>
      </w:pPr>
    </w:p>
    <w:p>
      <w:pPr>
        <w:pStyle w:val="0"/>
        <w:widowControl w:val="1"/>
        <w:jc w:val="left"/>
        <w:rPr>
          <w:rFonts w:hint="default" w:ascii="ＭＳ ゴシック" w:hAnsi="ＭＳ ゴシック" w:eastAsia="ＭＳ ゴシック"/>
          <w:color w:val="000000" w:themeColor="text1"/>
          <w:sz w:val="24"/>
        </w:rPr>
      </w:pPr>
    </w:p>
    <w:p>
      <w:pPr>
        <w:pStyle w:val="0"/>
        <w:widowControl w:val="1"/>
        <w:jc w:val="left"/>
        <w:rPr>
          <w:rFonts w:hint="default" w:ascii="ＭＳ ゴシック" w:hAnsi="ＭＳ ゴシック" w:eastAsia="ＭＳ ゴシック"/>
          <w:color w:val="000000" w:themeColor="text1"/>
          <w:sz w:val="24"/>
        </w:rPr>
      </w:pPr>
    </w:p>
    <w:p>
      <w:pPr>
        <w:pStyle w:val="0"/>
        <w:widowControl w:val="1"/>
        <w:jc w:val="left"/>
        <w:rPr>
          <w:rFonts w:hint="default" w:ascii="ＭＳ ゴシック" w:hAnsi="ＭＳ ゴシック" w:eastAsia="ＭＳ ゴシック"/>
          <w:color w:val="000000" w:themeColor="text1"/>
          <w:sz w:val="24"/>
        </w:rPr>
      </w:pPr>
    </w:p>
    <w:p>
      <w:pPr>
        <w:pStyle w:val="0"/>
        <w:widowControl w:val="1"/>
        <w:jc w:val="left"/>
        <w:rPr>
          <w:rFonts w:hint="default" w:ascii="ＭＳ ゴシック" w:hAnsi="ＭＳ ゴシック" w:eastAsia="ＭＳ ゴシック"/>
          <w:color w:val="000000" w:themeColor="text1"/>
          <w:sz w:val="24"/>
        </w:rPr>
      </w:pPr>
    </w:p>
    <w:p>
      <w:pPr>
        <w:pStyle w:val="0"/>
        <w:widowControl w:val="1"/>
        <w:spacing w:after="160" w:afterLines="0" w:afterAutospacing="0" w:line="259" w:lineRule="auto"/>
        <w:jc w:val="left"/>
        <w:rPr>
          <w:rFonts w:hint="default" w:ascii="ＭＳ ゴシック" w:hAnsi="ＭＳ ゴシック" w:eastAsia="ＭＳ ゴシック"/>
          <w:sz w:val="30"/>
        </w:rPr>
      </w:pPr>
      <w:r>
        <w:rPr>
          <w:rFonts w:hint="default" w:ascii="ＭＳ ゴシック" w:hAnsi="ＭＳ ゴシック" w:eastAsia="ＭＳ ゴシック"/>
          <w:sz w:val="30"/>
        </w:rPr>
        <w:br w:type="page"/>
      </w:r>
    </w:p>
    <w:p>
      <w:pPr>
        <w:pStyle w:val="0"/>
        <w:ind w:right="4537" w:rightChars="2024"/>
        <w:jc w:val="center"/>
        <w:outlineLvl w:val="0"/>
        <w:rPr>
          <w:rFonts w:hint="default" w:ascii="ＭＳ ゴシック" w:hAnsi="ＭＳ ゴシック" w:eastAsia="ＭＳ ゴシック"/>
          <w:sz w:val="24"/>
        </w:rPr>
      </w:pPr>
      <w:r>
        <w:rPr>
          <w:rFonts w:hint="default" w:ascii="Century" w:hAnsi="Century"/>
          <w:sz w:val="28"/>
        </w:rPr>
        <w:drawing>
          <wp:anchor distT="0" distB="0" distL="114300" distR="114300" simplePos="0" relativeHeight="327" behindDoc="0" locked="0" layoutInCell="1" hidden="0" allowOverlap="1">
            <wp:simplePos x="0" y="0"/>
            <wp:positionH relativeFrom="column">
              <wp:posOffset>5243830</wp:posOffset>
            </wp:positionH>
            <wp:positionV relativeFrom="paragraph">
              <wp:posOffset>-74295</wp:posOffset>
            </wp:positionV>
            <wp:extent cx="1005205" cy="1005205"/>
            <wp:effectExtent l="0" t="0" r="0" b="0"/>
            <wp:wrapNone/>
            <wp:docPr id="1032" name="Picture 2"/>
            <a:graphic xmlns:a="http://schemas.openxmlformats.org/drawingml/2006/main">
              <a:graphicData uri="http://schemas.openxmlformats.org/drawingml/2006/picture">
                <pic:pic xmlns:pic="http://schemas.openxmlformats.org/drawingml/2006/picture">
                  <pic:nvPicPr>
                    <pic:cNvPr id="1032" name="Picture 2"/>
                    <pic:cNvPicPr>
                      <a:picLocks noChangeAspect="1" noChangeArrowheads="1"/>
                    </pic:cNvPicPr>
                  </pic:nvPicPr>
                  <pic:blipFill>
                    <a:blip r:embed="rId8"/>
                    <a:stretch>
                      <a:fillRect/>
                    </a:stretch>
                  </pic:blipFill>
                  <pic:spPr>
                    <a:xfrm>
                      <a:off x="0" y="0"/>
                      <a:ext cx="1005205" cy="1005205"/>
                    </a:xfrm>
                    <a:prstGeom prst="rect">
                      <a:avLst/>
                    </a:prstGeom>
                    <a:noFill/>
                    <a:ln>
                      <a:noFill/>
                    </a:ln>
                  </pic:spPr>
                </pic:pic>
              </a:graphicData>
            </a:graphic>
          </wp:anchor>
        </w:drawing>
      </w:r>
      <w:r>
        <w:rPr>
          <w:rFonts w:hint="eastAsia"/>
        </w:rPr>
        <mc:AlternateContent>
          <mc:Choice Requires="wps">
            <w:drawing>
              <wp:anchor distT="0" distB="0" distL="71755" distR="71755" simplePos="0" relativeHeight="249" behindDoc="0" locked="0" layoutInCell="1" hidden="0" allowOverlap="1">
                <wp:simplePos x="0" y="0"/>
                <wp:positionH relativeFrom="column">
                  <wp:posOffset>3239770</wp:posOffset>
                </wp:positionH>
                <wp:positionV relativeFrom="paragraph">
                  <wp:posOffset>202565</wp:posOffset>
                </wp:positionV>
                <wp:extent cx="1997710" cy="757555"/>
                <wp:effectExtent l="0" t="0" r="635" b="635"/>
                <wp:wrapNone/>
                <wp:docPr id="1033" name="オブジェクト 0"/>
                <a:graphic xmlns:a="http://schemas.openxmlformats.org/drawingml/2006/main">
                  <a:graphicData uri="http://schemas.microsoft.com/office/word/2010/wordprocessingShape">
                    <wps:wsp>
                      <wps:cNvPr id="1033" name="オブジェクト 0"/>
                      <wps:cNvSpPr txBox="1"/>
                      <wps:spPr>
                        <a:xfrm>
                          <a:off x="0" y="0"/>
                          <a:ext cx="1997710" cy="7575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rPr>
                            </w:pPr>
                            <w:r>
                              <w:rPr>
                                <w:rFonts w:hint="eastAsia"/>
                              </w:rPr>
                              <w:t>本計画の詳細は、ホームページからご覧になれます。　　→</w:t>
                            </w:r>
                          </w:p>
                        </w:txbxContent>
                      </wps:txbx>
                      <wps:bodyPr vertOverflow="overflow" horzOverflow="overflow" wrap="squar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5.95pt;mso-position-vertical-relative:text;mso-position-horizontal-relative:text;position:absolute;height:59.65pt;mso-wrap-distance-top:0pt;width:157.30000000000001pt;mso-wrap-distance-left:5.65pt;margin-left:255.1pt;z-index:249;" o:spid="_x0000_s1033" o:allowincell="t" o:allowoverlap="t" filled="f" stroked="f" strokeweight="0.5pt" o:spt="202" type="#_x0000_t202">
                <v:fill/>
                <v:stroke linestyle="single"/>
                <v:textbox style="layout-flow:horizontal;mso-fit-shape-to-text:t;" inset="0mm,0mm,0mm,0mm">
                  <w:txbxContent>
                    <w:p>
                      <w:pPr>
                        <w:pStyle w:val="0"/>
                        <w:rPr>
                          <w:rFonts w:hint="default"/>
                        </w:rPr>
                      </w:pPr>
                      <w:r>
                        <w:rPr>
                          <w:rFonts w:hint="eastAsia"/>
                        </w:rPr>
                        <w:t>本計画の詳細は、ホームページからご覧になれます。　　→</w:t>
                      </w:r>
                    </w:p>
                  </w:txbxContent>
                </v:textbox>
                <v:imagedata o:title=""/>
                <w10:wrap type="none" anchorx="text" anchory="text"/>
              </v:shape>
            </w:pict>
          </mc:Fallback>
        </mc:AlternateContent>
      </w:r>
      <w:r>
        <w:rPr>
          <w:rFonts w:hint="eastAsia" w:ascii="ＭＳ ゴシック" w:hAnsi="ＭＳ ゴシック" w:eastAsia="ＭＳ ゴシック"/>
          <w:sz w:val="30"/>
        </w:rPr>
        <w:t>≫</w:t>
      </w:r>
      <w:r>
        <w:rPr>
          <w:rFonts w:hint="eastAsia" w:ascii="ＭＳ ゴシック" w:hAnsi="ＭＳ ゴシック" w:eastAsia="ＭＳ ゴシック"/>
          <w:sz w:val="30"/>
        </w:rPr>
        <w:t xml:space="preserve"> </w:t>
      </w:r>
      <w:r>
        <w:rPr>
          <w:rFonts w:hint="eastAsia" w:ascii="ＭＳ ゴシック" w:hAnsi="ＭＳ ゴシック" w:eastAsia="ＭＳ ゴシック"/>
          <w:sz w:val="30"/>
        </w:rPr>
        <w:t>目　　次</w:t>
      </w:r>
      <w:r>
        <w:rPr>
          <w:rFonts w:hint="eastAsia" w:ascii="ＭＳ ゴシック" w:hAnsi="ＭＳ ゴシック" w:eastAsia="ＭＳ ゴシック"/>
          <w:sz w:val="30"/>
        </w:rPr>
        <w:t xml:space="preserve"> </w:t>
      </w:r>
      <w:r>
        <w:rPr>
          <w:rFonts w:hint="eastAsia" w:ascii="ＭＳ ゴシック" w:hAnsi="ＭＳ ゴシック" w:eastAsia="ＭＳ ゴシック"/>
          <w:sz w:val="30"/>
        </w:rPr>
        <w:t>≪</w:t>
      </w:r>
    </w:p>
    <w:p>
      <w:pPr>
        <w:pStyle w:val="0"/>
        <w:rPr>
          <w:rFonts w:hint="default" w:ascii="ＭＳ ゴシック" w:hAnsi="ＭＳ ゴシック" w:eastAsia="ＭＳ ゴシック"/>
          <w:sz w:val="24"/>
        </w:rPr>
      </w:pPr>
    </w:p>
    <w:p>
      <w:pPr>
        <w:pStyle w:val="30"/>
        <w:spacing w:before="111" w:beforeLines="0" w:beforeAutospacing="0"/>
        <w:rPr>
          <w:rFonts w:hint="default" w:asciiTheme="minorHAnsi" w:hAnsiTheme="minorHAnsi" w:eastAsiaTheme="minorEastAsia"/>
          <w:sz w:val="22"/>
        </w:rPr>
      </w:pPr>
      <w:r>
        <w:rPr>
          <w:rFonts w:hint="default" w:ascii="Century" w:hAnsi="Century"/>
          <w:sz w:val="28"/>
        </w:rPr>
        <w:fldChar w:fldCharType="begin"/>
      </w:r>
      <w:r>
        <w:rPr>
          <w:rFonts w:hint="default" w:ascii="Century" w:hAnsi="Century"/>
          <w:sz w:val="28"/>
        </w:rPr>
        <w:instrText xml:space="preserve"> TOC \o "2-2" \h \z \t "見出し 1,1,見出し 3,3,01_章,1,_0_3_１．,3,_0_1_章,1,_0_9_目次のスペース用,9,_0_8_合紙タイトル（計画名）,8,_1_3_（１）,3,01_03_問１,3,01_04_問10,3,01_03_＜問１＞,3,_意見（03_小見出し）,3" </w:instrText>
      </w:r>
      <w:r>
        <w:rPr>
          <w:rFonts w:hint="default" w:ascii="Century" w:hAnsi="Century"/>
          <w:sz w:val="28"/>
        </w:rPr>
        <w:fldChar w:fldCharType="separate"/>
      </w:r>
      <w:r>
        <w:rPr>
          <w:rFonts w:hint="eastAsia"/>
        </w:rPr>
        <w:fldChar w:fldCharType="begin"/>
      </w:r>
      <w:r>
        <w:rPr>
          <w:rFonts w:hint="eastAsia"/>
        </w:rPr>
        <w:instrText xml:space="preserve"> HYPERLINK  \l "_Toc162263651"</w:instrText>
      </w:r>
      <w:r>
        <w:rPr>
          <w:rFonts w:hint="eastAsia"/>
        </w:rPr>
        <w:fldChar w:fldCharType="separate"/>
      </w:r>
      <w:r>
        <w:rPr>
          <w:rFonts w:hint="default"/>
        </w:rPr>
        <w:t>第１章　計画の策定にあたって</w:t>
      </w:r>
      <w:r>
        <w:rPr>
          <w:rFonts w:hint="default"/>
        </w:rPr>
        <w:tab/>
      </w:r>
      <w:r>
        <w:rPr>
          <w:rFonts w:hint="eastAsia"/>
        </w:rPr>
        <w:fldChar w:fldCharType="end"/>
      </w:r>
      <w:r>
        <w:rPr>
          <w:rFonts w:hint="eastAsia"/>
        </w:rPr>
        <w:fldChar w:fldCharType="begin"/>
      </w:r>
      <w:r>
        <w:rPr>
          <w:rFonts w:hint="default"/>
        </w:rPr>
        <w:instrText xml:space="preserve">PageRef _Toc162263651 \h </w:instrText>
      </w:r>
      <w:r>
        <w:rPr>
          <w:rFonts w:hint="eastAsia"/>
        </w:rPr>
        <w:fldChar w:fldCharType="separate"/>
      </w:r>
      <w:r>
        <w:rPr>
          <w:rFonts w:hint="default"/>
        </w:rPr>
        <w:t>1</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"_Toc162263652"</w:instrText>
      </w:r>
      <w:r>
        <w:rPr>
          <w:rFonts w:hint="eastAsia"/>
        </w:rPr>
        <w:fldChar w:fldCharType="separate"/>
      </w:r>
      <w:r>
        <w:rPr>
          <w:rFonts w:hint="default"/>
        </w:rPr>
        <w:t>１．計画策定の背景・趣旨</w:t>
      </w:r>
      <w:r>
        <w:rPr>
          <w:rFonts w:hint="default"/>
        </w:rPr>
        <w:tab/>
      </w:r>
      <w:r>
        <w:rPr>
          <w:rFonts w:hint="eastAsia"/>
        </w:rPr>
        <w:fldChar w:fldCharType="end"/>
      </w:r>
      <w:r>
        <w:rPr>
          <w:rFonts w:hint="eastAsia"/>
        </w:rPr>
        <w:fldChar w:fldCharType="begin"/>
      </w:r>
      <w:r>
        <w:rPr>
          <w:rFonts w:hint="default"/>
        </w:rPr>
        <w:instrText xml:space="preserve">PageRef _Toc162263652 \h </w:instrText>
      </w:r>
      <w:r>
        <w:rPr>
          <w:rFonts w:hint="eastAsia"/>
        </w:rPr>
        <w:fldChar w:fldCharType="separate"/>
      </w:r>
      <w:r>
        <w:rPr>
          <w:rFonts w:hint="default"/>
        </w:rPr>
        <w:t>1</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"_Toc162263653"</w:instrText>
      </w:r>
      <w:r>
        <w:rPr>
          <w:rFonts w:hint="eastAsia"/>
        </w:rPr>
        <w:fldChar w:fldCharType="separate"/>
      </w:r>
      <w:r>
        <w:rPr>
          <w:rFonts w:hint="default"/>
        </w:rPr>
        <w:t>２．計画の対象</w:t>
      </w:r>
      <w:r>
        <w:rPr>
          <w:rFonts w:hint="default"/>
        </w:rPr>
        <w:tab/>
      </w:r>
      <w:r>
        <w:rPr>
          <w:rFonts w:hint="eastAsia"/>
        </w:rPr>
        <w:fldChar w:fldCharType="end"/>
      </w:r>
      <w:r>
        <w:rPr>
          <w:rFonts w:hint="eastAsia"/>
        </w:rPr>
        <w:fldChar w:fldCharType="begin"/>
      </w:r>
      <w:r>
        <w:rPr>
          <w:rFonts w:hint="default"/>
        </w:rPr>
        <w:instrText xml:space="preserve">PageRef _Toc162263653 \h </w:instrText>
      </w:r>
      <w:r>
        <w:rPr>
          <w:rFonts w:hint="eastAsia"/>
        </w:rPr>
        <w:fldChar w:fldCharType="separate"/>
      </w:r>
      <w:r>
        <w:rPr>
          <w:rFonts w:hint="default"/>
        </w:rPr>
        <w:t>1</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"_Toc162263654"</w:instrText>
      </w:r>
      <w:r>
        <w:rPr>
          <w:rFonts w:hint="eastAsia"/>
        </w:rPr>
        <w:fldChar w:fldCharType="separate"/>
      </w:r>
      <w:r>
        <w:rPr>
          <w:rFonts w:hint="default"/>
        </w:rPr>
        <w:t>３．障がい者計画・障がい福祉計画・障がい児福祉計画の法的根拠等について</w:t>
      </w:r>
      <w:r>
        <w:rPr>
          <w:rFonts w:hint="default"/>
        </w:rPr>
        <w:tab/>
      </w:r>
      <w:r>
        <w:rPr>
          <w:rFonts w:hint="eastAsia"/>
        </w:rPr>
        <w:fldChar w:fldCharType="end"/>
      </w:r>
      <w:r>
        <w:rPr>
          <w:rFonts w:hint="eastAsia"/>
        </w:rPr>
        <w:fldChar w:fldCharType="begin"/>
      </w:r>
      <w:r>
        <w:rPr>
          <w:rFonts w:hint="default"/>
        </w:rPr>
        <w:instrText xml:space="preserve">PageRef _Toc162263654 \h </w:instrText>
      </w:r>
      <w:r>
        <w:rPr>
          <w:rFonts w:hint="eastAsia"/>
        </w:rPr>
        <w:fldChar w:fldCharType="separate"/>
      </w:r>
      <w:r>
        <w:rPr>
          <w:rFonts w:hint="default"/>
        </w:rPr>
        <w:t>2</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"_Toc162263655"</w:instrText>
      </w:r>
      <w:r>
        <w:rPr>
          <w:rFonts w:hint="eastAsia"/>
        </w:rPr>
        <w:fldChar w:fldCharType="separate"/>
      </w:r>
      <w:r>
        <w:rPr>
          <w:rFonts w:hint="default"/>
        </w:rPr>
        <w:t>４．計画の位置づけ</w:t>
      </w:r>
      <w:r>
        <w:rPr>
          <w:rFonts w:hint="default"/>
        </w:rPr>
        <w:tab/>
      </w:r>
      <w:r>
        <w:rPr>
          <w:rFonts w:hint="eastAsia"/>
        </w:rPr>
        <w:fldChar w:fldCharType="end"/>
      </w:r>
      <w:r>
        <w:rPr>
          <w:rFonts w:hint="eastAsia"/>
        </w:rPr>
        <w:fldChar w:fldCharType="begin"/>
      </w:r>
      <w:r>
        <w:rPr>
          <w:rFonts w:hint="default"/>
        </w:rPr>
        <w:instrText xml:space="preserve">PageRef _Toc162263655 \h </w:instrText>
      </w:r>
      <w:r>
        <w:rPr>
          <w:rFonts w:hint="eastAsia"/>
        </w:rPr>
        <w:fldChar w:fldCharType="separate"/>
      </w:r>
      <w:r>
        <w:rPr>
          <w:rFonts w:hint="default"/>
        </w:rPr>
        <w:t>3</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"_Toc162263656"</w:instrText>
      </w:r>
      <w:r>
        <w:rPr>
          <w:rFonts w:hint="eastAsia"/>
        </w:rPr>
        <w:fldChar w:fldCharType="separate"/>
      </w:r>
      <w:r>
        <w:rPr>
          <w:rFonts w:hint="default"/>
        </w:rPr>
        <w:t>５．計画の期間</w:t>
      </w:r>
      <w:r>
        <w:rPr>
          <w:rFonts w:hint="default"/>
        </w:rPr>
        <w:tab/>
      </w:r>
      <w:r>
        <w:rPr>
          <w:rFonts w:hint="eastAsia"/>
        </w:rPr>
        <w:fldChar w:fldCharType="end"/>
      </w:r>
      <w:r>
        <w:rPr>
          <w:rFonts w:hint="eastAsia"/>
        </w:rPr>
        <w:fldChar w:fldCharType="begin"/>
      </w:r>
      <w:r>
        <w:rPr>
          <w:rFonts w:hint="default"/>
        </w:rPr>
        <w:instrText xml:space="preserve">PageRef _Toc162263656 \h </w:instrText>
      </w:r>
      <w:r>
        <w:rPr>
          <w:rFonts w:hint="eastAsia"/>
        </w:rPr>
        <w:fldChar w:fldCharType="separate"/>
      </w:r>
      <w:r>
        <w:rPr>
          <w:rFonts w:hint="default"/>
        </w:rPr>
        <w:t>8</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"_Toc162263657"</w:instrText>
      </w:r>
      <w:r>
        <w:rPr>
          <w:rFonts w:hint="eastAsia"/>
        </w:rPr>
        <w:fldChar w:fldCharType="separate"/>
      </w:r>
      <w:r>
        <w:rPr>
          <w:rFonts w:hint="default"/>
        </w:rPr>
        <w:t>６．計画の策定体制</w:t>
      </w:r>
      <w:r>
        <w:rPr>
          <w:rFonts w:hint="default"/>
        </w:rPr>
        <w:tab/>
      </w:r>
      <w:r>
        <w:rPr>
          <w:rFonts w:hint="eastAsia"/>
        </w:rPr>
        <w:fldChar w:fldCharType="end"/>
      </w:r>
      <w:r>
        <w:rPr>
          <w:rFonts w:hint="eastAsia"/>
        </w:rPr>
        <w:fldChar w:fldCharType="begin"/>
      </w:r>
      <w:r>
        <w:rPr>
          <w:rFonts w:hint="default"/>
        </w:rPr>
        <w:instrText xml:space="preserve">PageRef _Toc162263657 \h </w:instrText>
      </w:r>
      <w:r>
        <w:rPr>
          <w:rFonts w:hint="eastAsia"/>
        </w:rPr>
        <w:fldChar w:fldCharType="separate"/>
      </w:r>
      <w:r>
        <w:rPr>
          <w:rFonts w:hint="default"/>
        </w:rPr>
        <w:t>8</w:t>
      </w:r>
      <w:r>
        <w:rPr>
          <w:rFonts w:hint="eastAsia"/>
        </w:rPr>
        <w:fldChar w:fldCharType="end"/>
      </w:r>
    </w:p>
    <w:p>
      <w:pPr>
        <w:pStyle w:val="30"/>
        <w:spacing w:before="111" w:beforeLines="0" w:beforeAutospacing="0"/>
        <w:rPr>
          <w:rFonts w:hint="default" w:asciiTheme="minorHAnsi" w:hAnsiTheme="minorHAnsi" w:eastAsiaTheme="minorEastAsia"/>
          <w:sz w:val="22"/>
        </w:rPr>
      </w:pPr>
      <w:r>
        <w:rPr>
          <w:rFonts w:hint="eastAsia"/>
        </w:rPr>
        <w:fldChar w:fldCharType="begin"/>
      </w:r>
      <w:r>
        <w:rPr>
          <w:rFonts w:hint="eastAsia"/>
        </w:rPr>
        <w:instrText xml:space="preserve"> HYPERLINK  \l "_Toc162263658"</w:instrText>
      </w:r>
      <w:r>
        <w:rPr>
          <w:rFonts w:hint="eastAsia"/>
        </w:rPr>
        <w:fldChar w:fldCharType="separate"/>
      </w:r>
      <w:r>
        <w:rPr>
          <w:rFonts w:hint="default"/>
        </w:rPr>
        <w:t>第２章　障害福祉を取り巻く現状</w:t>
      </w:r>
      <w:r>
        <w:rPr>
          <w:rFonts w:hint="default"/>
        </w:rPr>
        <w:tab/>
      </w:r>
      <w:r>
        <w:rPr>
          <w:rFonts w:hint="eastAsia"/>
        </w:rPr>
        <w:fldChar w:fldCharType="end"/>
      </w:r>
      <w:r>
        <w:rPr>
          <w:rFonts w:hint="eastAsia"/>
        </w:rPr>
        <w:fldChar w:fldCharType="begin"/>
      </w:r>
      <w:r>
        <w:rPr>
          <w:rFonts w:hint="default"/>
        </w:rPr>
        <w:instrText xml:space="preserve">PageRef _Toc162263658 \h </w:instrText>
      </w:r>
      <w:r>
        <w:rPr>
          <w:rFonts w:hint="eastAsia"/>
        </w:rPr>
        <w:fldChar w:fldCharType="separate"/>
      </w:r>
      <w:r>
        <w:rPr>
          <w:rFonts w:hint="default"/>
        </w:rPr>
        <w:t>9</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"_Toc162263659"</w:instrText>
      </w:r>
      <w:r>
        <w:rPr>
          <w:rFonts w:hint="eastAsia"/>
        </w:rPr>
        <w:fldChar w:fldCharType="separate"/>
      </w:r>
      <w:r>
        <w:rPr>
          <w:rFonts w:hint="default"/>
        </w:rPr>
        <w:t>１．障がい者の概況</w:t>
      </w:r>
      <w:r>
        <w:rPr>
          <w:rFonts w:hint="default"/>
        </w:rPr>
        <w:tab/>
      </w:r>
      <w:r>
        <w:rPr>
          <w:rFonts w:hint="eastAsia"/>
        </w:rPr>
        <w:fldChar w:fldCharType="end"/>
      </w:r>
      <w:r>
        <w:rPr>
          <w:rFonts w:hint="eastAsia"/>
        </w:rPr>
        <w:fldChar w:fldCharType="begin"/>
      </w:r>
      <w:r>
        <w:rPr>
          <w:rFonts w:hint="default"/>
        </w:rPr>
        <w:instrText xml:space="preserve">PageRef _Toc162263659 \h </w:instrText>
      </w:r>
      <w:r>
        <w:rPr>
          <w:rFonts w:hint="eastAsia"/>
        </w:rPr>
        <w:fldChar w:fldCharType="separate"/>
      </w:r>
      <w:r>
        <w:rPr>
          <w:rFonts w:hint="default"/>
        </w:rPr>
        <w:t>9</w:t>
      </w:r>
      <w:r>
        <w:rPr>
          <w:rFonts w:hint="eastAsia"/>
        </w:rPr>
        <w:fldChar w:fldCharType="end"/>
      </w:r>
    </w:p>
    <w:p>
      <w:pPr>
        <w:pStyle w:val="30"/>
        <w:spacing w:before="111" w:beforeLines="0" w:beforeAutospacing="0"/>
        <w:rPr>
          <w:rFonts w:hint="default" w:asciiTheme="minorHAnsi" w:hAnsiTheme="minorHAnsi" w:eastAsiaTheme="minorEastAsia"/>
          <w:sz w:val="22"/>
        </w:rPr>
      </w:pPr>
      <w:r>
        <w:rPr>
          <w:rFonts w:hint="eastAsia"/>
        </w:rPr>
        <w:fldChar w:fldCharType="begin"/>
      </w:r>
      <w:r>
        <w:rPr>
          <w:rFonts w:hint="eastAsia"/>
        </w:rPr>
        <w:instrText xml:space="preserve"> HYPERLINK  \l "_Toc162263660"</w:instrText>
      </w:r>
      <w:r>
        <w:rPr>
          <w:rFonts w:hint="eastAsia"/>
        </w:rPr>
        <w:fldChar w:fldCharType="separate"/>
      </w:r>
      <w:r>
        <w:rPr>
          <w:rFonts w:hint="default"/>
        </w:rPr>
        <w:t>第３章　計画の基本的な考え方</w:t>
      </w:r>
      <w:r>
        <w:rPr>
          <w:rFonts w:hint="default"/>
        </w:rPr>
        <w:tab/>
      </w:r>
      <w:r>
        <w:rPr>
          <w:rFonts w:hint="eastAsia"/>
        </w:rPr>
        <w:fldChar w:fldCharType="end"/>
      </w:r>
      <w:r>
        <w:rPr>
          <w:rFonts w:hint="eastAsia"/>
        </w:rPr>
        <w:fldChar w:fldCharType="begin"/>
      </w:r>
      <w:r>
        <w:rPr>
          <w:rFonts w:hint="default"/>
        </w:rPr>
        <w:instrText xml:space="preserve">PageRef _Toc162263660 \h </w:instrText>
      </w:r>
      <w:r>
        <w:rPr>
          <w:rFonts w:hint="eastAsia"/>
        </w:rPr>
        <w:fldChar w:fldCharType="separate"/>
      </w:r>
      <w:r>
        <w:rPr>
          <w:rFonts w:hint="default"/>
        </w:rPr>
        <w:t>27</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"_Toc162263661"</w:instrText>
      </w:r>
      <w:r>
        <w:rPr>
          <w:rFonts w:hint="eastAsia"/>
        </w:rPr>
        <w:fldChar w:fldCharType="separate"/>
      </w:r>
      <w:r>
        <w:rPr>
          <w:rFonts w:hint="default"/>
        </w:rPr>
        <w:t>１．基本理念</w:t>
      </w:r>
      <w:r>
        <w:rPr>
          <w:rFonts w:hint="default"/>
        </w:rPr>
        <w:tab/>
      </w:r>
      <w:r>
        <w:rPr>
          <w:rFonts w:hint="eastAsia"/>
        </w:rPr>
        <w:fldChar w:fldCharType="end"/>
      </w:r>
      <w:r>
        <w:rPr>
          <w:rFonts w:hint="eastAsia"/>
        </w:rPr>
        <w:fldChar w:fldCharType="begin"/>
      </w:r>
      <w:r>
        <w:rPr>
          <w:rFonts w:hint="default"/>
        </w:rPr>
        <w:instrText xml:space="preserve">PageRef _Toc162263661 \h </w:instrText>
      </w:r>
      <w:r>
        <w:rPr>
          <w:rFonts w:hint="eastAsia"/>
        </w:rPr>
        <w:fldChar w:fldCharType="separate"/>
      </w:r>
      <w:r>
        <w:rPr>
          <w:rFonts w:hint="default"/>
        </w:rPr>
        <w:t>27</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"_Toc162263662"</w:instrText>
      </w:r>
      <w:r>
        <w:rPr>
          <w:rFonts w:hint="eastAsia"/>
        </w:rPr>
        <w:fldChar w:fldCharType="separate"/>
      </w:r>
      <w:r>
        <w:rPr>
          <w:rFonts w:hint="default"/>
        </w:rPr>
        <w:t>２．基本目標</w:t>
      </w:r>
      <w:r>
        <w:rPr>
          <w:rFonts w:hint="default"/>
        </w:rPr>
        <w:tab/>
      </w:r>
      <w:r>
        <w:rPr>
          <w:rFonts w:hint="eastAsia"/>
        </w:rPr>
        <w:fldChar w:fldCharType="end"/>
      </w:r>
      <w:r>
        <w:rPr>
          <w:rFonts w:hint="eastAsia"/>
        </w:rPr>
        <w:fldChar w:fldCharType="begin"/>
      </w:r>
      <w:r>
        <w:rPr>
          <w:rFonts w:hint="default"/>
        </w:rPr>
        <w:instrText xml:space="preserve">PageRef _Toc162263662 \h </w:instrText>
      </w:r>
      <w:r>
        <w:rPr>
          <w:rFonts w:hint="eastAsia"/>
        </w:rPr>
        <w:fldChar w:fldCharType="separate"/>
      </w:r>
      <w:r>
        <w:rPr>
          <w:rFonts w:hint="default"/>
        </w:rPr>
        <w:t>28</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"_Toc162263663"</w:instrText>
      </w:r>
      <w:r>
        <w:rPr>
          <w:rFonts w:hint="eastAsia"/>
        </w:rPr>
        <w:fldChar w:fldCharType="separate"/>
      </w:r>
      <w:r>
        <w:rPr>
          <w:rFonts w:hint="default"/>
        </w:rPr>
        <w:t>３．計画の基本的視点</w:t>
      </w:r>
      <w:r>
        <w:rPr>
          <w:rFonts w:hint="default"/>
        </w:rPr>
        <w:tab/>
      </w:r>
      <w:r>
        <w:rPr>
          <w:rFonts w:hint="eastAsia"/>
        </w:rPr>
        <w:fldChar w:fldCharType="end"/>
      </w:r>
      <w:r>
        <w:rPr>
          <w:rFonts w:hint="eastAsia"/>
        </w:rPr>
        <w:fldChar w:fldCharType="begin"/>
      </w:r>
      <w:r>
        <w:rPr>
          <w:rFonts w:hint="default"/>
        </w:rPr>
        <w:instrText xml:space="preserve">PageRef _Toc162263663 \h </w:instrText>
      </w:r>
      <w:r>
        <w:rPr>
          <w:rFonts w:hint="eastAsia"/>
        </w:rPr>
        <w:fldChar w:fldCharType="separate"/>
      </w:r>
      <w:r>
        <w:rPr>
          <w:rFonts w:hint="default"/>
        </w:rPr>
        <w:t>29</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"_Toc162263664"</w:instrText>
      </w:r>
      <w:r>
        <w:rPr>
          <w:rFonts w:hint="eastAsia"/>
        </w:rPr>
        <w:fldChar w:fldCharType="separate"/>
      </w:r>
      <w:r>
        <w:rPr>
          <w:rFonts w:hint="default"/>
        </w:rPr>
        <w:t>４．施策の体系</w:t>
      </w:r>
      <w:r>
        <w:rPr>
          <w:rFonts w:hint="default"/>
        </w:rPr>
        <w:tab/>
      </w:r>
      <w:r>
        <w:rPr>
          <w:rFonts w:hint="eastAsia"/>
        </w:rPr>
        <w:fldChar w:fldCharType="end"/>
      </w:r>
      <w:r>
        <w:rPr>
          <w:rFonts w:hint="eastAsia"/>
        </w:rPr>
        <w:fldChar w:fldCharType="begin"/>
      </w:r>
      <w:r>
        <w:rPr>
          <w:rFonts w:hint="default"/>
        </w:rPr>
        <w:instrText xml:space="preserve">PageRef _Toc162263664 \h </w:instrText>
      </w:r>
      <w:r>
        <w:rPr>
          <w:rFonts w:hint="eastAsia"/>
        </w:rPr>
        <w:fldChar w:fldCharType="separate"/>
      </w:r>
      <w:r>
        <w:rPr>
          <w:rFonts w:hint="default"/>
        </w:rPr>
        <w:t>31</w:t>
      </w:r>
      <w:r>
        <w:rPr>
          <w:rFonts w:hint="eastAsia"/>
        </w:rPr>
        <w:fldChar w:fldCharType="end"/>
      </w:r>
    </w:p>
    <w:p>
      <w:pPr>
        <w:pStyle w:val="30"/>
        <w:spacing w:before="111" w:beforeLines="0" w:beforeAutospacing="0"/>
        <w:rPr>
          <w:rFonts w:hint="default" w:asciiTheme="minorHAnsi" w:hAnsiTheme="minorHAnsi" w:eastAsiaTheme="minorEastAsia"/>
          <w:sz w:val="22"/>
        </w:rPr>
      </w:pPr>
      <w:r>
        <w:rPr>
          <w:rFonts w:hint="eastAsia"/>
        </w:rPr>
        <w:fldChar w:fldCharType="begin"/>
      </w:r>
      <w:r>
        <w:rPr>
          <w:rFonts w:hint="eastAsia"/>
        </w:rPr>
        <w:instrText xml:space="preserve"> HYPERLINK  \l "_Toc162263665"</w:instrText>
      </w:r>
      <w:r>
        <w:rPr>
          <w:rFonts w:hint="eastAsia"/>
        </w:rPr>
        <w:fldChar w:fldCharType="separate"/>
      </w:r>
      <w:r>
        <w:rPr>
          <w:rFonts w:hint="default"/>
        </w:rPr>
        <w:t>第４章　第６次南風原町障がい者計画</w:t>
      </w:r>
      <w:r>
        <w:rPr>
          <w:rFonts w:hint="default"/>
        </w:rPr>
        <w:tab/>
      </w:r>
      <w:r>
        <w:rPr>
          <w:rFonts w:hint="eastAsia"/>
        </w:rPr>
        <w:fldChar w:fldCharType="end"/>
      </w:r>
      <w:r>
        <w:rPr>
          <w:rFonts w:hint="eastAsia"/>
        </w:rPr>
        <w:fldChar w:fldCharType="begin"/>
      </w:r>
      <w:r>
        <w:rPr>
          <w:rFonts w:hint="default"/>
        </w:rPr>
        <w:instrText xml:space="preserve">PageRef _Toc162263665 \h </w:instrText>
      </w:r>
      <w:r>
        <w:rPr>
          <w:rFonts w:hint="eastAsia"/>
        </w:rPr>
        <w:fldChar w:fldCharType="separate"/>
      </w:r>
      <w:r>
        <w:rPr>
          <w:rFonts w:hint="default"/>
        </w:rPr>
        <w:t>33</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"_Toc162263666"</w:instrText>
      </w:r>
      <w:r>
        <w:rPr>
          <w:rFonts w:hint="eastAsia"/>
        </w:rPr>
        <w:fldChar w:fldCharType="separate"/>
      </w:r>
      <w:r>
        <w:rPr>
          <w:rFonts w:hint="default"/>
        </w:rPr>
        <w:t>基本目標１　安心して共に暮らせるまち</w:t>
      </w:r>
      <w:r>
        <w:rPr>
          <w:rFonts w:hint="default"/>
        </w:rPr>
        <w:tab/>
      </w:r>
      <w:r>
        <w:rPr>
          <w:rFonts w:hint="eastAsia"/>
        </w:rPr>
        <w:fldChar w:fldCharType="end"/>
      </w:r>
      <w:r>
        <w:rPr>
          <w:rFonts w:hint="eastAsia"/>
        </w:rPr>
        <w:fldChar w:fldCharType="begin"/>
      </w:r>
      <w:r>
        <w:rPr>
          <w:rFonts w:hint="default"/>
        </w:rPr>
        <w:instrText xml:space="preserve">PageRef _Toc162263666 \h </w:instrText>
      </w:r>
      <w:r>
        <w:rPr>
          <w:rFonts w:hint="eastAsia"/>
        </w:rPr>
        <w:fldChar w:fldCharType="separate"/>
      </w:r>
      <w:r>
        <w:rPr>
          <w:rFonts w:hint="default"/>
        </w:rPr>
        <w:t>33</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"_Toc162263667"</w:instrText>
      </w:r>
      <w:r>
        <w:rPr>
          <w:rFonts w:hint="eastAsia"/>
        </w:rPr>
        <w:fldChar w:fldCharType="separate"/>
      </w:r>
      <w:r>
        <w:rPr>
          <w:rFonts w:hint="default"/>
        </w:rPr>
        <w:t>１．理解啓発・差別解消の推進</w:t>
      </w:r>
      <w:r>
        <w:rPr>
          <w:rFonts w:hint="default"/>
        </w:rPr>
        <w:tab/>
      </w:r>
      <w:r>
        <w:rPr>
          <w:rFonts w:hint="eastAsia"/>
        </w:rPr>
        <w:fldChar w:fldCharType="end"/>
      </w:r>
      <w:r>
        <w:rPr>
          <w:rFonts w:hint="eastAsia"/>
        </w:rPr>
        <w:fldChar w:fldCharType="begin"/>
      </w:r>
      <w:r>
        <w:rPr>
          <w:rFonts w:hint="default"/>
        </w:rPr>
        <w:instrText xml:space="preserve">PageRef _Toc162263667 \h </w:instrText>
      </w:r>
      <w:r>
        <w:rPr>
          <w:rFonts w:hint="eastAsia"/>
        </w:rPr>
        <w:fldChar w:fldCharType="separate"/>
      </w:r>
      <w:r>
        <w:rPr>
          <w:rFonts w:hint="default"/>
        </w:rPr>
        <w:t>33</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"_Toc162263668"</w:instrText>
      </w:r>
      <w:r>
        <w:rPr>
          <w:rFonts w:hint="eastAsia"/>
        </w:rPr>
        <w:fldChar w:fldCharType="separate"/>
      </w:r>
      <w:r>
        <w:rPr>
          <w:rFonts w:hint="default"/>
        </w:rPr>
        <w:t>２．相談支援の充実・権利擁護の推進</w:t>
      </w:r>
      <w:r>
        <w:rPr>
          <w:rFonts w:hint="default"/>
        </w:rPr>
        <w:tab/>
      </w:r>
      <w:r>
        <w:rPr>
          <w:rFonts w:hint="eastAsia"/>
        </w:rPr>
        <w:fldChar w:fldCharType="end"/>
      </w:r>
      <w:r>
        <w:rPr>
          <w:rFonts w:hint="eastAsia"/>
        </w:rPr>
        <w:fldChar w:fldCharType="begin"/>
      </w:r>
      <w:r>
        <w:rPr>
          <w:rFonts w:hint="default"/>
        </w:rPr>
        <w:instrText xml:space="preserve">PageRef _Toc162263668 \h </w:instrText>
      </w:r>
      <w:r>
        <w:rPr>
          <w:rFonts w:hint="eastAsia"/>
        </w:rPr>
        <w:fldChar w:fldCharType="separate"/>
      </w:r>
      <w:r>
        <w:rPr>
          <w:rFonts w:hint="default"/>
        </w:rPr>
        <w:t>37</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"_Toc162263669"</w:instrText>
      </w:r>
      <w:r>
        <w:rPr>
          <w:rFonts w:hint="eastAsia"/>
        </w:rPr>
        <w:fldChar w:fldCharType="separate"/>
      </w:r>
      <w:r>
        <w:rPr>
          <w:rFonts w:hint="default"/>
        </w:rPr>
        <w:t>３．情報提供・意思疎通支援の充実</w:t>
      </w:r>
      <w:r>
        <w:rPr>
          <w:rFonts w:hint="default"/>
        </w:rPr>
        <w:tab/>
      </w:r>
      <w:r>
        <w:rPr>
          <w:rFonts w:hint="eastAsia"/>
        </w:rPr>
        <w:fldChar w:fldCharType="end"/>
      </w:r>
      <w:r>
        <w:rPr>
          <w:rFonts w:hint="eastAsia"/>
        </w:rPr>
        <w:fldChar w:fldCharType="begin"/>
      </w:r>
      <w:r>
        <w:rPr>
          <w:rFonts w:hint="default"/>
        </w:rPr>
        <w:instrText xml:space="preserve">PageRef _Toc162263669 \h </w:instrText>
      </w:r>
      <w:r>
        <w:rPr>
          <w:rFonts w:hint="eastAsia"/>
        </w:rPr>
        <w:fldChar w:fldCharType="separate"/>
      </w:r>
      <w:r>
        <w:rPr>
          <w:rFonts w:hint="default"/>
        </w:rPr>
        <w:t>43</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"_Toc162263670"</w:instrText>
      </w:r>
      <w:r>
        <w:rPr>
          <w:rFonts w:hint="eastAsia"/>
        </w:rPr>
        <w:fldChar w:fldCharType="separate"/>
      </w:r>
      <w:r>
        <w:rPr>
          <w:rFonts w:hint="default"/>
        </w:rPr>
        <w:t>４．保育・教育等の充実</w:t>
      </w:r>
      <w:r>
        <w:rPr>
          <w:rFonts w:hint="default"/>
        </w:rPr>
        <w:tab/>
      </w:r>
      <w:r>
        <w:rPr>
          <w:rFonts w:hint="eastAsia"/>
        </w:rPr>
        <w:fldChar w:fldCharType="end"/>
      </w:r>
      <w:r>
        <w:rPr>
          <w:rFonts w:hint="eastAsia"/>
        </w:rPr>
        <w:fldChar w:fldCharType="begin"/>
      </w:r>
      <w:r>
        <w:rPr>
          <w:rFonts w:hint="default"/>
        </w:rPr>
        <w:instrText xml:space="preserve">PageRef _Toc162263670 \h </w:instrText>
      </w:r>
      <w:r>
        <w:rPr>
          <w:rFonts w:hint="eastAsia"/>
        </w:rPr>
        <w:fldChar w:fldCharType="separate"/>
      </w:r>
      <w:r>
        <w:rPr>
          <w:rFonts w:hint="default"/>
        </w:rPr>
        <w:t>48</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"_Toc162263671"</w:instrText>
      </w:r>
      <w:r>
        <w:rPr>
          <w:rFonts w:hint="eastAsia"/>
        </w:rPr>
        <w:fldChar w:fldCharType="separate"/>
      </w:r>
      <w:r>
        <w:rPr>
          <w:rFonts w:hint="default"/>
        </w:rPr>
        <w:t>５．防災・防犯対策の充実</w:t>
      </w:r>
      <w:r>
        <w:rPr>
          <w:rFonts w:hint="default"/>
        </w:rPr>
        <w:tab/>
      </w:r>
      <w:r>
        <w:rPr>
          <w:rFonts w:hint="eastAsia"/>
        </w:rPr>
        <w:fldChar w:fldCharType="end"/>
      </w:r>
      <w:r>
        <w:rPr>
          <w:rFonts w:hint="eastAsia"/>
        </w:rPr>
        <w:fldChar w:fldCharType="begin"/>
      </w:r>
      <w:r>
        <w:rPr>
          <w:rFonts w:hint="default"/>
        </w:rPr>
        <w:instrText xml:space="preserve">PageRef _Toc162263671 \h </w:instrText>
      </w:r>
      <w:r>
        <w:rPr>
          <w:rFonts w:hint="eastAsia"/>
        </w:rPr>
        <w:fldChar w:fldCharType="separate"/>
      </w:r>
      <w:r>
        <w:rPr>
          <w:rFonts w:hint="default"/>
        </w:rPr>
        <w:t>52</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"_Toc162263672"</w:instrText>
      </w:r>
      <w:r>
        <w:rPr>
          <w:rFonts w:hint="eastAsia"/>
        </w:rPr>
        <w:fldChar w:fldCharType="separate"/>
      </w:r>
      <w:r>
        <w:rPr>
          <w:rFonts w:hint="default"/>
        </w:rPr>
        <w:t>基本目標２　健やかで自立を支えるまち</w:t>
      </w:r>
      <w:r>
        <w:rPr>
          <w:rFonts w:hint="default"/>
        </w:rPr>
        <w:tab/>
      </w:r>
      <w:r>
        <w:rPr>
          <w:rFonts w:hint="eastAsia"/>
        </w:rPr>
        <w:fldChar w:fldCharType="end"/>
      </w:r>
      <w:r>
        <w:rPr>
          <w:rFonts w:hint="eastAsia"/>
        </w:rPr>
        <w:fldChar w:fldCharType="begin"/>
      </w:r>
      <w:r>
        <w:rPr>
          <w:rFonts w:hint="default"/>
        </w:rPr>
        <w:instrText xml:space="preserve">PageRef _Toc162263672 \h </w:instrText>
      </w:r>
      <w:r>
        <w:rPr>
          <w:rFonts w:hint="eastAsia"/>
        </w:rPr>
        <w:fldChar w:fldCharType="separate"/>
      </w:r>
      <w:r>
        <w:rPr>
          <w:rFonts w:hint="default"/>
        </w:rPr>
        <w:t>55</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"_Toc162263673"</w:instrText>
      </w:r>
      <w:r>
        <w:rPr>
          <w:rFonts w:hint="eastAsia"/>
        </w:rPr>
        <w:fldChar w:fldCharType="separate"/>
      </w:r>
      <w:r>
        <w:rPr>
          <w:rFonts w:hint="default"/>
        </w:rPr>
        <w:t>１．保健・医療の充実</w:t>
      </w:r>
      <w:r>
        <w:rPr>
          <w:rFonts w:hint="default"/>
        </w:rPr>
        <w:tab/>
      </w:r>
      <w:r>
        <w:rPr>
          <w:rFonts w:hint="eastAsia"/>
        </w:rPr>
        <w:fldChar w:fldCharType="end"/>
      </w:r>
      <w:r>
        <w:rPr>
          <w:rFonts w:hint="eastAsia"/>
        </w:rPr>
        <w:fldChar w:fldCharType="begin"/>
      </w:r>
      <w:r>
        <w:rPr>
          <w:rFonts w:hint="default"/>
        </w:rPr>
        <w:instrText xml:space="preserve">PageRef _Toc162263673 \h </w:instrText>
      </w:r>
      <w:r>
        <w:rPr>
          <w:rFonts w:hint="eastAsia"/>
        </w:rPr>
        <w:fldChar w:fldCharType="separate"/>
      </w:r>
      <w:r>
        <w:rPr>
          <w:rFonts w:hint="default"/>
        </w:rPr>
        <w:t>55</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"_Toc162263674"</w:instrText>
      </w:r>
      <w:r>
        <w:rPr>
          <w:rFonts w:hint="eastAsia"/>
        </w:rPr>
        <w:fldChar w:fldCharType="separate"/>
      </w:r>
      <w:r>
        <w:rPr>
          <w:rFonts w:hint="default"/>
        </w:rPr>
        <w:t>２．自立生活支援の充実</w:t>
      </w:r>
      <w:r>
        <w:rPr>
          <w:rFonts w:hint="default"/>
        </w:rPr>
        <w:tab/>
      </w:r>
      <w:r>
        <w:rPr>
          <w:rFonts w:hint="eastAsia"/>
        </w:rPr>
        <w:fldChar w:fldCharType="end"/>
      </w:r>
      <w:r>
        <w:rPr>
          <w:rFonts w:hint="eastAsia"/>
        </w:rPr>
        <w:fldChar w:fldCharType="begin"/>
      </w:r>
      <w:r>
        <w:rPr>
          <w:rFonts w:hint="default"/>
        </w:rPr>
        <w:instrText xml:space="preserve">PageRef _Toc162263674 \h </w:instrText>
      </w:r>
      <w:r>
        <w:rPr>
          <w:rFonts w:hint="eastAsia"/>
        </w:rPr>
        <w:fldChar w:fldCharType="separate"/>
      </w:r>
      <w:r>
        <w:rPr>
          <w:rFonts w:hint="default"/>
        </w:rPr>
        <w:t>62</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"_Toc162263675"</w:instrText>
      </w:r>
      <w:r>
        <w:rPr>
          <w:rFonts w:hint="eastAsia"/>
        </w:rPr>
        <w:fldChar w:fldCharType="separate"/>
      </w:r>
      <w:r>
        <w:rPr>
          <w:rFonts w:hint="default"/>
        </w:rPr>
        <w:t>基本目標３　住み良い環境と生きがいの持てるまち</w:t>
      </w:r>
      <w:r>
        <w:rPr>
          <w:rFonts w:hint="default"/>
        </w:rPr>
        <w:tab/>
      </w:r>
      <w:r>
        <w:rPr>
          <w:rFonts w:hint="eastAsia"/>
        </w:rPr>
        <w:fldChar w:fldCharType="end"/>
      </w:r>
      <w:r>
        <w:rPr>
          <w:rFonts w:hint="eastAsia"/>
        </w:rPr>
        <w:fldChar w:fldCharType="begin"/>
      </w:r>
      <w:r>
        <w:rPr>
          <w:rFonts w:hint="default"/>
        </w:rPr>
        <w:instrText xml:space="preserve">PageRef _Toc162263675 \h </w:instrText>
      </w:r>
      <w:r>
        <w:rPr>
          <w:rFonts w:hint="eastAsia"/>
        </w:rPr>
        <w:fldChar w:fldCharType="separate"/>
      </w:r>
      <w:r>
        <w:rPr>
          <w:rFonts w:hint="default"/>
        </w:rPr>
        <w:t>68</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"_Toc162263676"</w:instrText>
      </w:r>
      <w:r>
        <w:rPr>
          <w:rFonts w:hint="eastAsia"/>
        </w:rPr>
        <w:fldChar w:fldCharType="separate"/>
      </w:r>
      <w:r>
        <w:rPr>
          <w:rFonts w:hint="default"/>
        </w:rPr>
        <w:t>１．生活環境の整備推進</w:t>
      </w:r>
      <w:r>
        <w:rPr>
          <w:rFonts w:hint="default"/>
        </w:rPr>
        <w:tab/>
      </w:r>
      <w:r>
        <w:rPr>
          <w:rFonts w:hint="eastAsia"/>
        </w:rPr>
        <w:fldChar w:fldCharType="end"/>
      </w:r>
      <w:r>
        <w:rPr>
          <w:rFonts w:hint="eastAsia"/>
        </w:rPr>
        <w:fldChar w:fldCharType="begin"/>
      </w:r>
      <w:r>
        <w:rPr>
          <w:rFonts w:hint="default"/>
        </w:rPr>
        <w:instrText xml:space="preserve">PageRef _Toc162263676 \h </w:instrText>
      </w:r>
      <w:r>
        <w:rPr>
          <w:rFonts w:hint="eastAsia"/>
        </w:rPr>
        <w:fldChar w:fldCharType="separate"/>
      </w:r>
      <w:r>
        <w:rPr>
          <w:rFonts w:hint="default"/>
        </w:rPr>
        <w:t>68</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"_Toc162263677"</w:instrText>
      </w:r>
      <w:r>
        <w:rPr>
          <w:rFonts w:hint="eastAsia"/>
        </w:rPr>
        <w:fldChar w:fldCharType="separate"/>
      </w:r>
      <w:r>
        <w:rPr>
          <w:rFonts w:hint="default"/>
        </w:rPr>
        <w:t>２．社会参加・生きがい活動の推進</w:t>
      </w:r>
      <w:r>
        <w:rPr>
          <w:rFonts w:hint="default"/>
        </w:rPr>
        <w:tab/>
      </w:r>
      <w:r>
        <w:rPr>
          <w:rFonts w:hint="eastAsia"/>
        </w:rPr>
        <w:fldChar w:fldCharType="end"/>
      </w:r>
      <w:r>
        <w:rPr>
          <w:rFonts w:hint="eastAsia"/>
        </w:rPr>
        <w:fldChar w:fldCharType="begin"/>
      </w:r>
      <w:r>
        <w:rPr>
          <w:rFonts w:hint="default"/>
        </w:rPr>
        <w:instrText xml:space="preserve">PageRef _Toc162263677 \h </w:instrText>
      </w:r>
      <w:r>
        <w:rPr>
          <w:rFonts w:hint="eastAsia"/>
        </w:rPr>
        <w:fldChar w:fldCharType="separate"/>
      </w:r>
      <w:r>
        <w:rPr>
          <w:rFonts w:hint="default"/>
        </w:rPr>
        <w:t>71</w:t>
      </w:r>
      <w:r>
        <w:rPr>
          <w:rFonts w:hint="eastAsia"/>
        </w:rPr>
        <w:fldChar w:fldCharType="end"/>
      </w:r>
    </w:p>
    <w:p>
      <w:pPr>
        <w:pStyle w:val="30"/>
        <w:spacing w:before="111" w:beforeLines="0" w:beforeAutospacing="0"/>
        <w:rPr>
          <w:rFonts w:hint="default" w:asciiTheme="minorHAnsi" w:hAnsiTheme="minorHAnsi" w:eastAsiaTheme="minorEastAsia"/>
          <w:sz w:val="22"/>
        </w:rPr>
      </w:pPr>
      <w:r>
        <w:rPr>
          <w:rFonts w:hint="eastAsia"/>
        </w:rPr>
        <w:fldChar w:fldCharType="begin"/>
      </w:r>
      <w:r>
        <w:rPr>
          <w:rFonts w:hint="eastAsia"/>
        </w:rPr>
        <w:instrText xml:space="preserve"> HYPERLINK  \l "_Toc162263678"</w:instrText>
      </w:r>
      <w:r>
        <w:rPr>
          <w:rFonts w:hint="eastAsia"/>
        </w:rPr>
        <w:fldChar w:fldCharType="separate"/>
      </w:r>
      <w:r>
        <w:rPr>
          <w:rFonts w:hint="default"/>
        </w:rPr>
        <w:t>第５章　第７期障がい福祉計画</w:t>
      </w:r>
      <w:r>
        <w:rPr>
          <w:rFonts w:hint="default"/>
        </w:rPr>
        <w:tab/>
      </w:r>
      <w:r>
        <w:rPr>
          <w:rFonts w:hint="eastAsia"/>
        </w:rPr>
        <w:fldChar w:fldCharType="end"/>
      </w:r>
      <w:r>
        <w:rPr>
          <w:rFonts w:hint="eastAsia"/>
        </w:rPr>
        <w:fldChar w:fldCharType="begin"/>
      </w:r>
      <w:r>
        <w:rPr>
          <w:rFonts w:hint="default"/>
        </w:rPr>
        <w:instrText xml:space="preserve">PageRef _Toc162263678 \h </w:instrText>
      </w:r>
      <w:r>
        <w:rPr>
          <w:rFonts w:hint="eastAsia"/>
        </w:rPr>
        <w:fldChar w:fldCharType="separate"/>
      </w:r>
      <w:r>
        <w:rPr>
          <w:rFonts w:hint="default"/>
        </w:rPr>
        <w:t>75</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"_Toc162263679"</w:instrText>
      </w:r>
      <w:r>
        <w:rPr>
          <w:rFonts w:hint="eastAsia"/>
        </w:rPr>
        <w:fldChar w:fldCharType="separate"/>
      </w:r>
      <w:r>
        <w:rPr>
          <w:rFonts w:hint="default"/>
        </w:rPr>
        <w:t>１．成果目標</w:t>
      </w:r>
      <w:r>
        <w:rPr>
          <w:rFonts w:hint="default"/>
        </w:rPr>
        <w:tab/>
      </w:r>
      <w:r>
        <w:rPr>
          <w:rFonts w:hint="eastAsia"/>
        </w:rPr>
        <w:fldChar w:fldCharType="end"/>
      </w:r>
      <w:r>
        <w:rPr>
          <w:rFonts w:hint="eastAsia"/>
        </w:rPr>
        <w:fldChar w:fldCharType="begin"/>
      </w:r>
      <w:r>
        <w:rPr>
          <w:rFonts w:hint="default"/>
        </w:rPr>
        <w:instrText xml:space="preserve">PageRef _Toc162263679 \h </w:instrText>
      </w:r>
      <w:r>
        <w:rPr>
          <w:rFonts w:hint="eastAsia"/>
        </w:rPr>
        <w:fldChar w:fldCharType="separate"/>
      </w:r>
      <w:r>
        <w:rPr>
          <w:rFonts w:hint="default"/>
        </w:rPr>
        <w:t>75</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"_Toc162263680"</w:instrText>
      </w:r>
      <w:r>
        <w:rPr>
          <w:rFonts w:hint="eastAsia"/>
        </w:rPr>
        <w:fldChar w:fldCharType="separate"/>
      </w:r>
      <w:r>
        <w:rPr>
          <w:rFonts w:hint="default"/>
        </w:rPr>
        <w:t>２．第７期のサービス別見込量</w:t>
      </w:r>
      <w:r>
        <w:rPr>
          <w:rFonts w:hint="default"/>
        </w:rPr>
        <w:tab/>
      </w:r>
      <w:r>
        <w:rPr>
          <w:rFonts w:hint="eastAsia"/>
        </w:rPr>
        <w:fldChar w:fldCharType="end"/>
      </w:r>
      <w:r>
        <w:rPr>
          <w:rFonts w:hint="eastAsia"/>
        </w:rPr>
        <w:fldChar w:fldCharType="begin"/>
      </w:r>
      <w:r>
        <w:rPr>
          <w:rFonts w:hint="default"/>
        </w:rPr>
        <w:instrText xml:space="preserve">PageRef _Toc162263680 \h </w:instrText>
      </w:r>
      <w:r>
        <w:rPr>
          <w:rFonts w:hint="eastAsia"/>
        </w:rPr>
        <w:fldChar w:fldCharType="separate"/>
      </w:r>
      <w:r>
        <w:rPr>
          <w:rFonts w:hint="default"/>
        </w:rPr>
        <w:t>81</w:t>
      </w:r>
      <w:r>
        <w:rPr>
          <w:rFonts w:hint="eastAsia"/>
        </w:rPr>
        <w:fldChar w:fldCharType="end"/>
      </w:r>
    </w:p>
    <w:p>
      <w:pPr>
        <w:pStyle w:val="30"/>
        <w:spacing w:before="111" w:beforeLines="0" w:beforeAutospacing="0"/>
        <w:rPr>
          <w:rFonts w:hint="default" w:asciiTheme="minorHAnsi" w:hAnsiTheme="minorHAnsi" w:eastAsiaTheme="minorEastAsia"/>
          <w:sz w:val="22"/>
        </w:rPr>
      </w:pPr>
      <w:r>
        <w:rPr>
          <w:rFonts w:hint="eastAsia"/>
        </w:rPr>
        <w:fldChar w:fldCharType="begin"/>
      </w:r>
      <w:r>
        <w:rPr>
          <w:rFonts w:hint="eastAsia"/>
        </w:rPr>
        <w:instrText xml:space="preserve"> HYPERLINK  \l "_Toc162263681"</w:instrText>
      </w:r>
      <w:r>
        <w:rPr>
          <w:rFonts w:hint="eastAsia"/>
        </w:rPr>
        <w:fldChar w:fldCharType="separate"/>
      </w:r>
      <w:r>
        <w:rPr>
          <w:rFonts w:hint="default"/>
        </w:rPr>
        <w:t>第６章　第３期障がい児福祉計画</w:t>
      </w:r>
      <w:r>
        <w:rPr>
          <w:rFonts w:hint="default"/>
        </w:rPr>
        <w:tab/>
      </w:r>
      <w:r>
        <w:rPr>
          <w:rFonts w:hint="eastAsia"/>
        </w:rPr>
        <w:fldChar w:fldCharType="end"/>
      </w:r>
      <w:r>
        <w:rPr>
          <w:rFonts w:hint="eastAsia"/>
        </w:rPr>
        <w:fldChar w:fldCharType="begin"/>
      </w:r>
      <w:r>
        <w:rPr>
          <w:rFonts w:hint="default"/>
        </w:rPr>
        <w:instrText xml:space="preserve">PageRef _Toc162263681 \h </w:instrText>
      </w:r>
      <w:r>
        <w:rPr>
          <w:rFonts w:hint="eastAsia"/>
        </w:rPr>
        <w:fldChar w:fldCharType="separate"/>
      </w:r>
      <w:r>
        <w:rPr>
          <w:rFonts w:hint="default"/>
        </w:rPr>
        <w:t>105</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"_Toc162263682"</w:instrText>
      </w:r>
      <w:r>
        <w:rPr>
          <w:rFonts w:hint="eastAsia"/>
        </w:rPr>
        <w:fldChar w:fldCharType="separate"/>
      </w:r>
      <w:r>
        <w:rPr>
          <w:rFonts w:hint="default"/>
        </w:rPr>
        <w:t>１．成果目標</w:t>
      </w:r>
      <w:r>
        <w:rPr>
          <w:rFonts w:hint="default"/>
        </w:rPr>
        <w:tab/>
      </w:r>
      <w:r>
        <w:rPr>
          <w:rFonts w:hint="eastAsia"/>
        </w:rPr>
        <w:fldChar w:fldCharType="end"/>
      </w:r>
      <w:r>
        <w:rPr>
          <w:rFonts w:hint="eastAsia"/>
        </w:rPr>
        <w:fldChar w:fldCharType="begin"/>
      </w:r>
      <w:r>
        <w:rPr>
          <w:rFonts w:hint="default"/>
        </w:rPr>
        <w:instrText xml:space="preserve">PageRef _Toc162263682 \h </w:instrText>
      </w:r>
      <w:r>
        <w:rPr>
          <w:rFonts w:hint="eastAsia"/>
        </w:rPr>
        <w:fldChar w:fldCharType="separate"/>
      </w:r>
      <w:r>
        <w:rPr>
          <w:rFonts w:hint="default"/>
        </w:rPr>
        <w:t>105</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"_Toc162263683"</w:instrText>
      </w:r>
      <w:r>
        <w:rPr>
          <w:rFonts w:hint="eastAsia"/>
        </w:rPr>
        <w:fldChar w:fldCharType="separate"/>
      </w:r>
      <w:r>
        <w:rPr>
          <w:rFonts w:hint="default"/>
        </w:rPr>
        <w:t>２．第３期のサービス別見込量</w:t>
      </w:r>
      <w:r>
        <w:rPr>
          <w:rFonts w:hint="default"/>
        </w:rPr>
        <w:tab/>
      </w:r>
      <w:r>
        <w:rPr>
          <w:rFonts w:hint="eastAsia"/>
        </w:rPr>
        <w:fldChar w:fldCharType="end"/>
      </w:r>
      <w:r>
        <w:rPr>
          <w:rFonts w:hint="eastAsia"/>
        </w:rPr>
        <w:fldChar w:fldCharType="begin"/>
      </w:r>
      <w:r>
        <w:rPr>
          <w:rFonts w:hint="default"/>
        </w:rPr>
        <w:instrText xml:space="preserve">PageRef _Toc162263683 \h </w:instrText>
      </w:r>
      <w:r>
        <w:rPr>
          <w:rFonts w:hint="eastAsia"/>
        </w:rPr>
        <w:fldChar w:fldCharType="separate"/>
      </w:r>
      <w:r>
        <w:rPr>
          <w:rFonts w:hint="default"/>
        </w:rPr>
        <w:t>107</w:t>
      </w:r>
      <w:r>
        <w:rPr>
          <w:rFonts w:hint="eastAsia"/>
        </w:rPr>
        <w:fldChar w:fldCharType="end"/>
      </w:r>
    </w:p>
    <w:p>
      <w:pPr>
        <w:pStyle w:val="30"/>
        <w:spacing w:before="111" w:beforeLines="0" w:beforeAutospacing="0"/>
        <w:rPr>
          <w:rFonts w:hint="default" w:asciiTheme="minorHAnsi" w:hAnsiTheme="minorHAnsi" w:eastAsiaTheme="minorEastAsia"/>
          <w:sz w:val="22"/>
        </w:rPr>
      </w:pPr>
      <w:r>
        <w:rPr>
          <w:rFonts w:hint="eastAsia"/>
        </w:rPr>
        <w:fldChar w:fldCharType="begin"/>
      </w:r>
      <w:r>
        <w:rPr>
          <w:rFonts w:hint="eastAsia"/>
        </w:rPr>
        <w:instrText xml:space="preserve"> HYPERLINK  \l "_Toc162263684"</w:instrText>
      </w:r>
      <w:r>
        <w:rPr>
          <w:rFonts w:hint="eastAsia"/>
        </w:rPr>
        <w:fldChar w:fldCharType="separate"/>
      </w:r>
      <w:r>
        <w:rPr>
          <w:rFonts w:hint="default"/>
        </w:rPr>
        <w:t>第７章　計画の推進に向けて</w:t>
      </w:r>
      <w:r>
        <w:rPr>
          <w:rFonts w:hint="default"/>
        </w:rPr>
        <w:tab/>
      </w:r>
      <w:r>
        <w:rPr>
          <w:rFonts w:hint="eastAsia"/>
        </w:rPr>
        <w:fldChar w:fldCharType="end"/>
      </w:r>
      <w:r>
        <w:rPr>
          <w:rFonts w:hint="eastAsia"/>
        </w:rPr>
        <w:fldChar w:fldCharType="begin"/>
      </w:r>
      <w:r>
        <w:rPr>
          <w:rFonts w:hint="default"/>
        </w:rPr>
        <w:instrText xml:space="preserve">PageRef _Toc162263684 \h </w:instrText>
      </w:r>
      <w:r>
        <w:rPr>
          <w:rFonts w:hint="eastAsia"/>
        </w:rPr>
        <w:fldChar w:fldCharType="separate"/>
      </w:r>
      <w:r>
        <w:rPr>
          <w:rFonts w:hint="default"/>
        </w:rPr>
        <w:t>111</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"_Toc162263685"</w:instrText>
      </w:r>
      <w:r>
        <w:rPr>
          <w:rFonts w:hint="eastAsia"/>
        </w:rPr>
        <w:fldChar w:fldCharType="separate"/>
      </w:r>
      <w:r>
        <w:rPr>
          <w:rFonts w:hint="default"/>
        </w:rPr>
        <w:t>１．庁内計画推進体制の整備</w:t>
      </w:r>
      <w:r>
        <w:rPr>
          <w:rFonts w:hint="default"/>
        </w:rPr>
        <w:tab/>
      </w:r>
      <w:r>
        <w:rPr>
          <w:rFonts w:hint="eastAsia"/>
        </w:rPr>
        <w:fldChar w:fldCharType="end"/>
      </w:r>
      <w:r>
        <w:rPr>
          <w:rFonts w:hint="eastAsia"/>
        </w:rPr>
        <w:fldChar w:fldCharType="begin"/>
      </w:r>
      <w:r>
        <w:rPr>
          <w:rFonts w:hint="default"/>
        </w:rPr>
        <w:instrText xml:space="preserve">PageRef _Toc162263685 \h </w:instrText>
      </w:r>
      <w:r>
        <w:rPr>
          <w:rFonts w:hint="eastAsia"/>
        </w:rPr>
        <w:fldChar w:fldCharType="separate"/>
      </w:r>
      <w:r>
        <w:rPr>
          <w:rFonts w:hint="default"/>
        </w:rPr>
        <w:t>111</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"_Toc162263686"</w:instrText>
      </w:r>
      <w:r>
        <w:rPr>
          <w:rFonts w:hint="eastAsia"/>
        </w:rPr>
        <w:fldChar w:fldCharType="separate"/>
      </w:r>
      <w:r>
        <w:rPr>
          <w:rFonts w:hint="default"/>
        </w:rPr>
        <w:t>２．地域及び関係機関等との連携</w:t>
      </w:r>
      <w:r>
        <w:rPr>
          <w:rFonts w:hint="default"/>
        </w:rPr>
        <w:tab/>
      </w:r>
      <w:r>
        <w:rPr>
          <w:rFonts w:hint="eastAsia"/>
        </w:rPr>
        <w:fldChar w:fldCharType="end"/>
      </w:r>
      <w:r>
        <w:rPr>
          <w:rFonts w:hint="eastAsia"/>
        </w:rPr>
        <w:fldChar w:fldCharType="begin"/>
      </w:r>
      <w:r>
        <w:rPr>
          <w:rFonts w:hint="default"/>
        </w:rPr>
        <w:instrText xml:space="preserve">PageRef _Toc162263686 \h </w:instrText>
      </w:r>
      <w:r>
        <w:rPr>
          <w:rFonts w:hint="eastAsia"/>
        </w:rPr>
        <w:fldChar w:fldCharType="separate"/>
      </w:r>
      <w:r>
        <w:rPr>
          <w:rFonts w:hint="default"/>
        </w:rPr>
        <w:t>111</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"_Toc162263687"</w:instrText>
      </w:r>
      <w:r>
        <w:rPr>
          <w:rFonts w:hint="eastAsia"/>
        </w:rPr>
        <w:fldChar w:fldCharType="separate"/>
      </w:r>
      <w:r>
        <w:rPr>
          <w:rFonts w:hint="default"/>
        </w:rPr>
        <w:t>３．人材の確保</w:t>
      </w:r>
      <w:r>
        <w:rPr>
          <w:rFonts w:hint="default"/>
        </w:rPr>
        <w:tab/>
      </w:r>
      <w:r>
        <w:rPr>
          <w:rFonts w:hint="eastAsia"/>
        </w:rPr>
        <w:fldChar w:fldCharType="end"/>
      </w:r>
      <w:r>
        <w:rPr>
          <w:rFonts w:hint="eastAsia"/>
        </w:rPr>
        <w:fldChar w:fldCharType="begin"/>
      </w:r>
      <w:r>
        <w:rPr>
          <w:rFonts w:hint="default"/>
        </w:rPr>
        <w:instrText xml:space="preserve">PageRef _Toc162263687 \h </w:instrText>
      </w:r>
      <w:r>
        <w:rPr>
          <w:rFonts w:hint="eastAsia"/>
        </w:rPr>
        <w:fldChar w:fldCharType="separate"/>
      </w:r>
      <w:r>
        <w:rPr>
          <w:rFonts w:hint="default"/>
        </w:rPr>
        <w:t>111</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"_Toc162263688"</w:instrText>
      </w:r>
      <w:r>
        <w:rPr>
          <w:rFonts w:hint="eastAsia"/>
        </w:rPr>
        <w:fldChar w:fldCharType="separate"/>
      </w:r>
      <w:r>
        <w:rPr>
          <w:rFonts w:hint="default"/>
        </w:rPr>
        <w:t>４．計画の周知</w:t>
      </w:r>
      <w:r>
        <w:rPr>
          <w:rFonts w:hint="default"/>
        </w:rPr>
        <w:tab/>
      </w:r>
      <w:r>
        <w:rPr>
          <w:rFonts w:hint="eastAsia"/>
        </w:rPr>
        <w:fldChar w:fldCharType="end"/>
      </w:r>
      <w:r>
        <w:rPr>
          <w:rFonts w:hint="eastAsia"/>
        </w:rPr>
        <w:fldChar w:fldCharType="begin"/>
      </w:r>
      <w:r>
        <w:rPr>
          <w:rFonts w:hint="default"/>
        </w:rPr>
        <w:instrText xml:space="preserve">PageRef _Toc162263688 \h </w:instrText>
      </w:r>
      <w:r>
        <w:rPr>
          <w:rFonts w:hint="eastAsia"/>
        </w:rPr>
        <w:fldChar w:fldCharType="separate"/>
      </w:r>
      <w:r>
        <w:rPr>
          <w:rFonts w:hint="default"/>
        </w:rPr>
        <w:t>111</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"_Toc162263689"</w:instrText>
      </w:r>
      <w:r>
        <w:rPr>
          <w:rFonts w:hint="eastAsia"/>
        </w:rPr>
        <w:fldChar w:fldCharType="separate"/>
      </w:r>
      <w:r>
        <w:rPr>
          <w:rFonts w:hint="default"/>
        </w:rPr>
        <w:t>５．計画の点検・評価</w:t>
      </w:r>
      <w:r>
        <w:rPr>
          <w:rFonts w:hint="default"/>
        </w:rPr>
        <w:tab/>
      </w:r>
      <w:r>
        <w:rPr>
          <w:rFonts w:hint="eastAsia"/>
        </w:rPr>
        <w:fldChar w:fldCharType="end"/>
      </w:r>
      <w:r>
        <w:rPr>
          <w:rFonts w:hint="eastAsia"/>
        </w:rPr>
        <w:fldChar w:fldCharType="begin"/>
      </w:r>
      <w:r>
        <w:rPr>
          <w:rFonts w:hint="default"/>
        </w:rPr>
        <w:instrText xml:space="preserve">PageRef _Toc162263689 \h </w:instrText>
      </w:r>
      <w:r>
        <w:rPr>
          <w:rFonts w:hint="eastAsia"/>
        </w:rPr>
        <w:fldChar w:fldCharType="separate"/>
      </w:r>
      <w:r>
        <w:rPr>
          <w:rFonts w:hint="default"/>
        </w:rPr>
        <w:t>112</w:t>
      </w:r>
      <w:r>
        <w:rPr>
          <w:rFonts w:hint="eastAsia"/>
        </w:rPr>
        <w:fldChar w:fldCharType="end"/>
      </w:r>
    </w:p>
    <w:p>
      <w:pPr>
        <w:pStyle w:val="37"/>
        <w:rPr>
          <w:rFonts w:hint="default" w:asciiTheme="minorHAnsi" w:hAnsiTheme="minorHAnsi" w:eastAsiaTheme="minorEastAsia"/>
          <w:color w:val="auto"/>
          <w:sz w:val="22"/>
        </w:rPr>
      </w:pPr>
      <w:r>
        <w:rPr>
          <w:rFonts w:hint="eastAsia"/>
        </w:rPr>
        <w:fldChar w:fldCharType="begin"/>
      </w:r>
      <w:r>
        <w:rPr>
          <w:rFonts w:hint="eastAsia"/>
        </w:rPr>
        <w:instrText xml:space="preserve"> HYPERLINK  \l "_Toc162263690"</w:instrText>
      </w:r>
      <w:r>
        <w:rPr>
          <w:rFonts w:hint="eastAsia"/>
        </w:rPr>
        <w:fldChar w:fldCharType="separate"/>
      </w:r>
      <w:r>
        <w:rPr>
          <w:rFonts w:hint="default"/>
        </w:rPr>
        <w:t>目次のスペース用</w:t>
      </w:r>
      <w:r>
        <w:rPr>
          <w:rFonts w:hint="default"/>
        </w:rPr>
        <w:tab/>
      </w:r>
      <w:r>
        <w:rPr>
          <w:rFonts w:hint="eastAsia"/>
        </w:rPr>
        <w:fldChar w:fldCharType="end"/>
      </w:r>
      <w:r>
        <w:rPr>
          <w:rFonts w:hint="eastAsia"/>
        </w:rPr>
        <w:fldChar w:fldCharType="begin"/>
      </w:r>
      <w:r>
        <w:rPr>
          <w:rFonts w:hint="default"/>
        </w:rPr>
        <w:instrText xml:space="preserve">PageRef _Toc162263690 \h </w:instrText>
      </w:r>
      <w:r>
        <w:rPr>
          <w:rFonts w:hint="eastAsia"/>
        </w:rPr>
        <w:fldChar w:fldCharType="separate"/>
      </w:r>
      <w:r>
        <w:rPr>
          <w:rFonts w:hint="default"/>
        </w:rPr>
        <w:t>113</w:t>
      </w:r>
      <w:r>
        <w:rPr>
          <w:rFonts w:hint="eastAsia"/>
        </w:rPr>
        <w:fldChar w:fldCharType="end"/>
      </w:r>
    </w:p>
    <w:p>
      <w:pPr>
        <w:pStyle w:val="30"/>
        <w:spacing w:before="111" w:beforeLines="0" w:beforeAutospacing="0"/>
        <w:rPr>
          <w:rFonts w:hint="default" w:asciiTheme="minorHAnsi" w:hAnsiTheme="minorHAnsi" w:eastAsiaTheme="minorEastAsia"/>
          <w:sz w:val="22"/>
        </w:rPr>
      </w:pPr>
      <w:r>
        <w:rPr>
          <w:rFonts w:hint="eastAsia"/>
        </w:rPr>
        <w:fldChar w:fldCharType="begin"/>
      </w:r>
      <w:r>
        <w:rPr>
          <w:rFonts w:hint="eastAsia"/>
        </w:rPr>
        <w:instrText xml:space="preserve"> HYPERLINK  \l "_Toc162263691"</w:instrText>
      </w:r>
      <w:r>
        <w:rPr>
          <w:rFonts w:hint="eastAsia"/>
        </w:rPr>
        <w:fldChar w:fldCharType="separate"/>
      </w:r>
      <w:r>
        <w:rPr>
          <w:rFonts w:hint="default"/>
        </w:rPr>
        <w:t>資料編</w:t>
      </w:r>
      <w:r>
        <w:rPr>
          <w:rFonts w:hint="default"/>
        </w:rPr>
        <w:tab/>
      </w:r>
      <w:r>
        <w:rPr>
          <w:rFonts w:hint="eastAsia"/>
        </w:rPr>
        <w:fldChar w:fldCharType="end"/>
      </w:r>
      <w:r>
        <w:rPr>
          <w:rFonts w:hint="eastAsia"/>
        </w:rPr>
        <w:fldChar w:fldCharType="begin"/>
      </w:r>
      <w:r>
        <w:rPr>
          <w:rFonts w:hint="default"/>
        </w:rPr>
        <w:instrText xml:space="preserve">PageRef _Toc162263691 \h </w:instrText>
      </w:r>
      <w:r>
        <w:rPr>
          <w:rFonts w:hint="eastAsia"/>
        </w:rPr>
        <w:fldChar w:fldCharType="separate"/>
      </w:r>
      <w:r>
        <w:rPr>
          <w:rFonts w:hint="default"/>
        </w:rPr>
        <w:t>113</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"_Toc162263692"</w:instrText>
      </w:r>
      <w:r>
        <w:rPr>
          <w:rFonts w:hint="eastAsia"/>
        </w:rPr>
        <w:fldChar w:fldCharType="separate"/>
      </w:r>
      <w:r>
        <w:rPr>
          <w:rFonts w:hint="default"/>
        </w:rPr>
        <w:t>■</w:t>
      </w:r>
      <w:r>
        <w:rPr>
          <w:rFonts w:hint="default"/>
        </w:rPr>
        <w:t>主なアンケート調査結果</w:t>
      </w:r>
      <w:r>
        <w:rPr>
          <w:rFonts w:hint="default"/>
        </w:rPr>
        <w:tab/>
      </w:r>
      <w:r>
        <w:rPr>
          <w:rFonts w:hint="eastAsia"/>
        </w:rPr>
        <w:fldChar w:fldCharType="end"/>
      </w:r>
      <w:r>
        <w:rPr>
          <w:rFonts w:hint="eastAsia"/>
        </w:rPr>
        <w:fldChar w:fldCharType="begin"/>
      </w:r>
      <w:r>
        <w:rPr>
          <w:rFonts w:hint="default"/>
        </w:rPr>
        <w:instrText xml:space="preserve">PageRef _Toc162263692 \h </w:instrText>
      </w:r>
      <w:r>
        <w:rPr>
          <w:rFonts w:hint="eastAsia"/>
        </w:rPr>
        <w:fldChar w:fldCharType="separate"/>
      </w:r>
      <w:r>
        <w:rPr>
          <w:rFonts w:hint="default"/>
        </w:rPr>
        <w:t>115</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"_Toc162263693"</w:instrText>
      </w:r>
      <w:r>
        <w:rPr>
          <w:rFonts w:hint="eastAsia"/>
        </w:rPr>
        <w:fldChar w:fldCharType="separate"/>
      </w:r>
      <w:r>
        <w:rPr>
          <w:rFonts w:hint="default"/>
        </w:rPr>
        <w:t>■</w:t>
      </w:r>
      <w:r>
        <w:rPr>
          <w:rFonts w:hint="default"/>
        </w:rPr>
        <w:t>南風原町障がい者計画策定委員会設置条例</w:t>
      </w:r>
      <w:r>
        <w:rPr>
          <w:rFonts w:hint="default"/>
        </w:rPr>
        <w:tab/>
      </w:r>
      <w:r>
        <w:rPr>
          <w:rFonts w:hint="eastAsia"/>
        </w:rPr>
        <w:fldChar w:fldCharType="end"/>
      </w:r>
      <w:r>
        <w:rPr>
          <w:rFonts w:hint="eastAsia"/>
        </w:rPr>
        <w:fldChar w:fldCharType="begin"/>
      </w:r>
      <w:r>
        <w:rPr>
          <w:rFonts w:hint="default"/>
        </w:rPr>
        <w:instrText xml:space="preserve">PageRef _Toc162263693 \h </w:instrText>
      </w:r>
      <w:r>
        <w:rPr>
          <w:rFonts w:hint="eastAsia"/>
        </w:rPr>
        <w:fldChar w:fldCharType="separate"/>
      </w:r>
      <w:r>
        <w:rPr>
          <w:rFonts w:hint="default"/>
        </w:rPr>
        <w:t>143</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"_Toc162263694"</w:instrText>
      </w:r>
      <w:r>
        <w:rPr>
          <w:rFonts w:hint="eastAsia"/>
        </w:rPr>
        <w:fldChar w:fldCharType="separate"/>
      </w:r>
      <w:r>
        <w:rPr>
          <w:rFonts w:hint="default"/>
        </w:rPr>
        <w:t>■</w:t>
      </w:r>
      <w:r>
        <w:rPr>
          <w:rFonts w:hint="default"/>
        </w:rPr>
        <w:t>南風原町障がい者計画策定委員会委員名簿</w:t>
      </w:r>
      <w:r>
        <w:rPr>
          <w:rFonts w:hint="default"/>
        </w:rPr>
        <w:tab/>
      </w:r>
      <w:r>
        <w:rPr>
          <w:rFonts w:hint="eastAsia"/>
        </w:rPr>
        <w:fldChar w:fldCharType="end"/>
      </w:r>
      <w:r>
        <w:rPr>
          <w:rFonts w:hint="eastAsia"/>
        </w:rPr>
        <w:fldChar w:fldCharType="begin"/>
      </w:r>
      <w:r>
        <w:rPr>
          <w:rFonts w:hint="default"/>
        </w:rPr>
        <w:instrText xml:space="preserve">PageRef _Toc162263694 \h </w:instrText>
      </w:r>
      <w:r>
        <w:rPr>
          <w:rFonts w:hint="eastAsia"/>
        </w:rPr>
        <w:fldChar w:fldCharType="separate"/>
      </w:r>
      <w:r>
        <w:rPr>
          <w:rFonts w:hint="default"/>
        </w:rPr>
        <w:t>144</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"_Toc162263695"</w:instrText>
      </w:r>
      <w:r>
        <w:rPr>
          <w:rFonts w:hint="eastAsia"/>
        </w:rPr>
        <w:fldChar w:fldCharType="separate"/>
      </w:r>
      <w:r>
        <w:rPr>
          <w:rFonts w:hint="default"/>
        </w:rPr>
        <w:t>■</w:t>
      </w:r>
      <w:r>
        <w:rPr>
          <w:rFonts w:hint="default"/>
          <w:spacing w:val="-10"/>
          <w:w w:val="76"/>
        </w:rPr>
        <w:t>第６次南風原町障がい者計画・南風原町第７期障がい福祉計画及び南風原町第３期障がい児福祉計画の策定について（諮問）</w:t>
      </w:r>
      <w:r>
        <w:rPr>
          <w:rFonts w:hint="default"/>
        </w:rPr>
        <w:tab/>
      </w:r>
      <w:r>
        <w:rPr>
          <w:rFonts w:hint="eastAsia"/>
        </w:rPr>
        <w:fldChar w:fldCharType="end"/>
      </w:r>
      <w:r>
        <w:rPr>
          <w:rFonts w:hint="eastAsia"/>
        </w:rPr>
        <w:fldChar w:fldCharType="begin"/>
      </w:r>
      <w:r>
        <w:rPr>
          <w:rFonts w:hint="default"/>
        </w:rPr>
        <w:instrText xml:space="preserve">PageRef _Toc162263695 \h </w:instrText>
      </w:r>
      <w:r>
        <w:rPr>
          <w:rFonts w:hint="eastAsia"/>
        </w:rPr>
        <w:fldChar w:fldCharType="separate"/>
      </w:r>
      <w:r>
        <w:rPr>
          <w:rFonts w:hint="default"/>
        </w:rPr>
        <w:t>145</w:t>
      </w:r>
      <w:r>
        <w:rPr>
          <w:rFonts w:hint="eastAsia"/>
        </w:rPr>
        <w:fldChar w:fldCharType="end"/>
      </w:r>
    </w:p>
    <w:p>
      <w:pPr>
        <w:pStyle w:val="31"/>
        <w:spacing w:before="55" w:beforeLines="0" w:beforeAutospacing="0"/>
        <w:ind w:left="224"/>
        <w:rPr>
          <w:rFonts w:hint="default" w:asciiTheme="minorHAnsi" w:hAnsiTheme="minorHAnsi" w:eastAsiaTheme="minorEastAsia"/>
        </w:rPr>
      </w:pPr>
      <w:r>
        <w:rPr>
          <w:rFonts w:hint="eastAsia"/>
        </w:rPr>
        <w:fldChar w:fldCharType="begin"/>
      </w:r>
      <w:r>
        <w:rPr>
          <w:rFonts w:hint="eastAsia"/>
        </w:rPr>
        <w:instrText xml:space="preserve"> HYPERLINK  \l "_Toc162263696"</w:instrText>
      </w:r>
      <w:r>
        <w:rPr>
          <w:rFonts w:hint="eastAsia"/>
        </w:rPr>
        <w:fldChar w:fldCharType="separate"/>
      </w:r>
      <w:r>
        <w:rPr>
          <w:rFonts w:hint="default"/>
        </w:rPr>
        <w:t>■</w:t>
      </w:r>
      <w:r>
        <w:rPr>
          <w:rFonts w:hint="default"/>
          <w:spacing w:val="-10"/>
          <w:w w:val="76"/>
        </w:rPr>
        <w:t>第６次南風原町障がい者計画・南風原町第７期障がい福祉計画及び南風原町第３期障がい児福祉計画の策定について（答申）</w:t>
      </w:r>
      <w:r>
        <w:rPr>
          <w:rFonts w:hint="default"/>
        </w:rPr>
        <w:tab/>
      </w:r>
      <w:r>
        <w:rPr>
          <w:rFonts w:hint="eastAsia"/>
        </w:rPr>
        <w:fldChar w:fldCharType="end"/>
      </w:r>
      <w:r>
        <w:rPr>
          <w:rFonts w:hint="eastAsia"/>
        </w:rPr>
        <w:fldChar w:fldCharType="begin"/>
      </w:r>
      <w:r>
        <w:rPr>
          <w:rFonts w:hint="default"/>
        </w:rPr>
        <w:instrText xml:space="preserve">PageRef _Toc162263696 \h </w:instrText>
      </w:r>
      <w:r>
        <w:rPr>
          <w:rFonts w:hint="eastAsia"/>
        </w:rPr>
        <w:fldChar w:fldCharType="separate"/>
      </w:r>
      <w:r>
        <w:rPr>
          <w:rFonts w:hint="default"/>
        </w:rPr>
        <w:t>146</w:t>
      </w:r>
      <w:r>
        <w:rPr>
          <w:rFonts w:hint="eastAsia"/>
        </w:rPr>
        <w:fldChar w:fldCharType="end"/>
      </w:r>
    </w:p>
    <w:p>
      <w:pPr>
        <w:pStyle w:val="0"/>
        <w:rPr>
          <w:rFonts w:hint="default" w:ascii="ＭＳ ゴシック" w:hAnsi="ＭＳ ゴシック" w:eastAsia="ＭＳ ゴシック"/>
          <w:sz w:val="24"/>
        </w:rPr>
      </w:pPr>
      <w:r>
        <w:rPr>
          <w:rFonts w:hint="default" w:ascii="Century" w:hAnsi="Century" w:eastAsia="ＭＳ ゴシック"/>
          <w:sz w:val="28"/>
        </w:rPr>
        <w:fldChar w:fldCharType="end"/>
      </w: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r>
        <w:rPr>
          <w:rFonts w:hint="default"/>
          <w:sz w:val="20"/>
        </w:rPr>
        <mc:AlternateContent>
          <mc:Choice Requires="wps">
            <w:drawing>
              <wp:anchor distT="0" distB="0" distL="114300" distR="114300" simplePos="0" relativeHeight="8" behindDoc="0" locked="1" layoutInCell="1" hidden="0" allowOverlap="1">
                <wp:simplePos x="0" y="0"/>
                <wp:positionH relativeFrom="column">
                  <wp:posOffset>1718310</wp:posOffset>
                </wp:positionH>
                <wp:positionV relativeFrom="page">
                  <wp:posOffset>8896350</wp:posOffset>
                </wp:positionV>
                <wp:extent cx="2723515" cy="1533525"/>
                <wp:effectExtent l="635" t="635" r="29845" b="10795"/>
                <wp:wrapNone/>
                <wp:docPr id="1034" name="正方形/長方形 49"/>
                <a:graphic xmlns:a="http://schemas.openxmlformats.org/drawingml/2006/main">
                  <a:graphicData uri="http://schemas.microsoft.com/office/word/2010/wordprocessingShape">
                    <wps:wsp>
                      <wps:cNvPr id="1034" name="正方形/長方形 49"/>
                      <wps:cNvSpPr/>
                      <wps:spPr>
                        <a:xfrm>
                          <a:off x="0" y="0"/>
                          <a:ext cx="2723515" cy="1533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9" style="mso-wrap-distance-right:9pt;mso-wrap-distance-bottom:0pt;margin-top:700.5pt;mso-position-vertical-relative:page;mso-position-horizontal-relative:text;position:absolute;height:120.75pt;mso-wrap-distance-top:0pt;width:214.45pt;mso-wrap-distance-left:9pt;margin-left:135.30000000000001pt;z-index:8;" o:spid="_x0000_s1034"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page"/>
                <w10:anchorlock/>
              </v:rect>
            </w:pict>
          </mc:Fallback>
        </mc:AlternateContent>
      </w: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rPr>
          <w:rFonts w:hint="default"/>
        </w:rPr>
      </w:pPr>
    </w:p>
    <w:p>
      <w:pPr>
        <w:rPr>
          <w:rFonts w:hint="default" w:ascii="ＭＳ ゴシック" w:hAnsi="ＭＳ ゴシック" w:eastAsia="ＭＳ ゴシック"/>
          <w:sz w:val="24"/>
        </w:rPr>
        <w:sectPr>
          <w:footerReference r:id="rId5" w:type="default"/>
          <w:pgSz w:w="11906" w:h="16838"/>
          <w:pgMar w:top="1134" w:right="1134" w:bottom="1418" w:left="1134" w:header="567" w:footer="227" w:gutter="0"/>
          <w:cols w:space="720"/>
          <w:textDirection w:val="lrTb"/>
          <w:docGrid w:type="linesAndChars" w:linePitch="370" w:charSpace="847"/>
        </w:sectPr>
      </w:pPr>
    </w:p>
    <w:p>
      <w:pPr>
        <w:pStyle w:val="22"/>
        <w:spacing w:after="296" w:afterLines="0" w:afterAutospacing="0"/>
        <w:rPr>
          <w:rFonts w:hint="default"/>
        </w:rPr>
      </w:pPr>
      <w:bookmarkStart w:id="1" w:name="_Toc162263651"/>
      <w:bookmarkStart w:id="2" w:name="_Toc322503965"/>
      <w:bookmarkStart w:id="3" w:name="_Toc505592274"/>
      <w:r>
        <w:rPr>
          <w:rFonts w:hint="eastAsia"/>
        </w:rPr>
        <w:t>第１章　計画の策定にあたって</w:t>
      </w:r>
      <w:bookmarkEnd w:id="1"/>
      <w:bookmarkEnd w:id="2"/>
      <w:bookmarkEnd w:id="3"/>
    </w:p>
    <w:p>
      <w:pPr>
        <w:pStyle w:val="80"/>
        <w:spacing w:after="92" w:afterLines="0" w:afterAutospacing="0"/>
        <w:rPr>
          <w:rFonts w:hint="default"/>
        </w:rPr>
      </w:pPr>
      <w:bookmarkStart w:id="4" w:name="_Toc162263652"/>
      <w:bookmarkStart w:id="5" w:name="_Toc505592275"/>
      <w:r>
        <w:rPr>
          <w:rFonts w:hint="eastAsia"/>
        </w:rPr>
        <w:t>１．計画策定の背景・趣旨</w:t>
      </w:r>
      <w:bookmarkEnd w:id="4"/>
      <w:bookmarkEnd w:id="5"/>
    </w:p>
    <w:p>
      <w:pPr>
        <w:pStyle w:val="19"/>
        <w:ind w:left="336" w:firstLine="214"/>
        <w:rPr>
          <w:rFonts w:hint="default"/>
        </w:rPr>
      </w:pPr>
      <w:r>
        <w:rPr>
          <w:rFonts w:hint="eastAsia"/>
        </w:rPr>
        <w:t>本町では、令和３年３月に「第５次南風原町障がい者計画」を策定し、｢“ちむぐくるの支えあい”～ともにつくり、ともにあゆむ、自立と社会参加のまち　南風原～｣を基本理念として、障がいの有無に関わらず誰もが共に暮らせる共生社会の実現を目指し、地域での障がい者の暮らしを支援するためのサービスの充実のほか、保健・医療、教育、就労、障がいを理由とする差別の解消など、障がい者に係る施策を総合的に推進してきました。また、同時に、「第６期障がい福祉計画」及び「第２期障がい児福祉計画」を、第５次障がい者計画と一体的に策定しました。</w:t>
      </w:r>
    </w:p>
    <w:p>
      <w:pPr>
        <w:pStyle w:val="19"/>
        <w:ind w:left="336" w:firstLine="214"/>
        <w:rPr>
          <w:rFonts w:hint="default"/>
        </w:rPr>
      </w:pPr>
      <w:r>
        <w:rPr>
          <w:rFonts w:hint="eastAsia"/>
        </w:rPr>
        <w:t>「第６期障がい福祉計画」及び「第２期障がい児福祉計画」では、国の基本指針に基づく成果目標</w:t>
      </w:r>
      <w:r>
        <w:rPr>
          <w:rFonts w:hint="eastAsia"/>
        </w:rPr>
        <w:t>(</w:t>
      </w:r>
      <w:r>
        <w:rPr>
          <w:rFonts w:hint="eastAsia"/>
        </w:rPr>
        <w:t>福祉施設入所者の地域生活への移行、福祉施設から一般就労への移行、児童発達支援センターの設置等の数値目標や実施方法等</w:t>
      </w:r>
      <w:r>
        <w:rPr>
          <w:rFonts w:hint="eastAsia"/>
        </w:rPr>
        <w:t>)</w:t>
      </w:r>
      <w:r>
        <w:rPr>
          <w:rFonts w:hint="eastAsia"/>
        </w:rPr>
        <w:t>を定めるほか、サービス等の見込量の設定と見込量確保のための方策を定め、その達成に向けて取り組んできました。</w:t>
      </w:r>
    </w:p>
    <w:p>
      <w:pPr>
        <w:pStyle w:val="19"/>
        <w:ind w:left="336" w:firstLine="214"/>
        <w:rPr>
          <w:rFonts w:hint="default"/>
        </w:rPr>
      </w:pPr>
      <w:r>
        <w:rPr>
          <w:rFonts w:hint="eastAsia"/>
        </w:rPr>
        <w:t>令和５年度は３つの計画の最終年度となっています。これまでの計画の進捗状況や新たな課題等を整理するとともに、国の基本計画、基本指針及び近年の制度改革を踏まえながら、障がい者が希望する地域生活の実現に向けた取り組みや、障がいのある子や発達が気になる子の健やかな育成に向けた発達支援等の充実等を図るなど、障がい児者に係る施策を総合的かつ計画的に推進するために「第６次南風原町障がい者計画」、「第７期障がい福祉計画」及び「第３障がい児福祉計画」を一体的に策定します。</w:t>
      </w:r>
    </w:p>
    <w:p>
      <w:pPr>
        <w:pStyle w:val="19"/>
        <w:ind w:left="336" w:firstLine="214"/>
        <w:rPr>
          <w:rFonts w:hint="default"/>
        </w:rPr>
      </w:pPr>
    </w:p>
    <w:p>
      <w:pPr>
        <w:pStyle w:val="19"/>
        <w:ind w:left="336" w:firstLine="214"/>
        <w:rPr>
          <w:rFonts w:hint="default"/>
        </w:rPr>
      </w:pPr>
    </w:p>
    <w:p>
      <w:pPr>
        <w:pStyle w:val="80"/>
        <w:spacing w:after="92" w:afterLines="0" w:afterAutospacing="0"/>
        <w:rPr>
          <w:rFonts w:hint="default"/>
        </w:rPr>
      </w:pPr>
      <w:bookmarkStart w:id="6" w:name="_Toc162263653"/>
      <w:bookmarkStart w:id="7" w:name="_Toc505592276"/>
      <w:bookmarkStart w:id="8" w:name="_Toc505592277"/>
      <w:bookmarkStart w:id="9" w:name="_Toc322503969"/>
      <w:r>
        <w:rPr>
          <w:rFonts w:hint="eastAsia"/>
        </w:rPr>
        <w:t>２．計画の対象</w:t>
      </w:r>
      <w:bookmarkEnd w:id="6"/>
      <w:bookmarkEnd w:id="7"/>
    </w:p>
    <w:p>
      <w:pPr>
        <w:pStyle w:val="19"/>
        <w:ind w:left="336" w:firstLine="214"/>
        <w:rPr>
          <w:rFonts w:hint="default"/>
        </w:rPr>
      </w:pPr>
      <w:r>
        <w:rPr>
          <w:rFonts w:hint="eastAsia"/>
        </w:rPr>
        <w:t>計画の対象となるのは身体障がい、知的障がい、精神障がい</w:t>
      </w:r>
      <w:r>
        <w:rPr>
          <w:rFonts w:hint="default"/>
        </w:rPr>
        <w:t>(</w:t>
      </w:r>
      <w:r>
        <w:rPr>
          <w:rFonts w:hint="eastAsia"/>
        </w:rPr>
        <w:t>発達障がいを含む</w:t>
      </w:r>
      <w:r>
        <w:rPr>
          <w:rFonts w:hint="default"/>
        </w:rPr>
        <w:t>)</w:t>
      </w:r>
      <w:r>
        <w:rPr>
          <w:rFonts w:hint="eastAsia"/>
        </w:rPr>
        <w:t>、難病患者その他の心身の機能の障がいがある人であって、障がい及び</w:t>
      </w:r>
      <w:r>
        <w:rPr>
          <w:rFonts w:hint="eastAsia"/>
          <w:vertAlign w:val="superscript"/>
        </w:rPr>
        <w:t>※</w:t>
      </w:r>
      <w:r>
        <w:rPr>
          <w:rFonts w:hint="eastAsia"/>
        </w:rPr>
        <w:t>社会的障壁により継続的に日常生活又は社会生活に相当な制限を受ける状態にある人を対象とします。</w:t>
      </w: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spacing w:line="240" w:lineRule="exact"/>
        <w:ind w:left="336" w:firstLine="214"/>
        <w:rPr>
          <w:rFonts w:hint="default"/>
        </w:rPr>
      </w:pPr>
    </w:p>
    <w:p>
      <w:pPr>
        <w:pStyle w:val="19"/>
        <w:spacing w:line="0" w:lineRule="atLeast"/>
        <w:ind w:left="336" w:firstLine="104"/>
        <w:rPr>
          <w:rFonts w:hint="default"/>
          <w:sz w:val="10"/>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76"/>
              <w:spacing w:before="74" w:beforeLines="0" w:beforeAutospacing="0"/>
              <w:ind w:left="224"/>
              <w:rPr>
                <w:rFonts w:hint="default"/>
                <w:color w:val="auto"/>
              </w:rPr>
            </w:pPr>
            <w:r>
              <w:rPr>
                <w:rFonts w:hint="eastAsia"/>
                <w:color w:val="auto"/>
              </w:rPr>
              <w:t>※</w:t>
            </w:r>
            <w:r>
              <w:rPr>
                <w:rFonts w:hint="eastAsia"/>
                <w:color w:val="auto"/>
              </w:rPr>
              <w:t xml:space="preserve"> </w:t>
            </w:r>
            <w:r>
              <w:rPr>
                <w:rFonts w:hint="eastAsia"/>
                <w:color w:val="auto"/>
              </w:rPr>
              <w:t>社会的障壁</w:t>
            </w:r>
          </w:p>
          <w:p>
            <w:pPr>
              <w:pStyle w:val="75"/>
              <w:ind w:left="448" w:firstLine="204"/>
              <w:rPr>
                <w:rFonts w:hint="default"/>
                <w:color w:val="auto"/>
              </w:rPr>
            </w:pPr>
            <w:r>
              <w:rPr>
                <w:rFonts w:hint="eastAsia"/>
                <w:color w:val="auto"/>
              </w:rPr>
              <w:t>障がいのある人を暮らしにくく、生きにくくする原因となる社会にあるもの全部を指す。</w:t>
            </w:r>
          </w:p>
          <w:p>
            <w:pPr>
              <w:pStyle w:val="75"/>
              <w:ind w:left="448" w:firstLine="204"/>
              <w:rPr>
                <w:rFonts w:hint="default"/>
                <w:color w:val="auto"/>
              </w:rPr>
            </w:pPr>
            <w:r>
              <w:rPr>
                <w:rFonts w:hint="eastAsia"/>
                <w:color w:val="auto"/>
              </w:rPr>
              <w:t>たとえば、ことがら</w:t>
            </w:r>
            <w:r>
              <w:rPr>
                <w:rFonts w:hint="eastAsia"/>
                <w:color w:val="auto"/>
              </w:rPr>
              <w:t>(</w:t>
            </w:r>
            <w:r>
              <w:rPr>
                <w:rFonts w:hint="eastAsia"/>
                <w:color w:val="auto"/>
              </w:rPr>
              <w:t>早口でわかりにくいなど</w:t>
            </w:r>
            <w:r>
              <w:rPr>
                <w:rFonts w:hint="eastAsia"/>
                <w:color w:val="auto"/>
              </w:rPr>
              <w:t>)</w:t>
            </w:r>
            <w:r>
              <w:rPr>
                <w:rFonts w:hint="eastAsia"/>
                <w:color w:val="auto"/>
              </w:rPr>
              <w:t>、物</w:t>
            </w:r>
            <w:r>
              <w:rPr>
                <w:rFonts w:hint="eastAsia"/>
                <w:color w:val="auto"/>
              </w:rPr>
              <w:t>(</w:t>
            </w:r>
            <w:r>
              <w:rPr>
                <w:rFonts w:hint="eastAsia"/>
                <w:color w:val="auto"/>
              </w:rPr>
              <w:t>段差があるなど</w:t>
            </w:r>
            <w:r>
              <w:rPr>
                <w:rFonts w:hint="eastAsia"/>
                <w:color w:val="auto"/>
              </w:rPr>
              <w:t>)</w:t>
            </w:r>
            <w:r>
              <w:rPr>
                <w:rFonts w:hint="eastAsia"/>
                <w:color w:val="auto"/>
              </w:rPr>
              <w:t>、制度</w:t>
            </w:r>
            <w:r>
              <w:rPr>
                <w:rFonts w:hint="eastAsia"/>
                <w:color w:val="auto"/>
              </w:rPr>
              <w:t>(</w:t>
            </w:r>
            <w:r>
              <w:rPr>
                <w:rFonts w:hint="eastAsia"/>
                <w:color w:val="auto"/>
              </w:rPr>
              <w:t>納得していないのに入院させられるなど</w:t>
            </w:r>
            <w:r>
              <w:rPr>
                <w:rFonts w:hint="eastAsia"/>
                <w:color w:val="auto"/>
              </w:rPr>
              <w:t>)</w:t>
            </w:r>
            <w:r>
              <w:rPr>
                <w:rFonts w:hint="eastAsia"/>
                <w:color w:val="auto"/>
              </w:rPr>
              <w:t>、習慣</w:t>
            </w:r>
            <w:r>
              <w:rPr>
                <w:rFonts w:hint="eastAsia"/>
                <w:color w:val="auto"/>
              </w:rPr>
              <w:t>(</w:t>
            </w:r>
            <w:r>
              <w:rPr>
                <w:rFonts w:hint="eastAsia"/>
                <w:color w:val="auto"/>
              </w:rPr>
              <w:t>障がいのある人が子ども扱いされるなど</w:t>
            </w:r>
            <w:r>
              <w:rPr>
                <w:rFonts w:hint="eastAsia"/>
                <w:color w:val="auto"/>
              </w:rPr>
              <w:t>)</w:t>
            </w:r>
            <w:r>
              <w:rPr>
                <w:rFonts w:hint="eastAsia"/>
                <w:color w:val="auto"/>
              </w:rPr>
              <w:t>などがあります。</w:t>
            </w:r>
          </w:p>
        </w:tc>
      </w:tr>
    </w:tbl>
    <w:p>
      <w:pPr>
        <w:pStyle w:val="80"/>
        <w:spacing w:after="92" w:afterLines="0" w:afterAutospacing="0"/>
        <w:rPr>
          <w:rFonts w:hint="default"/>
        </w:rPr>
      </w:pPr>
      <w:bookmarkStart w:id="10" w:name="_Toc162263654"/>
      <w:r>
        <w:rPr>
          <w:rFonts w:hint="eastAsia"/>
        </w:rPr>
        <w:t>３．障がい者計画・障がい福祉計画・障がい児福祉計画の法的根拠等について</w:t>
      </w:r>
      <w:bookmarkEnd w:id="10"/>
    </w:p>
    <w:p>
      <w:pPr>
        <w:pStyle w:val="19"/>
        <w:ind w:left="336" w:firstLine="224"/>
        <w:rPr>
          <w:rFonts w:hint="default" w:ascii="ＭＳ ゴシック" w:hAnsi="ＭＳ ゴシック" w:eastAsia="ＭＳ ゴシック"/>
          <w:sz w:val="22"/>
        </w:rPr>
      </w:pPr>
      <w:r>
        <w:rPr>
          <w:rFonts w:hint="eastAsia" w:ascii="ＭＳ ゴシック" w:hAnsi="ＭＳ ゴシック" w:eastAsia="ＭＳ ゴシック"/>
          <w:sz w:val="22"/>
        </w:rPr>
        <w:t>■障がい者計画</w:t>
      </w:r>
    </w:p>
    <w:tbl>
      <w:tblPr>
        <w:tblStyle w:val="11"/>
        <w:tblW w:w="8924" w:type="dxa"/>
        <w:tblInd w:w="704" w:type="dxa"/>
        <w:tblBorders>
          <w:top w:val="single" w:color="auto" w:sz="4" w:space="0"/>
          <w:left w:val="single" w:color="auto" w:sz="4" w:space="0"/>
          <w:bottom w:val="single" w:color="auto" w:sz="4" w:space="0"/>
          <w:right w:val="single" w:color="auto" w:sz="4" w:space="0"/>
          <w:insideH w:val="dashed" w:color="auto" w:sz="4" w:space="0"/>
          <w:insideV w:val="dashed" w:color="auto" w:sz="4" w:space="0"/>
        </w:tblBorders>
        <w:tblLayout w:type="fixed"/>
        <w:tblLook w:firstRow="1" w:lastRow="0" w:firstColumn="1" w:lastColumn="0" w:noHBand="0" w:noVBand="1" w:val="04A0"/>
      </w:tblPr>
      <w:tblGrid>
        <w:gridCol w:w="1134"/>
        <w:gridCol w:w="7790"/>
      </w:tblGrid>
      <w:tr>
        <w:trPr>
          <w:cantSplit/>
        </w:trPr>
        <w:tc>
          <w:tcPr>
            <w:tcW w:w="1134" w:type="dxa"/>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根拠法令</w:t>
            </w:r>
          </w:p>
        </w:tc>
        <w:tc>
          <w:tcPr>
            <w:tcW w:w="7790" w:type="dxa"/>
            <w:vAlign w:val="top"/>
          </w:tcPr>
          <w:p>
            <w:pPr>
              <w:pStyle w:val="0"/>
              <w:widowControl w:val="1"/>
              <w:jc w:val="left"/>
              <w:rPr>
                <w:rFonts w:hint="default"/>
                <w:sz w:val="21"/>
              </w:rPr>
            </w:pPr>
            <w:r>
              <w:rPr>
                <w:rFonts w:hint="eastAsia"/>
                <w:sz w:val="21"/>
              </w:rPr>
              <w:t>障害者基本法（第</w:t>
            </w:r>
            <w:r>
              <w:rPr>
                <w:rFonts w:hint="eastAsia"/>
                <w:sz w:val="21"/>
              </w:rPr>
              <w:t>11</w:t>
            </w:r>
            <w:r>
              <w:rPr>
                <w:rFonts w:hint="eastAsia"/>
                <w:sz w:val="21"/>
              </w:rPr>
              <w:t>条第</w:t>
            </w:r>
            <w:r>
              <w:rPr>
                <w:rFonts w:hint="eastAsia"/>
                <w:sz w:val="21"/>
              </w:rPr>
              <w:t>3</w:t>
            </w:r>
            <w:r>
              <w:rPr>
                <w:rFonts w:hint="eastAsia"/>
                <w:sz w:val="21"/>
              </w:rPr>
              <w:t>項）</w:t>
            </w:r>
          </w:p>
        </w:tc>
      </w:tr>
      <w:tr>
        <w:trPr>
          <w:cantSplit/>
          <w:trHeight w:val="1551" w:hRule="atLeast"/>
        </w:trPr>
        <w:tc>
          <w:tcPr>
            <w:tcW w:w="1134" w:type="dxa"/>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概要</w:t>
            </w:r>
          </w:p>
        </w:tc>
        <w:tc>
          <w:tcPr>
            <w:tcW w:w="7790" w:type="dxa"/>
            <w:vAlign w:val="top"/>
          </w:tcPr>
          <w:p>
            <w:pPr>
              <w:pStyle w:val="0"/>
              <w:spacing w:before="70" w:beforeLines="20" w:beforeAutospacing="0" w:line="0" w:lineRule="atLeast"/>
              <w:ind w:left="214" w:hanging="214" w:hangingChars="100"/>
              <w:rPr>
                <w:rFonts w:hint="default"/>
                <w:sz w:val="21"/>
              </w:rPr>
            </w:pPr>
            <w:r>
              <w:rPr>
                <w:rFonts w:hint="eastAsia"/>
                <w:sz w:val="21"/>
              </w:rPr>
              <w:t>・障がい者の自立生活及び社会参加の支援等の施策を、総合的かつ計画的に推進するための基本的な計画。</w:t>
            </w:r>
          </w:p>
          <w:p>
            <w:pPr>
              <w:pStyle w:val="0"/>
              <w:spacing w:before="111" w:beforeLines="0" w:beforeAutospacing="0" w:after="105" w:afterLines="30" w:afterAutospacing="0" w:line="0" w:lineRule="atLeast"/>
              <w:ind w:left="214" w:hanging="214" w:hangingChars="100"/>
              <w:rPr>
                <w:rFonts w:hint="default"/>
                <w:sz w:val="21"/>
              </w:rPr>
            </w:pPr>
            <w:r>
              <w:rPr>
                <w:rFonts w:hint="eastAsia"/>
                <w:sz w:val="21"/>
              </w:rPr>
              <w:t>・単にサービスの提供に関するだけの計画ではなく、障がいのある人もない人もともに暮らせる地域づくりのために、多様な分野で障がい者・障がい児に配慮した取り組みを推進する。</w:t>
            </w:r>
          </w:p>
        </w:tc>
      </w:tr>
      <w:tr>
        <w:trPr>
          <w:cantSplit/>
        </w:trPr>
        <w:tc>
          <w:tcPr>
            <w:tcW w:w="1134" w:type="dxa"/>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策定方針</w:t>
            </w:r>
          </w:p>
        </w:tc>
        <w:tc>
          <w:tcPr>
            <w:tcW w:w="7790" w:type="dxa"/>
            <w:vAlign w:val="top"/>
          </w:tcPr>
          <w:p>
            <w:pPr>
              <w:pStyle w:val="0"/>
              <w:widowControl w:val="1"/>
              <w:jc w:val="left"/>
              <w:rPr>
                <w:rFonts w:hint="default"/>
                <w:sz w:val="21"/>
              </w:rPr>
            </w:pPr>
            <w:r>
              <w:rPr>
                <w:rFonts w:hint="eastAsia"/>
                <w:sz w:val="21"/>
              </w:rPr>
              <w:t>国や都道府県の「障害者基本計画」を基本とする。</w:t>
            </w:r>
          </w:p>
        </w:tc>
      </w:tr>
    </w:tbl>
    <w:p>
      <w:pPr>
        <w:pStyle w:val="19"/>
        <w:ind w:left="336" w:firstLine="144"/>
        <w:rPr>
          <w:rFonts w:hint="default"/>
          <w:sz w:val="14"/>
        </w:rPr>
      </w:pPr>
    </w:p>
    <w:p>
      <w:pPr>
        <w:pStyle w:val="19"/>
        <w:ind w:left="336" w:firstLine="224"/>
        <w:rPr>
          <w:rFonts w:hint="default" w:ascii="ＭＳ ゴシック" w:hAnsi="ＭＳ ゴシック" w:eastAsia="ＭＳ ゴシック"/>
          <w:sz w:val="22"/>
        </w:rPr>
      </w:pPr>
      <w:r>
        <w:rPr>
          <w:rFonts w:hint="eastAsia" w:ascii="ＭＳ ゴシック" w:hAnsi="ＭＳ ゴシック" w:eastAsia="ＭＳ ゴシック"/>
          <w:sz w:val="22"/>
        </w:rPr>
        <w:t>■障がい福祉計画</w:t>
      </w:r>
    </w:p>
    <w:tbl>
      <w:tblPr>
        <w:tblStyle w:val="11"/>
        <w:tblW w:w="8924" w:type="dxa"/>
        <w:tblInd w:w="704" w:type="dxa"/>
        <w:tblLayout w:type="fixed"/>
        <w:tblLook w:firstRow="1" w:lastRow="0" w:firstColumn="1" w:lastColumn="0" w:noHBand="0" w:noVBand="1" w:val="04A0"/>
      </w:tblPr>
      <w:tblGrid>
        <w:gridCol w:w="1134"/>
        <w:gridCol w:w="7790"/>
      </w:tblGrid>
      <w:tr>
        <w:trPr/>
        <w:tc>
          <w:tcPr>
            <w:tcW w:w="1134" w:type="dxa"/>
            <w:tcBorders>
              <w:top w:val="single" w:color="auto" w:sz="4" w:space="0"/>
              <w:left w:val="single" w:color="auto" w:sz="4" w:space="0"/>
              <w:bottom w:val="dashed" w:color="auto" w:sz="4" w:space="0"/>
              <w:right w:val="dashed" w:color="auto" w:sz="4" w:space="0"/>
              <w:tl2br w:val="none" w:color="auto" w:sz="0" w:space="0"/>
              <w:tr2bl w:val="none" w:color="auto" w:sz="0" w:space="0"/>
            </w:tcBorders>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根拠法令</w:t>
            </w:r>
          </w:p>
        </w:tc>
        <w:tc>
          <w:tcPr>
            <w:tcW w:w="7790" w:type="dxa"/>
            <w:tcBorders>
              <w:top w:val="single" w:color="auto" w:sz="4" w:space="0"/>
              <w:left w:val="dashed" w:color="auto" w:sz="4" w:space="0"/>
              <w:bottom w:val="dashed" w:color="auto" w:sz="4" w:space="0"/>
              <w:right w:val="single" w:color="auto" w:sz="4" w:space="0"/>
              <w:tl2br w:val="none" w:color="auto" w:sz="0" w:space="0"/>
              <w:tr2bl w:val="none" w:color="auto" w:sz="0" w:space="0"/>
            </w:tcBorders>
            <w:vAlign w:val="top"/>
          </w:tcPr>
          <w:p>
            <w:pPr>
              <w:pStyle w:val="0"/>
              <w:widowControl w:val="1"/>
              <w:jc w:val="left"/>
              <w:rPr>
                <w:rFonts w:hint="default"/>
                <w:sz w:val="21"/>
              </w:rPr>
            </w:pPr>
            <w:r>
              <w:rPr>
                <w:rFonts w:hint="eastAsia"/>
                <w:sz w:val="21"/>
              </w:rPr>
              <w:t>障害者総合支援法（第</w:t>
            </w:r>
            <w:r>
              <w:rPr>
                <w:rFonts w:hint="eastAsia"/>
                <w:sz w:val="21"/>
              </w:rPr>
              <w:t>88</w:t>
            </w:r>
            <w:r>
              <w:rPr>
                <w:rFonts w:hint="eastAsia"/>
                <w:sz w:val="21"/>
              </w:rPr>
              <w:t>条第</w:t>
            </w:r>
            <w:r>
              <w:rPr>
                <w:rFonts w:hint="eastAsia"/>
                <w:sz w:val="21"/>
              </w:rPr>
              <w:t>1</w:t>
            </w:r>
            <w:r>
              <w:rPr>
                <w:rFonts w:hint="eastAsia"/>
                <w:sz w:val="21"/>
              </w:rPr>
              <w:t>項）</w:t>
            </w:r>
          </w:p>
        </w:tc>
      </w:tr>
      <w:tr>
        <w:trPr/>
        <w:tc>
          <w:tcPr>
            <w:tcW w:w="1134" w:type="dxa"/>
            <w:tcBorders>
              <w:top w:val="dashed" w:color="auto" w:sz="4" w:space="0"/>
              <w:left w:val="single" w:color="auto" w:sz="4" w:space="0"/>
              <w:bottom w:val="dashed" w:color="auto" w:sz="4" w:space="0"/>
              <w:right w:val="dashed" w:color="auto" w:sz="4" w:space="0"/>
              <w:tl2br w:val="none" w:color="auto" w:sz="0" w:space="0"/>
              <w:tr2bl w:val="none" w:color="auto" w:sz="0" w:space="0"/>
            </w:tcBorders>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概要</w:t>
            </w:r>
          </w:p>
        </w:tc>
        <w:tc>
          <w:tcPr>
            <w:tcW w:w="7790" w:type="dxa"/>
            <w:tcBorders>
              <w:top w:val="dashed" w:color="auto" w:sz="4" w:space="0"/>
              <w:left w:val="dashed" w:color="auto" w:sz="4" w:space="0"/>
              <w:bottom w:val="dashed" w:color="auto" w:sz="4" w:space="0"/>
              <w:right w:val="single" w:color="auto" w:sz="4" w:space="0"/>
              <w:tl2br w:val="none" w:color="auto" w:sz="0" w:space="0"/>
              <w:tr2bl w:val="none" w:color="auto" w:sz="0" w:space="0"/>
            </w:tcBorders>
            <w:vAlign w:val="top"/>
          </w:tcPr>
          <w:p>
            <w:pPr>
              <w:pStyle w:val="0"/>
              <w:spacing w:line="0" w:lineRule="atLeast"/>
              <w:ind w:left="214" w:hanging="214" w:hangingChars="100"/>
              <w:rPr>
                <w:rFonts w:hint="default"/>
                <w:sz w:val="21"/>
              </w:rPr>
            </w:pPr>
            <w:r>
              <w:rPr>
                <w:rFonts w:hint="eastAsia"/>
                <w:sz w:val="21"/>
              </w:rPr>
              <w:t>・計画期間における成果目標を設定するとともに、目標達成のための方策を定める。</w:t>
            </w:r>
            <w:r>
              <w:rPr>
                <w:rFonts w:hint="eastAsia"/>
                <w:sz w:val="21"/>
              </w:rPr>
              <w:t>(</w:t>
            </w:r>
            <w:r>
              <w:rPr>
                <w:rFonts w:hint="eastAsia"/>
                <w:sz w:val="21"/>
              </w:rPr>
              <w:t>成果目標については</w:t>
            </w:r>
            <w:r>
              <w:rPr>
                <w:rFonts w:hint="eastAsia"/>
                <w:sz w:val="21"/>
              </w:rPr>
              <w:t>6P</w:t>
            </w:r>
            <w:r>
              <w:rPr>
                <w:rFonts w:hint="eastAsia"/>
                <w:sz w:val="21"/>
              </w:rPr>
              <w:t>参照</w:t>
            </w:r>
            <w:r>
              <w:rPr>
                <w:rFonts w:hint="eastAsia"/>
                <w:sz w:val="21"/>
              </w:rPr>
              <w:t>)</w:t>
            </w:r>
          </w:p>
          <w:p>
            <w:pPr>
              <w:pStyle w:val="0"/>
              <w:spacing w:line="0" w:lineRule="atLeast"/>
              <w:ind w:left="214" w:hanging="214" w:hangingChars="100"/>
              <w:rPr>
                <w:rFonts w:hint="default"/>
                <w:sz w:val="21"/>
              </w:rPr>
            </w:pPr>
            <w:r>
              <w:rPr>
                <w:rFonts w:hint="eastAsia"/>
                <w:sz w:val="21"/>
              </w:rPr>
              <w:t>・障害福祉サービス及び地域生活支援事業ごとに、計画期間の各年度における見込量</w:t>
            </w:r>
            <w:r>
              <w:rPr>
                <w:rFonts w:hint="eastAsia"/>
                <w:sz w:val="21"/>
              </w:rPr>
              <w:t>(</w:t>
            </w:r>
            <w:r>
              <w:rPr>
                <w:rFonts w:hint="eastAsia"/>
                <w:sz w:val="21"/>
              </w:rPr>
              <w:t>利用量</w:t>
            </w:r>
            <w:r>
              <w:rPr>
                <w:rFonts w:hint="eastAsia"/>
                <w:sz w:val="21"/>
              </w:rPr>
              <w:t>)</w:t>
            </w:r>
            <w:r>
              <w:rPr>
                <w:rFonts w:hint="eastAsia"/>
                <w:sz w:val="21"/>
              </w:rPr>
              <w:t>を設定するとともに、見込量を確保するための方策を定める。</w:t>
            </w:r>
          </w:p>
        </w:tc>
      </w:tr>
      <w:tr>
        <w:trPr/>
        <w:tc>
          <w:tcPr>
            <w:tcW w:w="1134" w:type="dxa"/>
            <w:tcBorders>
              <w:top w:val="dashed" w:color="auto" w:sz="4" w:space="0"/>
              <w:left w:val="single" w:color="auto" w:sz="4" w:space="0"/>
              <w:bottom w:val="single" w:color="auto" w:sz="4" w:space="0"/>
              <w:right w:val="dashed" w:color="auto" w:sz="4" w:space="0"/>
              <w:tl2br w:val="none" w:color="auto" w:sz="0" w:space="0"/>
              <w:tr2bl w:val="none" w:color="auto" w:sz="0" w:space="0"/>
            </w:tcBorders>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策定指針</w:t>
            </w:r>
          </w:p>
        </w:tc>
        <w:tc>
          <w:tcPr>
            <w:tcW w:w="7790" w:type="dxa"/>
            <w:tcBorders>
              <w:top w:val="dashed" w:color="auto" w:sz="4" w:space="0"/>
              <w:left w:val="dashed" w:color="auto" w:sz="4" w:space="0"/>
              <w:bottom w:val="single" w:color="auto" w:sz="4" w:space="0"/>
              <w:right w:val="single" w:color="auto" w:sz="4" w:space="0"/>
              <w:tl2br w:val="none" w:color="auto" w:sz="0" w:space="0"/>
              <w:tr2bl w:val="none" w:color="auto" w:sz="0" w:space="0"/>
            </w:tcBorders>
            <w:vAlign w:val="top"/>
          </w:tcPr>
          <w:p>
            <w:pPr>
              <w:pStyle w:val="0"/>
              <w:widowControl w:val="1"/>
              <w:jc w:val="left"/>
              <w:rPr>
                <w:rFonts w:hint="default"/>
                <w:sz w:val="21"/>
              </w:rPr>
            </w:pPr>
            <w:r>
              <w:rPr>
                <w:rFonts w:hint="eastAsia"/>
                <w:sz w:val="21"/>
              </w:rPr>
              <w:t>国の「障害福祉計画及び障害児福祉計画に係る基本指針」に基づく。</w:t>
            </w:r>
          </w:p>
        </w:tc>
      </w:tr>
      <w:tr>
        <w:trPr/>
        <w:tc>
          <w:tcPr>
            <w:tcW w:w="1134" w:type="dxa"/>
            <w:tcBorders>
              <w:top w:val="dashed" w:color="auto" w:sz="4" w:space="0"/>
              <w:left w:val="single" w:color="auto" w:sz="4" w:space="0"/>
              <w:bottom w:val="single" w:color="auto" w:sz="4" w:space="0"/>
              <w:right w:val="dashed" w:color="auto" w:sz="4" w:space="0"/>
              <w:tl2br w:val="none" w:color="auto" w:sz="0" w:space="0"/>
              <w:tr2bl w:val="none" w:color="auto" w:sz="0" w:space="0"/>
            </w:tcBorders>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位置づけ</w:t>
            </w:r>
          </w:p>
        </w:tc>
        <w:tc>
          <w:tcPr>
            <w:tcW w:w="7790" w:type="dxa"/>
            <w:tcBorders>
              <w:top w:val="dashed" w:color="auto" w:sz="4" w:space="0"/>
              <w:left w:val="dashed" w:color="auto" w:sz="4" w:space="0"/>
              <w:bottom w:val="single" w:color="auto" w:sz="4" w:space="0"/>
              <w:right w:val="single" w:color="auto" w:sz="4" w:space="0"/>
              <w:tl2br w:val="none" w:color="auto" w:sz="0" w:space="0"/>
              <w:tr2bl w:val="none" w:color="auto" w:sz="0" w:space="0"/>
            </w:tcBorders>
            <w:vAlign w:val="top"/>
          </w:tcPr>
          <w:p>
            <w:pPr>
              <w:pStyle w:val="0"/>
              <w:spacing w:line="0" w:lineRule="atLeast"/>
              <w:rPr>
                <w:rFonts w:hint="default"/>
                <w:sz w:val="21"/>
              </w:rPr>
            </w:pPr>
            <w:r>
              <w:rPr>
                <w:rFonts w:hint="eastAsia"/>
                <w:sz w:val="21"/>
              </w:rPr>
              <w:t>障がい者計画のうち、障がい者に係る成果目標や障害福祉サービス及び地域生活支援事業に関する実施計画。</w:t>
            </w:r>
          </w:p>
        </w:tc>
      </w:tr>
    </w:tbl>
    <w:p>
      <w:pPr>
        <w:pStyle w:val="19"/>
        <w:ind w:left="336" w:firstLine="144"/>
        <w:rPr>
          <w:rFonts w:hint="default"/>
          <w:sz w:val="14"/>
        </w:rPr>
      </w:pPr>
    </w:p>
    <w:p>
      <w:pPr>
        <w:pStyle w:val="19"/>
        <w:ind w:left="336" w:firstLine="224"/>
        <w:rPr>
          <w:rFonts w:hint="default" w:ascii="ＭＳ ゴシック" w:hAnsi="ＭＳ ゴシック" w:eastAsia="ＭＳ ゴシック"/>
          <w:sz w:val="22"/>
        </w:rPr>
      </w:pPr>
      <w:r>
        <w:rPr>
          <w:rFonts w:hint="eastAsia" w:ascii="ＭＳ ゴシック" w:hAnsi="ＭＳ ゴシック" w:eastAsia="ＭＳ ゴシック"/>
          <w:sz w:val="22"/>
        </w:rPr>
        <w:t>■障がい児福祉計画</w:t>
      </w:r>
    </w:p>
    <w:tbl>
      <w:tblPr>
        <w:tblStyle w:val="11"/>
        <w:tblW w:w="8924" w:type="dxa"/>
        <w:tblInd w:w="704" w:type="dxa"/>
        <w:tblBorders>
          <w:top w:val="single" w:color="auto" w:sz="4" w:space="0"/>
          <w:left w:val="single" w:color="auto" w:sz="4" w:space="0"/>
          <w:bottom w:val="single" w:color="auto" w:sz="4" w:space="0"/>
          <w:right w:val="single" w:color="auto" w:sz="4" w:space="0"/>
          <w:insideH w:val="dashed" w:color="auto" w:sz="4" w:space="0"/>
          <w:insideV w:val="dashed" w:color="auto" w:sz="4" w:space="0"/>
        </w:tblBorders>
        <w:tblLayout w:type="fixed"/>
        <w:tblLook w:firstRow="1" w:lastRow="0" w:firstColumn="1" w:lastColumn="0" w:noHBand="0" w:noVBand="1" w:val="04A0"/>
      </w:tblPr>
      <w:tblGrid>
        <w:gridCol w:w="1134"/>
        <w:gridCol w:w="7790"/>
      </w:tblGrid>
      <w:tr>
        <w:trPr/>
        <w:tc>
          <w:tcPr>
            <w:tcW w:w="1134" w:type="dxa"/>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根拠法令</w:t>
            </w:r>
          </w:p>
        </w:tc>
        <w:tc>
          <w:tcPr>
            <w:tcW w:w="7790" w:type="dxa"/>
            <w:vAlign w:val="top"/>
          </w:tcPr>
          <w:p>
            <w:pPr>
              <w:pStyle w:val="0"/>
              <w:widowControl w:val="1"/>
              <w:jc w:val="left"/>
              <w:rPr>
                <w:rFonts w:hint="default"/>
                <w:sz w:val="21"/>
              </w:rPr>
            </w:pPr>
            <w:r>
              <w:rPr>
                <w:rFonts w:hint="eastAsia"/>
                <w:sz w:val="21"/>
              </w:rPr>
              <w:t>児童福祉法（第</w:t>
            </w:r>
            <w:r>
              <w:rPr>
                <w:rFonts w:hint="eastAsia"/>
                <w:sz w:val="21"/>
              </w:rPr>
              <w:t>33</w:t>
            </w:r>
            <w:r>
              <w:rPr>
                <w:rFonts w:hint="eastAsia"/>
                <w:sz w:val="21"/>
              </w:rPr>
              <w:t>条の</w:t>
            </w:r>
            <w:r>
              <w:rPr>
                <w:rFonts w:hint="eastAsia"/>
                <w:sz w:val="21"/>
              </w:rPr>
              <w:t>20</w:t>
            </w:r>
            <w:r>
              <w:rPr>
                <w:rFonts w:hint="eastAsia"/>
                <w:sz w:val="21"/>
              </w:rPr>
              <w:t>第</w:t>
            </w:r>
            <w:r>
              <w:rPr>
                <w:rFonts w:hint="eastAsia"/>
                <w:sz w:val="21"/>
              </w:rPr>
              <w:t>1</w:t>
            </w:r>
            <w:r>
              <w:rPr>
                <w:rFonts w:hint="eastAsia"/>
                <w:sz w:val="21"/>
              </w:rPr>
              <w:t>項）</w:t>
            </w:r>
          </w:p>
        </w:tc>
      </w:tr>
      <w:tr>
        <w:trPr/>
        <w:tc>
          <w:tcPr>
            <w:tcW w:w="1134" w:type="dxa"/>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概要</w:t>
            </w:r>
          </w:p>
        </w:tc>
        <w:tc>
          <w:tcPr>
            <w:tcW w:w="7790" w:type="dxa"/>
            <w:vAlign w:val="top"/>
          </w:tcPr>
          <w:p>
            <w:pPr>
              <w:pStyle w:val="0"/>
              <w:spacing w:line="0" w:lineRule="atLeast"/>
              <w:ind w:left="214" w:hanging="214" w:hangingChars="100"/>
              <w:rPr>
                <w:rFonts w:hint="default"/>
                <w:sz w:val="21"/>
              </w:rPr>
            </w:pPr>
            <w:r>
              <w:rPr>
                <w:rFonts w:hint="eastAsia"/>
                <w:sz w:val="21"/>
              </w:rPr>
              <w:t>・計画期間における成果目標を設定するとともに、目標達成のための方策を定める。</w:t>
            </w:r>
            <w:r>
              <w:rPr>
                <w:rFonts w:hint="eastAsia"/>
                <w:sz w:val="21"/>
              </w:rPr>
              <w:t>(</w:t>
            </w:r>
            <w:r>
              <w:rPr>
                <w:rFonts w:hint="eastAsia"/>
                <w:sz w:val="21"/>
              </w:rPr>
              <w:t>成果目標については</w:t>
            </w:r>
            <w:r>
              <w:rPr>
                <w:rFonts w:hint="eastAsia"/>
                <w:sz w:val="21"/>
              </w:rPr>
              <w:t>6P</w:t>
            </w:r>
            <w:r>
              <w:rPr>
                <w:rFonts w:hint="eastAsia"/>
                <w:sz w:val="21"/>
              </w:rPr>
              <w:t>参照</w:t>
            </w:r>
            <w:r>
              <w:rPr>
                <w:rFonts w:hint="eastAsia"/>
                <w:sz w:val="21"/>
              </w:rPr>
              <w:t>)</w:t>
            </w:r>
          </w:p>
          <w:p>
            <w:pPr>
              <w:pStyle w:val="0"/>
              <w:spacing w:after="70" w:afterLines="20" w:afterAutospacing="0" w:line="0" w:lineRule="atLeast"/>
              <w:ind w:left="214" w:hanging="214" w:hangingChars="100"/>
              <w:rPr>
                <w:rFonts w:hint="default"/>
                <w:sz w:val="21"/>
              </w:rPr>
            </w:pPr>
            <w:r>
              <w:rPr>
                <w:rFonts w:hint="eastAsia"/>
                <w:sz w:val="21"/>
              </w:rPr>
              <w:t>・障害児通所支援や障がい児相談支援等のサービスについて、計画期間の各年度における見込量</w:t>
            </w:r>
            <w:r>
              <w:rPr>
                <w:rFonts w:hint="eastAsia"/>
                <w:sz w:val="21"/>
              </w:rPr>
              <w:t>(</w:t>
            </w:r>
            <w:r>
              <w:rPr>
                <w:rFonts w:hint="eastAsia"/>
                <w:sz w:val="21"/>
              </w:rPr>
              <w:t>利用量</w:t>
            </w:r>
            <w:r>
              <w:rPr>
                <w:rFonts w:hint="eastAsia"/>
                <w:sz w:val="21"/>
              </w:rPr>
              <w:t>)</w:t>
            </w:r>
            <w:r>
              <w:rPr>
                <w:rFonts w:hint="eastAsia"/>
                <w:sz w:val="21"/>
              </w:rPr>
              <w:t>を設定するとともに、見込量を確保するための方策を定める。</w:t>
            </w:r>
          </w:p>
        </w:tc>
      </w:tr>
      <w:tr>
        <w:trPr/>
        <w:tc>
          <w:tcPr>
            <w:tcW w:w="1134" w:type="dxa"/>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策定指針</w:t>
            </w:r>
          </w:p>
        </w:tc>
        <w:tc>
          <w:tcPr>
            <w:tcW w:w="7790" w:type="dxa"/>
            <w:vAlign w:val="top"/>
          </w:tcPr>
          <w:p>
            <w:pPr>
              <w:pStyle w:val="0"/>
              <w:widowControl w:val="1"/>
              <w:jc w:val="left"/>
              <w:rPr>
                <w:rFonts w:hint="default"/>
                <w:sz w:val="21"/>
              </w:rPr>
            </w:pPr>
            <w:r>
              <w:rPr>
                <w:rFonts w:hint="eastAsia"/>
                <w:sz w:val="21"/>
              </w:rPr>
              <w:t>国の「障害福祉計画及び障害児福祉計画に係る基本指針」に基づく。</w:t>
            </w:r>
          </w:p>
        </w:tc>
      </w:tr>
      <w:tr>
        <w:trPr/>
        <w:tc>
          <w:tcPr>
            <w:tcW w:w="1134" w:type="dxa"/>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位置づけ</w:t>
            </w:r>
          </w:p>
        </w:tc>
        <w:tc>
          <w:tcPr>
            <w:tcW w:w="7790" w:type="dxa"/>
            <w:vAlign w:val="top"/>
          </w:tcPr>
          <w:p>
            <w:pPr>
              <w:pStyle w:val="0"/>
              <w:spacing w:line="0" w:lineRule="atLeast"/>
              <w:rPr>
                <w:rFonts w:hint="default"/>
                <w:sz w:val="21"/>
              </w:rPr>
            </w:pPr>
            <w:r>
              <w:rPr>
                <w:rFonts w:hint="eastAsia"/>
                <w:sz w:val="21"/>
              </w:rPr>
              <w:t>障がい者計画のうち、障がい児に係る成果目標や障害児通所支援等のサービスに関する実施計画。</w:t>
            </w:r>
          </w:p>
        </w:tc>
      </w:tr>
    </w:tbl>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0"/>
        <w:widowControl w:val="1"/>
        <w:jc w:val="left"/>
        <w:rPr>
          <w:rFonts w:hint="default"/>
          <w:sz w:val="21"/>
        </w:rPr>
      </w:pPr>
      <w:r>
        <w:rPr>
          <w:rFonts w:hint="default"/>
        </w:rPr>
        <w:br w:type="page"/>
      </w:r>
    </w:p>
    <w:p>
      <w:pPr>
        <w:pStyle w:val="80"/>
        <w:spacing w:after="92" w:afterLines="0" w:afterAutospacing="0"/>
        <w:rPr>
          <w:rFonts w:hint="default"/>
        </w:rPr>
      </w:pPr>
      <w:bookmarkStart w:id="11" w:name="_Toc162263655"/>
      <w:r>
        <w:rPr>
          <w:rFonts w:hint="eastAsia"/>
        </w:rPr>
        <w:t>４．計画の位置づけ</w:t>
      </w:r>
      <w:bookmarkEnd w:id="11"/>
    </w:p>
    <w:p>
      <w:pPr>
        <w:pStyle w:val="0"/>
        <w:spacing w:after="70" w:afterLines="20" w:afterAutospacing="0"/>
        <w:ind w:left="224" w:leftChars="100"/>
        <w:outlineLvl w:val="3"/>
        <w:rPr>
          <w:rFonts w:hint="default" w:ascii="ＭＳ ゴシック" w:hAnsi="ＭＳ ゴシック" w:eastAsia="ＭＳ ゴシック"/>
        </w:rPr>
      </w:pPr>
      <w:r>
        <w:rPr>
          <w:rFonts w:hint="eastAsia" w:ascii="ＭＳ ゴシック" w:hAnsi="ＭＳ ゴシック" w:eastAsia="ＭＳ ゴシック"/>
        </w:rPr>
        <w:t>(</w:t>
      </w:r>
      <w:r>
        <w:rPr>
          <w:rFonts w:hint="default" w:ascii="ＭＳ ゴシック" w:hAnsi="ＭＳ ゴシック" w:eastAsia="ＭＳ ゴシック"/>
        </w:rPr>
        <w:t>１</w:t>
      </w:r>
      <w:r>
        <w:rPr>
          <w:rFonts w:hint="eastAsia" w:ascii="ＭＳ ゴシック" w:hAnsi="ＭＳ ゴシック" w:eastAsia="ＭＳ ゴシック"/>
        </w:rPr>
        <w:t>)</w:t>
      </w:r>
      <w:r>
        <w:rPr>
          <w:rFonts w:hint="eastAsia" w:ascii="ＭＳ ゴシック" w:hAnsi="ＭＳ ゴシック" w:eastAsia="ＭＳ ゴシック"/>
        </w:rPr>
        <w:t>関連する計画との整合</w:t>
      </w:r>
    </w:p>
    <w:p>
      <w:pPr>
        <w:pStyle w:val="0"/>
        <w:ind w:left="662" w:leftChars="200" w:hanging="214" w:hangingChars="100"/>
        <w:rPr>
          <w:rFonts w:hint="default"/>
          <w:sz w:val="21"/>
        </w:rPr>
      </w:pPr>
      <w:r>
        <w:rPr>
          <w:rFonts w:hint="eastAsia"/>
          <w:sz w:val="21"/>
        </w:rPr>
        <w:t>○本計画は、｢第五次南風原町総合計画｣に即するもので、総合計画の個別計画として位置づけられます。</w:t>
      </w:r>
    </w:p>
    <w:p>
      <w:pPr>
        <w:pStyle w:val="0"/>
        <w:ind w:left="662" w:leftChars="200" w:hanging="214" w:hangingChars="100"/>
        <w:rPr>
          <w:rFonts w:hint="default"/>
          <w:sz w:val="21"/>
        </w:rPr>
      </w:pPr>
      <w:r>
        <w:rPr>
          <w:rFonts w:hint="eastAsia"/>
          <w:sz w:val="21"/>
        </w:rPr>
        <w:t>○本計画は、福祉分野の横断的な連携を図るための上位計画である「第三次南風原町地域福祉推進計画」と整合性を図ります。</w:t>
      </w:r>
    </w:p>
    <w:p>
      <w:pPr>
        <w:pStyle w:val="0"/>
        <w:ind w:left="662" w:leftChars="200" w:hanging="214" w:hangingChars="100"/>
        <w:rPr>
          <w:rFonts w:hint="default"/>
          <w:sz w:val="21"/>
        </w:rPr>
      </w:pPr>
      <w:r>
        <w:rPr>
          <w:rFonts w:hint="eastAsia"/>
          <w:sz w:val="21"/>
        </w:rPr>
        <w:t>○本計画は、｢南風原町高齢者保健福祉計画｣、｢南風原町子ども・子育て支援事業計画｣、｢健康はえばる</w:t>
      </w:r>
      <w:r>
        <w:rPr>
          <w:rFonts w:hint="eastAsia"/>
          <w:sz w:val="21"/>
        </w:rPr>
        <w:t>21</w:t>
      </w:r>
      <w:r>
        <w:rPr>
          <w:rFonts w:hint="eastAsia"/>
          <w:sz w:val="21"/>
        </w:rPr>
        <w:t>｣、｢南風原町地域防災計画｣及び関連する他分野の個別計画との整合性を図ります。</w:t>
      </w:r>
    </w:p>
    <w:p>
      <w:pPr>
        <w:pStyle w:val="0"/>
        <w:ind w:left="662" w:leftChars="200" w:hanging="214" w:hangingChars="100"/>
        <w:rPr>
          <w:rFonts w:hint="default"/>
          <w:sz w:val="21"/>
        </w:rPr>
      </w:pPr>
      <w:r>
        <w:rPr>
          <w:rFonts w:hint="eastAsia"/>
          <w:sz w:val="21"/>
        </w:rPr>
        <w:t>○</w:t>
      </w:r>
      <w:r>
        <w:rPr>
          <w:rFonts w:hint="default"/>
          <w:sz w:val="21"/>
        </w:rPr>
        <w:t>本計画は、第</w:t>
      </w:r>
      <w:r>
        <w:rPr>
          <w:rFonts w:hint="eastAsia"/>
          <w:sz w:val="21"/>
        </w:rPr>
        <w:t>５</w:t>
      </w:r>
      <w:r>
        <w:rPr>
          <w:rFonts w:hint="default"/>
          <w:sz w:val="21"/>
        </w:rPr>
        <w:t>次障害者</w:t>
      </w:r>
      <w:r>
        <w:rPr>
          <w:rFonts w:hint="eastAsia"/>
          <w:sz w:val="21"/>
        </w:rPr>
        <w:t>基本</w:t>
      </w:r>
      <w:r>
        <w:rPr>
          <w:rFonts w:hint="default"/>
          <w:sz w:val="21"/>
        </w:rPr>
        <w:t>計画</w:t>
      </w:r>
      <w:r>
        <w:rPr>
          <w:rFonts w:hint="default"/>
          <w:sz w:val="21"/>
        </w:rPr>
        <w:t>(</w:t>
      </w:r>
      <w:r>
        <w:rPr>
          <w:rFonts w:hint="default"/>
          <w:sz w:val="21"/>
        </w:rPr>
        <w:t>国</w:t>
      </w:r>
      <w:r>
        <w:rPr>
          <w:rFonts w:hint="default"/>
          <w:sz w:val="21"/>
        </w:rPr>
        <w:t>)</w:t>
      </w:r>
      <w:r>
        <w:rPr>
          <w:rFonts w:hint="default"/>
          <w:sz w:val="21"/>
        </w:rPr>
        <w:t>や第</w:t>
      </w:r>
      <w:r>
        <w:rPr>
          <w:rFonts w:hint="eastAsia"/>
          <w:sz w:val="21"/>
        </w:rPr>
        <w:t>５</w:t>
      </w:r>
      <w:r>
        <w:rPr>
          <w:rFonts w:hint="default"/>
          <w:sz w:val="21"/>
        </w:rPr>
        <w:t>次沖縄県障害者基本計画を基本とし、第</w:t>
      </w:r>
      <w:r>
        <w:rPr>
          <w:rFonts w:hint="eastAsia"/>
          <w:sz w:val="21"/>
        </w:rPr>
        <w:t>７</w:t>
      </w:r>
      <w:r>
        <w:rPr>
          <w:rFonts w:hint="default"/>
          <w:sz w:val="21"/>
        </w:rPr>
        <w:t>期障害福祉計画等に係る基本指針を踏まえた計画とします。</w:t>
      </w:r>
    </w:p>
    <w:p>
      <w:pPr>
        <w:pStyle w:val="0"/>
        <w:widowControl w:val="1"/>
        <w:jc w:val="left"/>
        <w:rPr>
          <w:rFonts w:hint="default" w:asciiTheme="minorEastAsia" w:hAnsiTheme="minorEastAsia"/>
        </w:rPr>
      </w:pPr>
      <w:r>
        <w:rPr>
          <w:rFonts w:hint="default"/>
        </w:rPr>
        <mc:AlternateContent>
          <mc:Choice Requires="wpg">
            <w:drawing>
              <wp:anchor distT="0" distB="0" distL="114300" distR="114300" simplePos="0" relativeHeight="188" behindDoc="0" locked="0" layoutInCell="1" hidden="0" allowOverlap="1">
                <wp:simplePos x="0" y="0"/>
                <wp:positionH relativeFrom="margin">
                  <wp:align>right</wp:align>
                </wp:positionH>
                <wp:positionV relativeFrom="paragraph">
                  <wp:posOffset>55880</wp:posOffset>
                </wp:positionV>
                <wp:extent cx="2105025" cy="1104265"/>
                <wp:effectExtent l="635" t="635" r="29845" b="10795"/>
                <wp:wrapNone/>
                <wp:docPr id="1035" name="グループ化 262"/>
                <a:graphic xmlns:a="http://schemas.openxmlformats.org/drawingml/2006/main">
                  <a:graphicData uri="http://schemas.microsoft.com/office/word/2010/wordprocessingGroup">
                    <wpg:wgp>
                      <wpg:cNvGrpSpPr/>
                      <wpg:grpSpPr>
                        <a:xfrm>
                          <a:off x="0" y="0"/>
                          <a:ext cx="2105025" cy="1104265"/>
                          <a:chOff x="-57158" y="19050"/>
                          <a:chExt cx="2105313" cy="1104680"/>
                        </a:xfrm>
                      </wpg:grpSpPr>
                      <wpg:grpSp>
                        <wpg:cNvGrpSpPr/>
                        <wpg:grpSpPr>
                          <a:xfrm>
                            <a:off x="314522" y="65837"/>
                            <a:ext cx="1679650" cy="633635"/>
                            <a:chOff x="-32" y="-17499"/>
                            <a:chExt cx="1680239" cy="420370"/>
                          </a:xfrm>
                        </wpg:grpSpPr>
                        <wps:wsp>
                          <wps:cNvPr id="1037" name="Rectangle 42"/>
                          <wps:cNvSpPr>
                            <a:spLocks noChangeArrowheads="1"/>
                          </wps:cNvSpPr>
                          <wps:spPr>
                            <a:xfrm>
                              <a:off x="-32" y="-17499"/>
                              <a:ext cx="1680239" cy="420370"/>
                            </a:xfrm>
                            <a:prstGeom prst="rect">
                              <a:avLst/>
                            </a:prstGeom>
                            <a:solidFill>
                              <a:schemeClr val="bg1"/>
                            </a:solidFill>
                            <a:ln w="9525">
                              <a:solidFill>
                                <a:srgbClr val="000000"/>
                              </a:solidFill>
                              <a:miter lim="800000"/>
                              <a:headEnd/>
                              <a:tailEnd/>
                            </a:ln>
                          </wps:spPr>
                          <wps:bodyPr/>
                        </wps:wsp>
                        <wps:wsp>
                          <wps:cNvPr id="1038" name="Text Box 54"/>
                          <wps:cNvSpPr txBox="1">
                            <a:spLocks noChangeArrowheads="1"/>
                          </wps:cNvSpPr>
                          <wps:spPr>
                            <a:xfrm>
                              <a:off x="85686" y="4534"/>
                              <a:ext cx="1513803" cy="237380"/>
                            </a:xfrm>
                            <a:prstGeom prst="rect">
                              <a:avLst/>
                            </a:prstGeom>
                            <a:solidFill>
                              <a:schemeClr val="bg1"/>
                            </a:solidFill>
                            <a:ln>
                              <a:noFill/>
                            </a:ln>
                          </wps:spPr>
                          <wps:txbx>
                            <w:txbxContent>
                              <w:p>
                                <w:pPr>
                                  <w:pStyle w:val="0"/>
                                  <w:spacing w:line="0" w:lineRule="atLeast"/>
                                  <w:rPr>
                                    <w:rFonts w:hint="default" w:ascii="ＭＳ ゴシック" w:hAnsi="ＭＳ ゴシック" w:eastAsia="ＭＳ ゴシック"/>
                                    <w:w w:val="90"/>
                                    <w:sz w:val="20"/>
                                  </w:rPr>
                                </w:pPr>
                                <w:r>
                                  <w:rPr>
                                    <w:rFonts w:hint="eastAsia" w:ascii="ＭＳ ゴシック" w:hAnsi="ＭＳ ゴシック" w:eastAsia="ＭＳ ゴシック"/>
                                    <w:w w:val="90"/>
                                    <w:sz w:val="20"/>
                                  </w:rPr>
                                  <w:t>第７期障害</w:t>
                                </w:r>
                                <w:r>
                                  <w:rPr>
                                    <w:rFonts w:hint="default" w:ascii="ＭＳ ゴシック" w:hAnsi="ＭＳ ゴシック" w:eastAsia="ＭＳ ゴシック"/>
                                    <w:w w:val="90"/>
                                    <w:sz w:val="20"/>
                                  </w:rPr>
                                  <w:t>福祉計画等に係る基本指針</w:t>
                                </w:r>
                              </w:p>
                            </w:txbxContent>
                          </wps:txbx>
                          <wps:bodyPr rot="0" vertOverflow="overflow" horzOverflow="overflow" wrap="square" lIns="0" tIns="0" rIns="0" bIns="0" anchor="ctr" anchorCtr="0" upright="1"/>
                        </wps:wsp>
                      </wpg:grpSp>
                      <wpg:grpSp>
                        <wpg:cNvGrpSpPr/>
                        <wpg:grpSpPr>
                          <a:xfrm>
                            <a:off x="168200" y="482803"/>
                            <a:ext cx="1729873" cy="420370"/>
                            <a:chOff x="-50" y="0"/>
                            <a:chExt cx="1730479" cy="420370"/>
                          </a:xfrm>
                        </wpg:grpSpPr>
                        <wps:wsp>
                          <wps:cNvPr id="1040" name="Rectangle 42"/>
                          <wps:cNvSpPr>
                            <a:spLocks noChangeArrowheads="1"/>
                          </wps:cNvSpPr>
                          <wps:spPr>
                            <a:xfrm>
                              <a:off x="-50" y="0"/>
                              <a:ext cx="1730479" cy="420370"/>
                            </a:xfrm>
                            <a:prstGeom prst="rect">
                              <a:avLst/>
                            </a:prstGeom>
                            <a:solidFill>
                              <a:schemeClr val="bg1"/>
                            </a:solidFill>
                            <a:ln w="9525">
                              <a:solidFill>
                                <a:srgbClr val="000000"/>
                              </a:solidFill>
                              <a:miter lim="800000"/>
                              <a:headEnd/>
                              <a:tailEnd/>
                            </a:ln>
                          </wps:spPr>
                          <wps:bodyPr/>
                        </wps:wsp>
                        <wps:wsp>
                          <wps:cNvPr id="1041" name="Text Box 54"/>
                          <wps:cNvSpPr txBox="1">
                            <a:spLocks noChangeArrowheads="1"/>
                          </wps:cNvSpPr>
                          <wps:spPr>
                            <a:xfrm>
                              <a:off x="47436" y="57150"/>
                              <a:ext cx="1673940" cy="215900"/>
                            </a:xfrm>
                            <a:prstGeom prst="rect">
                              <a:avLst/>
                            </a:prstGeom>
                            <a:solidFill>
                              <a:schemeClr val="bg1"/>
                            </a:solidFill>
                            <a:ln>
                              <a:noFill/>
                            </a:ln>
                          </wps:spPr>
                          <wps:txbx>
                            <w:txbxContent>
                              <w:p>
                                <w:pPr>
                                  <w:pStyle w:val="0"/>
                                  <w:spacing w:line="0" w:lineRule="atLeast"/>
                                  <w:rPr>
                                    <w:rFonts w:hint="default" w:ascii="ＭＳ ゴシック" w:hAnsi="ＭＳ ゴシック" w:eastAsia="ＭＳ ゴシック"/>
                                    <w:w w:val="90"/>
                                    <w:sz w:val="20"/>
                                  </w:rPr>
                                </w:pPr>
                                <w:r>
                                  <w:rPr>
                                    <w:rFonts w:hint="default" w:ascii="ＭＳ ゴシック" w:hAnsi="ＭＳ ゴシック" w:eastAsia="ＭＳ ゴシック"/>
                                    <w:w w:val="90"/>
                                    <w:sz w:val="20"/>
                                  </w:rPr>
                                  <w:t>第</w:t>
                                </w:r>
                                <w:r>
                                  <w:rPr>
                                    <w:rFonts w:hint="eastAsia" w:ascii="ＭＳ ゴシック" w:hAnsi="ＭＳ ゴシック" w:eastAsia="ＭＳ ゴシック"/>
                                    <w:w w:val="90"/>
                                    <w:sz w:val="20"/>
                                  </w:rPr>
                                  <w:t>５</w:t>
                                </w:r>
                                <w:r>
                                  <w:rPr>
                                    <w:rFonts w:hint="default" w:ascii="ＭＳ ゴシック" w:hAnsi="ＭＳ ゴシック" w:eastAsia="ＭＳ ゴシック"/>
                                    <w:w w:val="90"/>
                                    <w:sz w:val="20"/>
                                  </w:rPr>
                                  <w:t>次</w:t>
                                </w:r>
                                <w:r>
                                  <w:rPr>
                                    <w:rFonts w:hint="eastAsia" w:ascii="ＭＳ ゴシック" w:hAnsi="ＭＳ ゴシック" w:eastAsia="ＭＳ ゴシック"/>
                                    <w:w w:val="90"/>
                                    <w:sz w:val="20"/>
                                  </w:rPr>
                                  <w:t>障害者基本計画</w:t>
                                </w:r>
                                <w:r>
                                  <w:rPr>
                                    <w:rFonts w:hint="default" w:ascii="ＭＳ ゴシック" w:hAnsi="ＭＳ ゴシック" w:eastAsia="ＭＳ ゴシック"/>
                                    <w:w w:val="90"/>
                                    <w:sz w:val="20"/>
                                  </w:rPr>
                                  <w:t>（</w:t>
                                </w:r>
                                <w:r>
                                  <w:rPr>
                                    <w:rFonts w:hint="eastAsia" w:ascii="ＭＳ ゴシック" w:hAnsi="ＭＳ ゴシック" w:eastAsia="ＭＳ ゴシック"/>
                                    <w:w w:val="90"/>
                                    <w:sz w:val="20"/>
                                  </w:rPr>
                                  <w:t>国）</w:t>
                                </w:r>
                              </w:p>
                            </w:txbxContent>
                          </wps:txbx>
                          <wps:bodyPr rot="0" vertOverflow="overflow" horzOverflow="overflow" wrap="square" lIns="0" tIns="0" rIns="0" bIns="0" anchor="ctr" anchorCtr="0" upright="1"/>
                        </wps:wsp>
                      </wpg:grpSp>
                      <wpg:grpSp>
                        <wpg:cNvGrpSpPr/>
                        <wpg:grpSpPr>
                          <a:xfrm>
                            <a:off x="15702" y="768096"/>
                            <a:ext cx="1756188" cy="302779"/>
                            <a:chOff x="-35505" y="0"/>
                            <a:chExt cx="1756188" cy="302779"/>
                          </a:xfrm>
                        </wpg:grpSpPr>
                        <wps:wsp>
                          <wps:cNvPr id="1043" name="Rectangle 42"/>
                          <wps:cNvSpPr>
                            <a:spLocks noChangeArrowheads="1"/>
                          </wps:cNvSpPr>
                          <wps:spPr>
                            <a:xfrm>
                              <a:off x="-35505" y="0"/>
                              <a:ext cx="1756188" cy="302779"/>
                            </a:xfrm>
                            <a:prstGeom prst="rect">
                              <a:avLst/>
                            </a:prstGeom>
                            <a:solidFill>
                              <a:schemeClr val="bg1"/>
                            </a:solidFill>
                            <a:ln w="9525">
                              <a:solidFill>
                                <a:srgbClr val="000000"/>
                              </a:solidFill>
                              <a:miter lim="800000"/>
                              <a:headEnd/>
                              <a:tailEnd/>
                            </a:ln>
                          </wps:spPr>
                          <wps:bodyPr/>
                        </wps:wsp>
                        <wps:wsp>
                          <wps:cNvPr id="1044" name="Text Box 54"/>
                          <wps:cNvSpPr txBox="1">
                            <a:spLocks noChangeArrowheads="1"/>
                          </wps:cNvSpPr>
                          <wps:spPr>
                            <a:xfrm>
                              <a:off x="-6127" y="53957"/>
                              <a:ext cx="1671078" cy="212009"/>
                            </a:xfrm>
                            <a:prstGeom prst="rect">
                              <a:avLst/>
                            </a:prstGeom>
                            <a:solidFill>
                              <a:schemeClr val="bg1"/>
                            </a:solidFill>
                            <a:ln>
                              <a:noFill/>
                            </a:ln>
                          </wps:spPr>
                          <wps:txbx>
                            <w:txbxContent>
                              <w:p>
                                <w:pPr>
                                  <w:pStyle w:val="0"/>
                                  <w:spacing w:line="0" w:lineRule="atLeast"/>
                                  <w:rPr>
                                    <w:rFonts w:hint="default" w:ascii="ＭＳ ゴシック" w:hAnsi="ＭＳ ゴシック" w:eastAsia="ＭＳ ゴシック"/>
                                    <w:w w:val="90"/>
                                    <w:sz w:val="20"/>
                                  </w:rPr>
                                </w:pPr>
                                <w:r>
                                  <w:rPr>
                                    <w:rFonts w:hint="eastAsia" w:ascii="ＭＳ ゴシック" w:hAnsi="ＭＳ ゴシック" w:eastAsia="ＭＳ ゴシック"/>
                                    <w:w w:val="90"/>
                                    <w:sz w:val="20"/>
                                  </w:rPr>
                                  <w:t>第５</w:t>
                                </w:r>
                                <w:r>
                                  <w:rPr>
                                    <w:rFonts w:hint="default" w:ascii="ＭＳ ゴシック" w:hAnsi="ＭＳ ゴシック" w:eastAsia="ＭＳ ゴシック"/>
                                    <w:w w:val="90"/>
                                    <w:sz w:val="20"/>
                                  </w:rPr>
                                  <w:t>次沖縄県障</w:t>
                                </w:r>
                                <w:r>
                                  <w:rPr>
                                    <w:rFonts w:hint="eastAsia" w:ascii="ＭＳ ゴシック" w:hAnsi="ＭＳ ゴシック" w:eastAsia="ＭＳ ゴシック"/>
                                    <w:w w:val="90"/>
                                    <w:sz w:val="20"/>
                                  </w:rPr>
                                  <w:t>害</w:t>
                                </w:r>
                                <w:r>
                                  <w:rPr>
                                    <w:rFonts w:hint="default" w:ascii="ＭＳ ゴシック" w:hAnsi="ＭＳ ゴシック" w:eastAsia="ＭＳ ゴシック"/>
                                    <w:w w:val="90"/>
                                    <w:sz w:val="20"/>
                                  </w:rPr>
                                  <w:t>者基本</w:t>
                                </w:r>
                                <w:r>
                                  <w:rPr>
                                    <w:rFonts w:hint="eastAsia" w:ascii="ＭＳ ゴシック" w:hAnsi="ＭＳ ゴシック" w:eastAsia="ＭＳ ゴシック"/>
                                    <w:w w:val="90"/>
                                    <w:sz w:val="20"/>
                                  </w:rPr>
                                  <w:t>計画</w:t>
                                </w:r>
                              </w:p>
                            </w:txbxContent>
                          </wps:txbx>
                          <wps:bodyPr rot="0" vertOverflow="overflow" horzOverflow="overflow" wrap="square" lIns="0" tIns="0" rIns="0" bIns="0" anchor="ctr" anchorCtr="0" upright="1"/>
                        </wps:wsp>
                      </wpg:grpSp>
                      <wps:wsp>
                        <wps:cNvPr id="1045" name="正方形/長方形 281"/>
                        <wps:cNvSpPr/>
                        <wps:spPr>
                          <a:xfrm>
                            <a:off x="-57158" y="19050"/>
                            <a:ext cx="2105313" cy="110468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262" style="mso-wrap-distance-right:9pt;mso-wrap-distance-bottom:0pt;margin-top:4.4000000000000004pt;mso-position-vertical-relative:text;mso-position-horizontal:right;mso-position-horizontal-relative:margin;position:absolute;height:86.95pt;mso-wrap-distance-top:0pt;width:165.75pt;mso-wrap-distance-left:9pt;z-index:188;" coordsize="2105313,1104680" coordorigin="-57158,19050" o:spid="_x0000_s1035" o:allowincell="t" o:allowoverlap="t">
                <v:group id="グループ化 135110639" style="height:633635;width:1679650;top:65837;left:314522;position:absolute;" coordsize="1680239,420370" coordorigin="-32,-17499" o:spid="_x0000_s1036">
                  <v:rect id="Rectangle 42" style="height:420370;width:1680239;top:-17499;left:-32;position:absolute;" o:spid="_x0000_s1037" filled="t" fillcolor="#ffffff [3212]" stroked="t" strokecolor="#000000" strokeweight="0.75pt" o:spt="1">
                    <v:fill/>
                    <v:stroke miterlimit="8" filltype="solid"/>
                    <v:textbox style="layout-flow:horizontal;"/>
                    <v:imagedata o:title=""/>
                    <w10:wrap type="none" anchorx="margin" anchory="text"/>
                  </v:rect>
                  <v:shapetype id="_x0000_t202" coordsize="21600,21600" o:spt="202" path="m,l,21600r21600,l21600,xe">
                    <v:stroke joinstyle="miter"/>
                    <v:path gradientshapeok="t" o:connecttype="rect"/>
                  </v:shapetype>
                  <v:shape id="Text Box 54" style="height:237380;width:1513803;top:4534;left:85686;v-text-anchor:middle;position:absolute;" o:spid="_x0000_s1038" filled="t" fillcolor="#ffffff [3212]" stroked="f" o:spt="202" type="#_x0000_t202">
                    <v:fill/>
                    <v:textbox style="layout-flow:horizontal;" inset="0mm,0mm,0mm,0mm">
                      <w:txbxContent>
                        <w:p>
                          <w:pPr>
                            <w:pStyle w:val="0"/>
                            <w:spacing w:line="0" w:lineRule="atLeast"/>
                            <w:rPr>
                              <w:rFonts w:hint="default" w:ascii="ＭＳ ゴシック" w:hAnsi="ＭＳ ゴシック" w:eastAsia="ＭＳ ゴシック"/>
                              <w:w w:val="90"/>
                              <w:sz w:val="20"/>
                            </w:rPr>
                          </w:pPr>
                          <w:r>
                            <w:rPr>
                              <w:rFonts w:hint="eastAsia" w:ascii="ＭＳ ゴシック" w:hAnsi="ＭＳ ゴシック" w:eastAsia="ＭＳ ゴシック"/>
                              <w:w w:val="90"/>
                              <w:sz w:val="20"/>
                            </w:rPr>
                            <w:t>第７期障害</w:t>
                          </w:r>
                          <w:r>
                            <w:rPr>
                              <w:rFonts w:hint="default" w:ascii="ＭＳ ゴシック" w:hAnsi="ＭＳ ゴシック" w:eastAsia="ＭＳ ゴシック"/>
                              <w:w w:val="90"/>
                              <w:sz w:val="20"/>
                            </w:rPr>
                            <w:t>福祉計画等に係る基本指針</w:t>
                          </w:r>
                        </w:p>
                      </w:txbxContent>
                    </v:textbox>
                    <v:imagedata o:title=""/>
                    <w10:wrap type="none" anchorx="margin" anchory="text"/>
                  </v:shape>
                  <w10:wrap type="none" anchorx="margin" anchory="text"/>
                </v:group>
                <v:group id="グループ化 665850257" style="height:420370;width:1729873;top:482803;left:168200;position:absolute;" coordsize="1730479,420370" coordorigin="-50,0" o:spid="_x0000_s1039">
                  <v:rect id="Rectangle 42" style="height:420370;width:1730479;top:0;left:-50;position:absolute;" o:spid="_x0000_s1040" filled="t" fillcolor="#ffffff [3212]" stroked="t" strokecolor="#000000" strokeweight="0.75pt" o:spt="1">
                    <v:fill/>
                    <v:stroke miterlimit="8" filltype="solid"/>
                    <v:textbox style="layout-flow:horizontal;"/>
                    <v:imagedata o:title=""/>
                    <w10:wrap type="none" anchorx="margin" anchory="text"/>
                  </v:rect>
                  <v:shape id="Text Box 54" style="height:215900;width:1673940;top:57150;left:47436;v-text-anchor:middle;position:absolute;" o:spid="_x0000_s1041" filled="t" fillcolor="#ffffff [3212]" stroked="f" o:spt="202" type="#_x0000_t202">
                    <v:fill/>
                    <v:textbox style="layout-flow:horizontal;" inset="0mm,0mm,0mm,0mm">
                      <w:txbxContent>
                        <w:p>
                          <w:pPr>
                            <w:pStyle w:val="0"/>
                            <w:spacing w:line="0" w:lineRule="atLeast"/>
                            <w:rPr>
                              <w:rFonts w:hint="default" w:ascii="ＭＳ ゴシック" w:hAnsi="ＭＳ ゴシック" w:eastAsia="ＭＳ ゴシック"/>
                              <w:w w:val="90"/>
                              <w:sz w:val="20"/>
                            </w:rPr>
                          </w:pPr>
                          <w:r>
                            <w:rPr>
                              <w:rFonts w:hint="default" w:ascii="ＭＳ ゴシック" w:hAnsi="ＭＳ ゴシック" w:eastAsia="ＭＳ ゴシック"/>
                              <w:w w:val="90"/>
                              <w:sz w:val="20"/>
                            </w:rPr>
                            <w:t>第</w:t>
                          </w:r>
                          <w:r>
                            <w:rPr>
                              <w:rFonts w:hint="eastAsia" w:ascii="ＭＳ ゴシック" w:hAnsi="ＭＳ ゴシック" w:eastAsia="ＭＳ ゴシック"/>
                              <w:w w:val="90"/>
                              <w:sz w:val="20"/>
                            </w:rPr>
                            <w:t>５</w:t>
                          </w:r>
                          <w:r>
                            <w:rPr>
                              <w:rFonts w:hint="default" w:ascii="ＭＳ ゴシック" w:hAnsi="ＭＳ ゴシック" w:eastAsia="ＭＳ ゴシック"/>
                              <w:w w:val="90"/>
                              <w:sz w:val="20"/>
                            </w:rPr>
                            <w:t>次</w:t>
                          </w:r>
                          <w:r>
                            <w:rPr>
                              <w:rFonts w:hint="eastAsia" w:ascii="ＭＳ ゴシック" w:hAnsi="ＭＳ ゴシック" w:eastAsia="ＭＳ ゴシック"/>
                              <w:w w:val="90"/>
                              <w:sz w:val="20"/>
                            </w:rPr>
                            <w:t>障害者基本計画</w:t>
                          </w:r>
                          <w:r>
                            <w:rPr>
                              <w:rFonts w:hint="default" w:ascii="ＭＳ ゴシック" w:hAnsi="ＭＳ ゴシック" w:eastAsia="ＭＳ ゴシック"/>
                              <w:w w:val="90"/>
                              <w:sz w:val="20"/>
                            </w:rPr>
                            <w:t>（</w:t>
                          </w:r>
                          <w:r>
                            <w:rPr>
                              <w:rFonts w:hint="eastAsia" w:ascii="ＭＳ ゴシック" w:hAnsi="ＭＳ ゴシック" w:eastAsia="ＭＳ ゴシック"/>
                              <w:w w:val="90"/>
                              <w:sz w:val="20"/>
                            </w:rPr>
                            <w:t>国）</w:t>
                          </w:r>
                        </w:p>
                      </w:txbxContent>
                    </v:textbox>
                    <v:imagedata o:title=""/>
                    <w10:wrap type="none" anchorx="margin" anchory="text"/>
                  </v:shape>
                  <w10:wrap type="none" anchorx="margin" anchory="text"/>
                </v:group>
                <v:group id="グループ化 533263177" style="height:302779;width:1756188;top:768096;left:15702;position:absolute;" coordsize="1756188,302779" coordorigin="-35505,0" o:spid="_x0000_s1042">
                  <v:rect id="Rectangle 42" style="height:302779;width:1756188;top:0;left:-35505;position:absolute;" o:spid="_x0000_s1043" filled="t" fillcolor="#ffffff [3212]" stroked="t" strokecolor="#000000" strokeweight="0.75pt" o:spt="1">
                    <v:fill/>
                    <v:stroke miterlimit="8" filltype="solid"/>
                    <v:textbox style="layout-flow:horizontal;"/>
                    <v:imagedata o:title=""/>
                    <w10:wrap type="none" anchorx="margin" anchory="text"/>
                  </v:rect>
                  <v:shape id="Text Box 54" style="height:212009;width:1671078;top:53957;left:-6127;v-text-anchor:middle;position:absolute;" o:spid="_x0000_s1044" filled="t" fillcolor="#ffffff [3212]" stroked="f" o:spt="202" type="#_x0000_t202">
                    <v:fill/>
                    <v:textbox style="layout-flow:horizontal;" inset="0mm,0mm,0mm,0mm">
                      <w:txbxContent>
                        <w:p>
                          <w:pPr>
                            <w:pStyle w:val="0"/>
                            <w:spacing w:line="0" w:lineRule="atLeast"/>
                            <w:rPr>
                              <w:rFonts w:hint="default" w:ascii="ＭＳ ゴシック" w:hAnsi="ＭＳ ゴシック" w:eastAsia="ＭＳ ゴシック"/>
                              <w:w w:val="90"/>
                              <w:sz w:val="20"/>
                            </w:rPr>
                          </w:pPr>
                          <w:r>
                            <w:rPr>
                              <w:rFonts w:hint="eastAsia" w:ascii="ＭＳ ゴシック" w:hAnsi="ＭＳ ゴシック" w:eastAsia="ＭＳ ゴシック"/>
                              <w:w w:val="90"/>
                              <w:sz w:val="20"/>
                            </w:rPr>
                            <w:t>第５</w:t>
                          </w:r>
                          <w:r>
                            <w:rPr>
                              <w:rFonts w:hint="default" w:ascii="ＭＳ ゴシック" w:hAnsi="ＭＳ ゴシック" w:eastAsia="ＭＳ ゴシック"/>
                              <w:w w:val="90"/>
                              <w:sz w:val="20"/>
                            </w:rPr>
                            <w:t>次沖縄県障</w:t>
                          </w:r>
                          <w:r>
                            <w:rPr>
                              <w:rFonts w:hint="eastAsia" w:ascii="ＭＳ ゴシック" w:hAnsi="ＭＳ ゴシック" w:eastAsia="ＭＳ ゴシック"/>
                              <w:w w:val="90"/>
                              <w:sz w:val="20"/>
                            </w:rPr>
                            <w:t>害</w:t>
                          </w:r>
                          <w:r>
                            <w:rPr>
                              <w:rFonts w:hint="default" w:ascii="ＭＳ ゴシック" w:hAnsi="ＭＳ ゴシック" w:eastAsia="ＭＳ ゴシック"/>
                              <w:w w:val="90"/>
                              <w:sz w:val="20"/>
                            </w:rPr>
                            <w:t>者基本</w:t>
                          </w:r>
                          <w:r>
                            <w:rPr>
                              <w:rFonts w:hint="eastAsia" w:ascii="ＭＳ ゴシック" w:hAnsi="ＭＳ ゴシック" w:eastAsia="ＭＳ ゴシック"/>
                              <w:w w:val="90"/>
                              <w:sz w:val="20"/>
                            </w:rPr>
                            <w:t>計画</w:t>
                          </w:r>
                        </w:p>
                      </w:txbxContent>
                    </v:textbox>
                    <v:imagedata o:title=""/>
                    <w10:wrap type="none" anchorx="margin" anchory="text"/>
                  </v:shape>
                  <w10:wrap type="none" anchorx="margin" anchory="text"/>
                </v:group>
                <v:rect id="正方形/長方形 281" style="height:1104680;width:2105313;top:19050;left:-57158;position:absolute;" o:spid="_x0000_s1045" filled="f" stroked="t" strokecolor="#000000 [3213]" strokeweight="1pt" o:spt="1">
                  <v:fill/>
                  <v:stroke linestyle="single" miterlimit="8" endcap="flat" dashstyle="shortdash" filltype="solid"/>
                  <v:textbox style="layout-flow:horizontal;"/>
                  <v:imagedata o:title=""/>
                  <w10:wrap type="none" anchorx="margin" anchory="text"/>
                </v:rect>
                <w10:wrap type="none" anchorx="margin" anchory="text"/>
              </v:group>
            </w:pict>
          </mc:Fallback>
        </mc:AlternateContent>
      </w:r>
    </w:p>
    <w:p>
      <w:pPr>
        <w:pStyle w:val="0"/>
        <w:spacing w:after="78" w:afterLines="0" w:afterAutospacing="0"/>
        <w:rPr>
          <w:rFonts w:hint="default"/>
        </w:rPr>
      </w:pPr>
      <w:r>
        <w:rPr>
          <w:rFonts w:hint="eastAsia"/>
        </w:rPr>
        <mc:AlternateContent>
          <mc:Choice Requires="wps">
            <w:drawing>
              <wp:anchor distT="0" distB="0" distL="114300" distR="114300" simplePos="0" relativeHeight="199" behindDoc="0" locked="0" layoutInCell="1" hidden="0" allowOverlap="1">
                <wp:simplePos x="0" y="0"/>
                <wp:positionH relativeFrom="column">
                  <wp:posOffset>807085</wp:posOffset>
                </wp:positionH>
                <wp:positionV relativeFrom="paragraph">
                  <wp:posOffset>213360</wp:posOffset>
                </wp:positionV>
                <wp:extent cx="2514600" cy="671195"/>
                <wp:effectExtent l="24130" t="24130" r="48895" b="39370"/>
                <wp:wrapNone/>
                <wp:docPr id="1046" name="角丸四角形 76"/>
                <a:graphic xmlns:a="http://schemas.openxmlformats.org/drawingml/2006/main">
                  <a:graphicData uri="http://schemas.microsoft.com/office/word/2010/wordprocessingShape">
                    <wps:wsp>
                      <wps:cNvPr id="1046" name="角丸四角形 76"/>
                      <wps:cNvSpPr>
                        <a:spLocks noChangeArrowheads="1"/>
                      </wps:cNvSpPr>
                      <wps:spPr>
                        <a:xfrm>
                          <a:off x="0" y="0"/>
                          <a:ext cx="2514600" cy="671195"/>
                        </a:xfrm>
                        <a:prstGeom prst="roundRect">
                          <a:avLst>
                            <a:gd name="adj" fmla="val 16667"/>
                          </a:avLst>
                        </a:prstGeom>
                        <a:solidFill>
                          <a:srgbClr val="FFFFFF"/>
                        </a:solidFill>
                        <a:ln w="47625" cmpd="dbl" algn="ctr">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sz w:val="6"/>
                              </w:rPr>
                            </w:pP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第五次南風原町総合計画</w:t>
                            </w:r>
                          </w:p>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（平成</w:t>
                            </w:r>
                            <w:r>
                              <w:rPr>
                                <w:rFonts w:hint="eastAsia" w:ascii="ＭＳ ゴシック" w:hAnsi="ＭＳ ゴシック" w:eastAsia="ＭＳ ゴシック"/>
                              </w:rPr>
                              <w:t>29</w:t>
                            </w:r>
                            <w:r>
                              <w:rPr>
                                <w:rFonts w:hint="eastAsia" w:ascii="ＭＳ ゴシック" w:hAnsi="ＭＳ ゴシック" w:eastAsia="ＭＳ ゴシック"/>
                              </w:rPr>
                              <w:t>年度～</w:t>
                            </w:r>
                            <w:r>
                              <w:rPr>
                                <w:rFonts w:hint="eastAsia" w:ascii="ＭＳ ゴシック" w:hAnsi="ＭＳ ゴシック" w:eastAsia="ＭＳ ゴシック"/>
                                <w:color w:val="000000" w:themeColor="text1"/>
                              </w:rPr>
                              <w:t>令和８年</w:t>
                            </w:r>
                            <w:r>
                              <w:rPr>
                                <w:rFonts w:hint="eastAsia" w:ascii="ＭＳ ゴシック" w:hAnsi="ＭＳ ゴシック" w:eastAsia="ＭＳ ゴシック"/>
                              </w:rPr>
                              <w:t>度）</w:t>
                            </w:r>
                          </w:p>
                        </w:txbxContent>
                      </wps:txbx>
                      <wps:bodyPr rot="0" vertOverflow="overflow" horzOverflow="overflow" wrap="square" lIns="74295" tIns="0" rIns="74295" bIns="8890" anchor="ctr" anchorCtr="0" upright="1"/>
                    </wps:wsp>
                  </a:graphicData>
                </a:graphic>
              </wp:anchor>
            </w:drawing>
          </mc:Choice>
          <mc:Fallback>
            <w:pict>
              <v:roundrect id="角丸四角形 76" style="mso-wrap-distance-right:9pt;mso-wrap-distance-bottom:0pt;margin-top:16.8pt;mso-position-vertical-relative:text;mso-position-horizontal-relative:text;v-text-anchor:middle;position:absolute;height:52.85pt;mso-wrap-distance-top:0pt;width:198pt;mso-wrap-distance-left:9pt;margin-left:63.55pt;z-index:199;" o:spid="_x0000_s1046" o:allowincell="t" o:allowoverlap="t" filled="t" fillcolor="#ffffff" stroked="t" strokecolor="#000000" strokeweight="3.75pt" o:spt="2" arcsize="10923f">
                <v:fill/>
                <v:stroke linestyle="thinThin" filltype="solid"/>
                <v:textbox style="layout-flow:horizontal;" inset="2.0637499999999998mm,0mm,2.0637499999999998mm,0.24694444444444438mm">
                  <w:txbxContent>
                    <w:p>
                      <w:pPr>
                        <w:pStyle w:val="0"/>
                        <w:spacing w:line="0" w:lineRule="atLeast"/>
                        <w:jc w:val="center"/>
                        <w:rPr>
                          <w:rFonts w:hint="default" w:ascii="ＭＳ ゴシック" w:hAnsi="ＭＳ ゴシック" w:eastAsia="ＭＳ ゴシック"/>
                          <w:sz w:val="6"/>
                        </w:rPr>
                      </w:pP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第五次南風原町総合計画</w:t>
                      </w:r>
                    </w:p>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（平成</w:t>
                      </w:r>
                      <w:r>
                        <w:rPr>
                          <w:rFonts w:hint="eastAsia" w:ascii="ＭＳ ゴシック" w:hAnsi="ＭＳ ゴシック" w:eastAsia="ＭＳ ゴシック"/>
                        </w:rPr>
                        <w:t>29</w:t>
                      </w:r>
                      <w:r>
                        <w:rPr>
                          <w:rFonts w:hint="eastAsia" w:ascii="ＭＳ ゴシック" w:hAnsi="ＭＳ ゴシック" w:eastAsia="ＭＳ ゴシック"/>
                        </w:rPr>
                        <w:t>年度～</w:t>
                      </w:r>
                      <w:r>
                        <w:rPr>
                          <w:rFonts w:hint="eastAsia" w:ascii="ＭＳ ゴシック" w:hAnsi="ＭＳ ゴシック" w:eastAsia="ＭＳ ゴシック"/>
                          <w:color w:val="000000" w:themeColor="text1"/>
                        </w:rPr>
                        <w:t>令和８年</w:t>
                      </w:r>
                      <w:r>
                        <w:rPr>
                          <w:rFonts w:hint="eastAsia" w:ascii="ＭＳ ゴシック" w:hAnsi="ＭＳ ゴシック" w:eastAsia="ＭＳ ゴシック"/>
                        </w:rPr>
                        <w:t>度）</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184" behindDoc="0" locked="1" layoutInCell="1" hidden="0" allowOverlap="1">
                <wp:simplePos x="0" y="0"/>
                <wp:positionH relativeFrom="column">
                  <wp:posOffset>2105660</wp:posOffset>
                </wp:positionH>
                <wp:positionV relativeFrom="paragraph">
                  <wp:posOffset>794385</wp:posOffset>
                </wp:positionV>
                <wp:extent cx="0" cy="314325"/>
                <wp:effectExtent l="19685" t="19050" r="29845" b="19685"/>
                <wp:wrapNone/>
                <wp:docPr id="1047" name="直線コネクタ 78"/>
                <a:graphic xmlns:a="http://schemas.openxmlformats.org/drawingml/2006/main">
                  <a:graphicData uri="http://schemas.microsoft.com/office/word/2010/wordprocessingShape">
                    <wps:wsp>
                      <wps:cNvPr id="1047" name="直線コネクタ 78"/>
                      <wps:cNvSpPr/>
                      <wps:spPr>
                        <a:xfrm>
                          <a:off x="0" y="0"/>
                          <a:ext cx="0" cy="314325"/>
                        </a:xfrm>
                        <a:prstGeom prst="line">
                          <a:avLst/>
                        </a:prstGeom>
                        <a:noFill/>
                        <a:ln w="34925">
                          <a:solidFill>
                            <a:srgbClr val="000000"/>
                          </a:solidFill>
                          <a:round/>
                          <a:headEnd/>
                          <a:tailEnd/>
                        </a:ln>
                        <a:effectLst/>
                      </wps:spPr>
                      <wps:bodyPr/>
                    </wps:wsp>
                  </a:graphicData>
                </a:graphic>
              </wp:anchor>
            </w:drawing>
          </mc:Choice>
          <mc:Fallback>
            <w:pict>
              <v:line id="直線コネクタ 78" style="mso-wrap-distance-top:0pt;mso-wrap-distance-right:9pt;mso-wrap-distance-bottom:0pt;mso-position-vertical-relative:text;mso-position-horizontal-relative:text;position:absolute;mso-wrap-distance-left:9pt;z-index:184;" o:spid="_x0000_s1047" o:allowincell="t" o:allowoverlap="t" filled="f" stroked="t" strokecolor="#000000" strokeweight="2.75pt" o:spt="20" from="165.8pt,62.55pt" to="165.8pt,87.300000000000011pt">
                <v:fill/>
                <v:stroke filltype="solid"/>
                <v:textbox style="layout-flow:horizontal;"/>
                <v:imagedata o:title=""/>
                <w10:wrap type="none" anchorx="text" anchory="text"/>
                <w10:anchorlock/>
              </v:line>
            </w:pict>
          </mc:Fallback>
        </mc:AlternateContent>
      </w:r>
    </w:p>
    <w:p>
      <w:pPr>
        <w:pStyle w:val="19"/>
        <w:tabs>
          <w:tab w:val="left" w:leader="none" w:pos="8080"/>
        </w:tabs>
        <w:ind w:left="336" w:firstLine="214"/>
        <w:rPr>
          <w:rFonts w:hint="default"/>
        </w:rPr>
      </w:pPr>
    </w:p>
    <w:p>
      <w:pPr>
        <w:pStyle w:val="19"/>
        <w:ind w:left="336" w:firstLine="214"/>
        <w:rPr>
          <w:rFonts w:hint="default"/>
        </w:rPr>
      </w:pPr>
    </w:p>
    <w:p>
      <w:pPr>
        <w:pStyle w:val="19"/>
        <w:ind w:left="336" w:firstLine="214"/>
        <w:rPr>
          <w:rFonts w:hint="default"/>
        </w:rPr>
      </w:pPr>
      <w:r>
        <w:rPr>
          <w:rFonts w:hint="default"/>
        </w:rPr>
        <mc:AlternateContent>
          <mc:Choice Requires="wps">
            <w:drawing>
              <wp:anchor distT="0" distB="0" distL="114300" distR="114300" simplePos="0" relativeHeight="200" behindDoc="0" locked="0" layoutInCell="1" hidden="0" allowOverlap="1">
                <wp:simplePos x="0" y="0"/>
                <wp:positionH relativeFrom="column">
                  <wp:posOffset>1500505</wp:posOffset>
                </wp:positionH>
                <wp:positionV relativeFrom="paragraph">
                  <wp:posOffset>111125</wp:posOffset>
                </wp:positionV>
                <wp:extent cx="435610" cy="2258060"/>
                <wp:effectExtent l="635" t="635" r="29845" b="10795"/>
                <wp:wrapNone/>
                <wp:docPr id="1048" name="角丸四角形 79"/>
                <a:graphic xmlns:a="http://schemas.openxmlformats.org/drawingml/2006/main">
                  <a:graphicData uri="http://schemas.microsoft.com/office/word/2010/wordprocessingShape">
                    <wps:wsp>
                      <wps:cNvPr id="1048" name="角丸四角形 79"/>
                      <wps:cNvSpPr>
                        <a:spLocks noChangeArrowheads="1"/>
                      </wps:cNvSpPr>
                      <wps:spPr>
                        <a:xfrm rot="5400000">
                          <a:off x="0" y="0"/>
                          <a:ext cx="435610" cy="2258060"/>
                        </a:xfrm>
                        <a:prstGeom prst="roundRect">
                          <a:avLst>
                            <a:gd name="adj" fmla="val 16667"/>
                          </a:avLst>
                        </a:prstGeom>
                        <a:solidFill>
                          <a:srgbClr val="FFFFFF"/>
                        </a:solidFill>
                        <a:ln w="9525">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w w:val="98"/>
                                <w:sz w:val="20"/>
                              </w:rPr>
                            </w:pPr>
                            <w:r>
                              <w:rPr>
                                <w:rFonts w:hint="eastAsia" w:ascii="ＭＳ ゴシック" w:hAnsi="ＭＳ ゴシック" w:eastAsia="ＭＳ ゴシック"/>
                                <w:w w:val="98"/>
                                <w:sz w:val="20"/>
                              </w:rPr>
                              <w:t>南風原町高齢者保健福祉計画</w:t>
                            </w:r>
                          </w:p>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（令和６年度～令和８年度）</w:t>
                            </w:r>
                          </w:p>
                        </w:txbxContent>
                      </wps:txbx>
                      <wps:bodyPr rot="0" vertOverflow="overflow" horzOverflow="overflow" wrap="square" lIns="32400" tIns="5400" rIns="18000" bIns="5400" anchor="t" anchorCtr="0" upright="1"/>
                    </wps:wsp>
                  </a:graphicData>
                </a:graphic>
              </wp:anchor>
            </w:drawing>
          </mc:Choice>
          <mc:Fallback>
            <w:pict>
              <v:roundrect id="角丸四角形 79" style="mso-wrap-distance-right:9pt;mso-wrap-distance-bottom:0pt;margin-top:8.75pt;mso-position-vertical-relative:text;mso-position-horizontal-relative:text;v-text-anchor:top;position:absolute;height:177.8pt;mso-wrap-distance-top:0pt;width:34.29pt;mso-wrap-distance-left:9pt;margin-left:118.15pt;z-index:200;rotation:90;" o:spid="_x0000_s1048" o:allowincell="t" o:allowoverlap="t" filled="t" fillcolor="#ffffff" stroked="t" strokecolor="#000000" strokeweight="0.75pt" o:spt="2" arcsize="10923f">
                <v:fill/>
                <v:stroke filltype="solid"/>
                <v:textbox style="layout-flow:horizontal;" inset="0.8999999999999998mm,0.14999999999999997mm,0.49999999999999989mm,0.14999999999999997mm">
                  <w:txbxContent>
                    <w:p>
                      <w:pPr>
                        <w:pStyle w:val="0"/>
                        <w:spacing w:line="0" w:lineRule="atLeast"/>
                        <w:jc w:val="center"/>
                        <w:rPr>
                          <w:rFonts w:hint="default" w:ascii="ＭＳ ゴシック" w:hAnsi="ＭＳ ゴシック" w:eastAsia="ＭＳ ゴシック"/>
                          <w:w w:val="98"/>
                          <w:sz w:val="20"/>
                        </w:rPr>
                      </w:pPr>
                      <w:r>
                        <w:rPr>
                          <w:rFonts w:hint="eastAsia" w:ascii="ＭＳ ゴシック" w:hAnsi="ＭＳ ゴシック" w:eastAsia="ＭＳ ゴシック"/>
                          <w:w w:val="98"/>
                          <w:sz w:val="20"/>
                        </w:rPr>
                        <w:t>南風原町高齢者保健福祉計画</w:t>
                      </w:r>
                    </w:p>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（令和６年度～令和８年度）</w:t>
                      </w:r>
                    </w:p>
                  </w:txbxContent>
                </v:textbox>
                <v:imagedata o:title=""/>
                <w10:wrap type="none" anchorx="text" anchory="text"/>
              </v:roundrect>
            </w:pict>
          </mc:Fallback>
        </mc:AlternateContent>
      </w:r>
    </w:p>
    <w:p>
      <w:pPr>
        <w:pStyle w:val="19"/>
        <w:ind w:left="336" w:firstLine="214"/>
        <w:rPr>
          <w:rFonts w:hint="default"/>
        </w:rPr>
      </w:pPr>
      <w:r>
        <w:rPr>
          <w:rFonts w:hint="default"/>
        </w:rPr>
        <mc:AlternateContent>
          <mc:Choice Requires="wps">
            <w:drawing>
              <wp:anchor distT="0" distB="0" distL="114300" distR="114300" simplePos="0" relativeHeight="186" behindDoc="0" locked="0" layoutInCell="1" hidden="0" allowOverlap="1">
                <wp:simplePos x="0" y="0"/>
                <wp:positionH relativeFrom="column">
                  <wp:posOffset>475615</wp:posOffset>
                </wp:positionH>
                <wp:positionV relativeFrom="paragraph">
                  <wp:posOffset>184150</wp:posOffset>
                </wp:positionV>
                <wp:extent cx="4834255" cy="782955"/>
                <wp:effectExtent l="635" t="635" r="29845" b="10795"/>
                <wp:wrapNone/>
                <wp:docPr id="1049" name="角丸四角形 84"/>
                <a:graphic xmlns:a="http://schemas.openxmlformats.org/drawingml/2006/main">
                  <a:graphicData uri="http://schemas.microsoft.com/office/word/2010/wordprocessingShape">
                    <wps:wsp>
                      <wps:cNvPr id="1049" name="角丸四角形 84"/>
                      <wps:cNvSpPr/>
                      <wps:spPr>
                        <a:xfrm>
                          <a:off x="0" y="0"/>
                          <a:ext cx="4834255" cy="782955"/>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84" style="mso-wrap-distance-right:9pt;mso-wrap-distance-bottom:0pt;margin-top:14.5pt;mso-position-vertical-relative:text;mso-position-horizontal-relative:text;position:absolute;height:61.65pt;mso-wrap-distance-top:0pt;width:380.65pt;mso-wrap-distance-left:9pt;margin-left:37.450000000000003pt;z-index:186;" o:spid="_x0000_s1049" o:allowincell="t" o:allowoverlap="t" filled="t" fillcolor="#d9d9d9 [2732]" stroked="t" strokecolor="#000000 [3213]"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hint="default"/>
        </w:rPr>
        <mc:AlternateContent>
          <mc:Choice Requires="wps">
            <w:drawing>
              <wp:anchor distT="0" distB="0" distL="114300" distR="114300" simplePos="0" relativeHeight="185" behindDoc="0" locked="0" layoutInCell="1" hidden="0" allowOverlap="1">
                <wp:simplePos x="0" y="0"/>
                <wp:positionH relativeFrom="column">
                  <wp:posOffset>394970</wp:posOffset>
                </wp:positionH>
                <wp:positionV relativeFrom="paragraph">
                  <wp:posOffset>99060</wp:posOffset>
                </wp:positionV>
                <wp:extent cx="4997450" cy="4947920"/>
                <wp:effectExtent l="635" t="635" r="29845" b="10795"/>
                <wp:wrapNone/>
                <wp:docPr id="1050" name="角丸四角形 87"/>
                <a:graphic xmlns:a="http://schemas.openxmlformats.org/drawingml/2006/main">
                  <a:graphicData uri="http://schemas.microsoft.com/office/word/2010/wordprocessingShape">
                    <wps:wsp>
                      <wps:cNvPr id="1050" name="角丸四角形 87"/>
                      <wps:cNvSpPr>
                        <a:spLocks noChangeArrowheads="1"/>
                      </wps:cNvSpPr>
                      <wps:spPr>
                        <a:xfrm>
                          <a:off x="0" y="0"/>
                          <a:ext cx="4997450" cy="4947920"/>
                        </a:xfrm>
                        <a:prstGeom prst="roundRect">
                          <a:avLst>
                            <a:gd name="adj" fmla="val 3336"/>
                          </a:avLst>
                        </a:prstGeom>
                        <a:solidFill>
                          <a:srgbClr val="FFFFFF"/>
                        </a:solidFill>
                        <a:ln w="9525">
                          <a:solidFill>
                            <a:srgbClr val="000000"/>
                          </a:solidFill>
                          <a:round/>
                          <a:headEnd/>
                          <a:tailEnd/>
                        </a:ln>
                        <a:effectLst/>
                      </wps:spPr>
                      <wps:bodyPr/>
                    </wps:wsp>
                  </a:graphicData>
                </a:graphic>
              </wp:anchor>
            </w:drawing>
          </mc:Choice>
          <mc:Fallback>
            <w:pict>
              <v:roundrect id="角丸四角形 87" style="mso-wrap-distance-right:9pt;mso-wrap-distance-bottom:0pt;margin-top:7.8pt;mso-position-vertical-relative:text;mso-position-horizontal-relative:text;position:absolute;height:389.6pt;mso-wrap-distance-top:0pt;width:393.5pt;mso-wrap-distance-left:9pt;margin-left:31.1pt;z-index:185;" o:spid="_x0000_s1050" o:allowincell="t" o:allowoverlap="t" filled="t" fillcolor="#ffffff" stroked="t" strokecolor="#000000" strokeweight="0.75pt" o:spt="2" arcsize="2188f">
                <v:fill/>
                <v:stroke filltype="solid"/>
                <v:textbox style="layout-flow:horizontal;"/>
                <v:imagedata o:title=""/>
                <w10:wrap type="none" anchorx="text" anchory="text"/>
              </v:roundrect>
            </w:pict>
          </mc:Fallback>
        </mc:AlternateContent>
      </w:r>
      <w:r>
        <w:rPr>
          <w:rFonts w:hint="default"/>
        </w:rPr>
        <mc:AlternateContent>
          <mc:Choice Requires="wps">
            <w:drawing>
              <wp:anchor distT="0" distB="0" distL="114300" distR="114300" simplePos="0" relativeHeight="201" behindDoc="0" locked="0" layoutInCell="1" hidden="0" allowOverlap="1">
                <wp:simplePos x="0" y="0"/>
                <wp:positionH relativeFrom="margin">
                  <wp:posOffset>819150</wp:posOffset>
                </wp:positionH>
                <wp:positionV relativeFrom="paragraph">
                  <wp:posOffset>183515</wp:posOffset>
                </wp:positionV>
                <wp:extent cx="3384550" cy="428625"/>
                <wp:effectExtent l="0" t="0" r="635" b="635"/>
                <wp:wrapNone/>
                <wp:docPr id="1051" name="テキスト ボックス 86"/>
                <a:graphic xmlns:a="http://schemas.openxmlformats.org/drawingml/2006/main">
                  <a:graphicData uri="http://schemas.microsoft.com/office/word/2010/wordprocessingShape">
                    <wps:wsp>
                      <wps:cNvPr id="1051" name="テキスト ボックス 86"/>
                      <wps:cNvSpPr txBox="1"/>
                      <wps:spPr>
                        <a:xfrm>
                          <a:off x="0" y="0"/>
                          <a:ext cx="33845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第三次</w:t>
                            </w:r>
                            <w:r>
                              <w:rPr>
                                <w:rFonts w:hint="default" w:ascii="ＭＳ ゴシック" w:hAnsi="ＭＳ ゴシック" w:eastAsia="ＭＳ ゴシック"/>
                              </w:rPr>
                              <w:t>南風原町地域福祉</w:t>
                            </w:r>
                            <w:r>
                              <w:rPr>
                                <w:rFonts w:hint="eastAsia" w:ascii="ＭＳ ゴシック" w:hAnsi="ＭＳ ゴシック" w:eastAsia="ＭＳ ゴシック"/>
                              </w:rPr>
                              <w:t>推進</w:t>
                            </w:r>
                            <w:r>
                              <w:rPr>
                                <w:rFonts w:hint="default" w:ascii="ＭＳ ゴシック" w:hAnsi="ＭＳ ゴシック" w:eastAsia="ＭＳ ゴシック"/>
                              </w:rPr>
                              <w:t>計画</w:t>
                            </w:r>
                          </w:p>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（令和６</w:t>
                            </w:r>
                            <w:r>
                              <w:rPr>
                                <w:rFonts w:hint="default" w:ascii="ＭＳ ゴシック" w:hAnsi="ＭＳ ゴシック" w:eastAsia="ＭＳ ゴシック"/>
                              </w:rPr>
                              <w:t>年度～</w:t>
                            </w:r>
                            <w:r>
                              <w:rPr>
                                <w:rFonts w:hint="eastAsia" w:ascii="ＭＳ ゴシック" w:hAnsi="ＭＳ ゴシック" w:eastAsia="ＭＳ ゴシック"/>
                              </w:rPr>
                              <w:t>令</w:t>
                            </w:r>
                            <w:r>
                              <w:rPr>
                                <w:rFonts w:hint="eastAsia" w:ascii="ＭＳ ゴシック" w:hAnsi="ＭＳ ゴシック" w:eastAsia="ＭＳ ゴシック"/>
                                <w:color w:val="000000" w:themeColor="text1"/>
                              </w:rPr>
                              <w:t>和</w:t>
                            </w:r>
                            <w:r>
                              <w:rPr>
                                <w:rFonts w:hint="eastAsia" w:ascii="ＭＳ ゴシック" w:hAnsi="ＭＳ ゴシック" w:eastAsia="ＭＳ ゴシック"/>
                                <w:color w:val="000000" w:themeColor="text1"/>
                              </w:rPr>
                              <w:t>10</w:t>
                            </w:r>
                            <w:r>
                              <w:rPr>
                                <w:rFonts w:hint="default" w:ascii="ＭＳ ゴシック" w:hAnsi="ＭＳ ゴシック" w:eastAsia="ＭＳ ゴシック"/>
                              </w:rPr>
                              <w:t>年度</w:t>
                            </w:r>
                            <w:r>
                              <w:rPr>
                                <w:rFonts w:hint="eastAsia" w:ascii="ＭＳ ゴシック" w:hAnsi="ＭＳ ゴシック" w:eastAsia="ＭＳ ゴシック"/>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6" style="mso-wrap-distance-right:9pt;mso-wrap-distance-bottom:0pt;margin-top:14.45pt;mso-position-vertical-relative:text;mso-position-horizontal-relative:margin;v-text-anchor:top;position:absolute;height:33.75pt;mso-wrap-distance-top:0pt;width:266.5pt;mso-wrap-distance-left:9pt;margin-left:64.5pt;z-index:201;" o:spid="_x0000_s1051" o:allowincell="t" o:allowoverlap="t" filled="f" stroked="f" strokeweight="0.5pt" o:spt="202" type="#_x0000_t202">
                <v:fill/>
                <v:textbox style="layout-flow:horizontal;">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第三次</w:t>
                      </w:r>
                      <w:r>
                        <w:rPr>
                          <w:rFonts w:hint="default" w:ascii="ＭＳ ゴシック" w:hAnsi="ＭＳ ゴシック" w:eastAsia="ＭＳ ゴシック"/>
                        </w:rPr>
                        <w:t>南風原町地域福祉</w:t>
                      </w:r>
                      <w:r>
                        <w:rPr>
                          <w:rFonts w:hint="eastAsia" w:ascii="ＭＳ ゴシック" w:hAnsi="ＭＳ ゴシック" w:eastAsia="ＭＳ ゴシック"/>
                        </w:rPr>
                        <w:t>推進</w:t>
                      </w:r>
                      <w:r>
                        <w:rPr>
                          <w:rFonts w:hint="default" w:ascii="ＭＳ ゴシック" w:hAnsi="ＭＳ ゴシック" w:eastAsia="ＭＳ ゴシック"/>
                        </w:rPr>
                        <w:t>計画</w:t>
                      </w:r>
                    </w:p>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（令和６</w:t>
                      </w:r>
                      <w:r>
                        <w:rPr>
                          <w:rFonts w:hint="default" w:ascii="ＭＳ ゴシック" w:hAnsi="ＭＳ ゴシック" w:eastAsia="ＭＳ ゴシック"/>
                        </w:rPr>
                        <w:t>年度～</w:t>
                      </w:r>
                      <w:r>
                        <w:rPr>
                          <w:rFonts w:hint="eastAsia" w:ascii="ＭＳ ゴシック" w:hAnsi="ＭＳ ゴシック" w:eastAsia="ＭＳ ゴシック"/>
                        </w:rPr>
                        <w:t>令</w:t>
                      </w:r>
                      <w:r>
                        <w:rPr>
                          <w:rFonts w:hint="eastAsia" w:ascii="ＭＳ ゴシック" w:hAnsi="ＭＳ ゴシック" w:eastAsia="ＭＳ ゴシック"/>
                          <w:color w:val="000000" w:themeColor="text1"/>
                        </w:rPr>
                        <w:t>和</w:t>
                      </w:r>
                      <w:r>
                        <w:rPr>
                          <w:rFonts w:hint="eastAsia" w:ascii="ＭＳ ゴシック" w:hAnsi="ＭＳ ゴシック" w:eastAsia="ＭＳ ゴシック"/>
                          <w:color w:val="000000" w:themeColor="text1"/>
                        </w:rPr>
                        <w:t>10</w:t>
                      </w:r>
                      <w:r>
                        <w:rPr>
                          <w:rFonts w:hint="default" w:ascii="ＭＳ ゴシック" w:hAnsi="ＭＳ ゴシック" w:eastAsia="ＭＳ ゴシック"/>
                        </w:rPr>
                        <w:t>年度</w:t>
                      </w:r>
                      <w:r>
                        <w:rPr>
                          <w:rFonts w:hint="eastAsia" w:ascii="ＭＳ ゴシック" w:hAnsi="ＭＳ ゴシック" w:eastAsia="ＭＳ ゴシック"/>
                        </w:rPr>
                        <w:t>）</w:t>
                      </w:r>
                    </w:p>
                  </w:txbxContent>
                </v:textbox>
                <v:imagedata o:title=""/>
                <w10:wrap type="none" anchorx="margin" anchory="text"/>
              </v:shape>
            </w:pict>
          </mc:Fallback>
        </mc:AlternateContent>
      </w:r>
      <w:r>
        <w:rPr>
          <w:rFonts w:hint="default"/>
        </w:rPr>
        <mc:AlternateContent>
          <mc:Choice Requires="wps">
            <w:drawing>
              <wp:anchor distT="0" distB="0" distL="114300" distR="114300" simplePos="0" relativeHeight="202" behindDoc="0" locked="0" layoutInCell="1" hidden="0" allowOverlap="1">
                <wp:simplePos x="0" y="0"/>
                <wp:positionH relativeFrom="column">
                  <wp:posOffset>4119880</wp:posOffset>
                </wp:positionH>
                <wp:positionV relativeFrom="paragraph">
                  <wp:posOffset>147955</wp:posOffset>
                </wp:positionV>
                <wp:extent cx="650240" cy="292100"/>
                <wp:effectExtent l="1270" t="635" r="30480" b="10795"/>
                <wp:wrapNone/>
                <wp:docPr id="1052" name="左矢印 190"/>
                <a:graphic xmlns:a="http://schemas.openxmlformats.org/drawingml/2006/main">
                  <a:graphicData uri="http://schemas.microsoft.com/office/word/2010/wordprocessingShape">
                    <wps:wsp>
                      <wps:cNvPr id="1052" name="左矢印 190"/>
                      <wps:cNvSpPr>
                        <a:spLocks noChangeArrowheads="1"/>
                      </wps:cNvSpPr>
                      <wps:spPr>
                        <a:xfrm rot="16200000">
                          <a:off x="0" y="0"/>
                          <a:ext cx="650240" cy="292100"/>
                        </a:xfrm>
                        <a:prstGeom prst="leftArrow">
                          <a:avLst>
                            <a:gd name="adj1" fmla="val 49824"/>
                            <a:gd name="adj2" fmla="val 57587"/>
                          </a:avLst>
                        </a:prstGeom>
                        <a:solidFill>
                          <a:srgbClr val="808080"/>
                        </a:solidFill>
                        <a:ln w="9525" algn="ctr">
                          <a:solidFill>
                            <a:srgbClr val="000000"/>
                          </a:solidFill>
                          <a:miter lim="800000"/>
                          <a:headEnd/>
                          <a:tailEnd/>
                        </a:ln>
                        <a:effectLst/>
                      </wps:spPr>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90" style="mso-wrap-distance-right:9pt;mso-wrap-distance-bottom:0pt;margin-top:11.65pt;mso-position-vertical-relative:text;mso-position-horizontal-relative:text;position:absolute;height:23pt;mso-wrap-distance-top:0pt;width:51.2pt;mso-wrap-distance-left:9pt;margin-left:324.39pt;z-index:202;rotation:270;" o:spid="_x0000_s1052" o:allowincell="t" o:allowoverlap="t" filled="t" fillcolor="#808080" stroked="t" strokecolor="#000000" strokeweight="0.75pt" o:spt="66" type="#_x0000_t66" adj="12439,5419">
                <v:fill/>
                <v:stroke miterlimit="8" filltype="solid"/>
                <v:textbox style="layout-flow:horizontal;"/>
                <v:imagedata o:title=""/>
                <w10:wrap type="none" anchorx="text" anchory="text"/>
              </v:shape>
            </w:pict>
          </mc:Fallback>
        </mc:AlternateContent>
      </w:r>
    </w:p>
    <w:p>
      <w:pPr>
        <w:pStyle w:val="19"/>
        <w:ind w:left="336" w:firstLine="214"/>
        <w:rPr>
          <w:rFonts w:hint="default"/>
        </w:rPr>
      </w:pPr>
      <w:r>
        <w:rPr>
          <w:rFonts w:hint="default"/>
        </w:rPr>
        <mc:AlternateContent>
          <mc:Choice Requires="wps">
            <w:drawing>
              <wp:anchor distT="0" distB="0" distL="114300" distR="114300" simplePos="0" relativeHeight="203" behindDoc="0" locked="0" layoutInCell="1" hidden="0" allowOverlap="1">
                <wp:simplePos x="0" y="0"/>
                <wp:positionH relativeFrom="column">
                  <wp:posOffset>1510665</wp:posOffset>
                </wp:positionH>
                <wp:positionV relativeFrom="paragraph">
                  <wp:posOffset>439420</wp:posOffset>
                </wp:positionV>
                <wp:extent cx="435610" cy="2258060"/>
                <wp:effectExtent l="635" t="635" r="29845" b="10795"/>
                <wp:wrapNone/>
                <wp:docPr id="1053" name="角丸四角形 89"/>
                <a:graphic xmlns:a="http://schemas.openxmlformats.org/drawingml/2006/main">
                  <a:graphicData uri="http://schemas.microsoft.com/office/word/2010/wordprocessingShape">
                    <wps:wsp>
                      <wps:cNvPr id="1053" name="角丸四角形 89"/>
                      <wps:cNvSpPr>
                        <a:spLocks noChangeArrowheads="1"/>
                      </wps:cNvSpPr>
                      <wps:spPr>
                        <a:xfrm rot="5400000">
                          <a:off x="0" y="0"/>
                          <a:ext cx="435610" cy="2258060"/>
                        </a:xfrm>
                        <a:prstGeom prst="roundRect">
                          <a:avLst>
                            <a:gd name="adj" fmla="val 16667"/>
                          </a:avLst>
                        </a:prstGeom>
                        <a:solidFill>
                          <a:srgbClr val="FFFFFF"/>
                        </a:solidFill>
                        <a:ln w="9525">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w w:val="98"/>
                                <w:sz w:val="20"/>
                              </w:rPr>
                            </w:pPr>
                            <w:r>
                              <w:rPr>
                                <w:rFonts w:hint="eastAsia" w:ascii="ＭＳ ゴシック" w:hAnsi="ＭＳ ゴシック" w:eastAsia="ＭＳ ゴシック"/>
                                <w:w w:val="98"/>
                                <w:sz w:val="20"/>
                              </w:rPr>
                              <w:t>南風原町子ども</w:t>
                            </w:r>
                            <w:r>
                              <w:rPr>
                                <w:rFonts w:hint="default" w:ascii="ＭＳ ゴシック" w:hAnsi="ＭＳ ゴシック" w:eastAsia="ＭＳ ゴシック"/>
                                <w:w w:val="98"/>
                                <w:sz w:val="20"/>
                              </w:rPr>
                              <w:t>・子育て支援事業</w:t>
                            </w:r>
                            <w:r>
                              <w:rPr>
                                <w:rFonts w:hint="eastAsia" w:ascii="ＭＳ ゴシック" w:hAnsi="ＭＳ ゴシック" w:eastAsia="ＭＳ ゴシック"/>
                                <w:w w:val="98"/>
                                <w:sz w:val="20"/>
                              </w:rPr>
                              <w:t>計画</w:t>
                            </w:r>
                          </w:p>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（令和２年度～令和６年度）</w:t>
                            </w:r>
                          </w:p>
                        </w:txbxContent>
                      </wps:txbx>
                      <wps:bodyPr rot="0" vertOverflow="overflow" horzOverflow="overflow" wrap="square" lIns="32400" tIns="5400" rIns="18000" bIns="5400" anchor="t" anchorCtr="0" upright="1"/>
                    </wps:wsp>
                  </a:graphicData>
                </a:graphic>
              </wp:anchor>
            </w:drawing>
          </mc:Choice>
          <mc:Fallback>
            <w:pict>
              <v:roundrect id="角丸四角形 89" style="mso-wrap-distance-right:9pt;mso-wrap-distance-bottom:0pt;margin-top:34.6pt;mso-position-vertical-relative:text;mso-position-horizontal-relative:text;v-text-anchor:top;position:absolute;height:177.8pt;mso-wrap-distance-top:0pt;width:34.29pt;mso-wrap-distance-left:9pt;margin-left:118.95pt;z-index:203;rotation:90;" o:spid="_x0000_s1053" o:allowincell="t" o:allowoverlap="t" filled="t" fillcolor="#ffffff" stroked="t" strokecolor="#000000" strokeweight="0.75pt" o:spt="2" arcsize="10923f">
                <v:fill/>
                <v:stroke filltype="solid"/>
                <v:textbox style="layout-flow:horizontal;" inset="0.8999999999999998mm,0.14999999999999997mm,0.49999999999999989mm,0.14999999999999997mm">
                  <w:txbxContent>
                    <w:p>
                      <w:pPr>
                        <w:pStyle w:val="0"/>
                        <w:spacing w:line="0" w:lineRule="atLeast"/>
                        <w:jc w:val="center"/>
                        <w:rPr>
                          <w:rFonts w:hint="default" w:ascii="ＭＳ ゴシック" w:hAnsi="ＭＳ ゴシック" w:eastAsia="ＭＳ ゴシック"/>
                          <w:w w:val="98"/>
                          <w:sz w:val="20"/>
                        </w:rPr>
                      </w:pPr>
                      <w:r>
                        <w:rPr>
                          <w:rFonts w:hint="eastAsia" w:ascii="ＭＳ ゴシック" w:hAnsi="ＭＳ ゴシック" w:eastAsia="ＭＳ ゴシック"/>
                          <w:w w:val="98"/>
                          <w:sz w:val="20"/>
                        </w:rPr>
                        <w:t>南風原町子ども</w:t>
                      </w:r>
                      <w:r>
                        <w:rPr>
                          <w:rFonts w:hint="default" w:ascii="ＭＳ ゴシック" w:hAnsi="ＭＳ ゴシック" w:eastAsia="ＭＳ ゴシック"/>
                          <w:w w:val="98"/>
                          <w:sz w:val="20"/>
                        </w:rPr>
                        <w:t>・子育て支援事業</w:t>
                      </w:r>
                      <w:r>
                        <w:rPr>
                          <w:rFonts w:hint="eastAsia" w:ascii="ＭＳ ゴシック" w:hAnsi="ＭＳ ゴシック" w:eastAsia="ＭＳ ゴシック"/>
                          <w:w w:val="98"/>
                          <w:sz w:val="20"/>
                        </w:rPr>
                        <w:t>計画</w:t>
                      </w:r>
                    </w:p>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（令和２年度～令和６年度）</w:t>
                      </w:r>
                    </w:p>
                  </w:txbxContent>
                </v:textbox>
                <v:imagedata o:title=""/>
                <w10:wrap type="none" anchorx="text" anchory="text"/>
              </v:roundrect>
            </w:pict>
          </mc:Fallback>
        </mc:AlternateContent>
      </w:r>
    </w:p>
    <w:p>
      <w:pPr>
        <w:pStyle w:val="19"/>
        <w:ind w:left="336" w:firstLine="214"/>
        <w:rPr>
          <w:rFonts w:hint="default"/>
        </w:rPr>
      </w:pPr>
      <w:r>
        <w:rPr>
          <w:rFonts w:hint="default"/>
        </w:rPr>
        <mc:AlternateContent>
          <mc:Choice Requires="wps">
            <w:drawing>
              <wp:anchor distT="0" distB="0" distL="114300" distR="114300" simplePos="0" relativeHeight="187" behindDoc="0" locked="0" layoutInCell="1" hidden="0" allowOverlap="1">
                <wp:simplePos x="0" y="0"/>
                <wp:positionH relativeFrom="column">
                  <wp:posOffset>509270</wp:posOffset>
                </wp:positionH>
                <wp:positionV relativeFrom="paragraph">
                  <wp:posOffset>172085</wp:posOffset>
                </wp:positionV>
                <wp:extent cx="2432685" cy="3225800"/>
                <wp:effectExtent l="635" t="635" r="29845" b="10795"/>
                <wp:wrapNone/>
                <wp:docPr id="1054" name="角丸四角形 90" descr="5%"/>
                <a:graphic xmlns:a="http://schemas.openxmlformats.org/drawingml/2006/main">
                  <a:graphicData uri="http://schemas.microsoft.com/office/word/2010/wordprocessingShape">
                    <wps:wsp>
                      <wps:cNvPr id="1054" name="角丸四角形 90" descr="5%"/>
                      <wps:cNvSpPr>
                        <a:spLocks noChangeArrowheads="1"/>
                      </wps:cNvSpPr>
                      <wps:spPr>
                        <a:xfrm>
                          <a:off x="0" y="0"/>
                          <a:ext cx="2432685" cy="3225800"/>
                        </a:xfrm>
                        <a:prstGeom prst="roundRect">
                          <a:avLst>
                            <a:gd name="adj" fmla="val 5008"/>
                          </a:avLst>
                        </a:prstGeom>
                        <a:pattFill prst="pct5">
                          <a:fgClr>
                            <a:srgbClr val="000000"/>
                          </a:fgClr>
                          <a:bgClr>
                            <a:srgbClr val="FFFFFF"/>
                          </a:bgClr>
                        </a:pattFill>
                        <a:ln w="9525">
                          <a:solidFill>
                            <a:srgbClr val="000000"/>
                          </a:solidFill>
                          <a:prstDash val="lgDash"/>
                          <a:round/>
                          <a:headEnd/>
                          <a:tailEnd/>
                        </a:ln>
                      </wps:spPr>
                      <wps:bodyPr/>
                    </wps:wsp>
                  </a:graphicData>
                </a:graphic>
              </wp:anchor>
            </w:drawing>
          </mc:Choice>
          <mc:Fallback>
            <w:pict>
              <v:roundrect id="角丸四角形 90" style="mso-wrap-distance-right:9pt;mso-wrap-distance-bottom:0pt;margin-top:13.55pt;mso-position-vertical-relative:text;mso-position-horizontal-relative:text;position:absolute;height:254pt;mso-wrap-distance-top:0pt;width:191.55pt;mso-wrap-distance-left:9pt;margin-left:40.1pt;z-index:187;" o:spid="_x0000_s1054" o:allowincell="t" o:allowoverlap="t" filled="t" fillcolor="#000000" stroked="t" strokecolor="#000000" strokeweight="0.75pt" o:spt="2" arcsize="3283f">
                <v:fill type="pattern" color2="#ffffff" r:id="rId10"/>
                <v:stroke dashstyle="longdash" filltype="solid"/>
                <v:textbox style="layout-flow:horizontal;"/>
                <v:imagedata o:title=""/>
                <w10:wrap type="none" anchorx="text" anchory="text"/>
              </v:roundrect>
            </w:pict>
          </mc:Fallback>
        </mc:AlternateContent>
      </w:r>
      <w:r>
        <w:rPr>
          <w:rFonts w:hint="default"/>
        </w:rPr>
        <mc:AlternateContent>
          <mc:Choice Requires="wps">
            <w:drawing>
              <wp:anchor distT="0" distB="0" distL="114300" distR="114300" simplePos="0" relativeHeight="204" behindDoc="0" locked="0" layoutInCell="1" hidden="0" allowOverlap="1">
                <wp:simplePos x="0" y="0"/>
                <wp:positionH relativeFrom="column">
                  <wp:posOffset>3223895</wp:posOffset>
                </wp:positionH>
                <wp:positionV relativeFrom="paragraph">
                  <wp:posOffset>181610</wp:posOffset>
                </wp:positionV>
                <wp:extent cx="2068195" cy="4344670"/>
                <wp:effectExtent l="635" t="635" r="29845" b="10795"/>
                <wp:wrapNone/>
                <wp:docPr id="1055" name="角丸四角形 91"/>
                <a:graphic xmlns:a="http://schemas.openxmlformats.org/drawingml/2006/main">
                  <a:graphicData uri="http://schemas.microsoft.com/office/word/2010/wordprocessingShape">
                    <wps:wsp>
                      <wps:cNvPr id="1055" name="角丸四角形 91"/>
                      <wps:cNvSpPr>
                        <a:spLocks noChangeArrowheads="1"/>
                      </wps:cNvSpPr>
                      <wps:spPr>
                        <a:xfrm>
                          <a:off x="0" y="0"/>
                          <a:ext cx="2068195" cy="4344670"/>
                        </a:xfrm>
                        <a:prstGeom prst="roundRect">
                          <a:avLst>
                            <a:gd name="adj" fmla="val 6989"/>
                          </a:avLst>
                        </a:prstGeom>
                        <a:solidFill>
                          <a:schemeClr val="bg1">
                            <a:lumMod val="95000"/>
                          </a:schemeClr>
                        </a:solidFill>
                        <a:ln w="15875">
                          <a:solidFill>
                            <a:srgbClr val="000000"/>
                          </a:solidFill>
                          <a:round/>
                          <a:headEnd/>
                          <a:tailEnd/>
                        </a:ln>
                        <a:effectLst/>
                      </wps:spPr>
                      <wps:bodyPr/>
                    </wps:wsp>
                  </a:graphicData>
                </a:graphic>
              </wp:anchor>
            </w:drawing>
          </mc:Choice>
          <mc:Fallback>
            <w:pict>
              <v:roundrect id="角丸四角形 91" style="mso-wrap-distance-right:9pt;mso-wrap-distance-bottom:0pt;margin-top:14.3pt;mso-position-vertical-relative:text;mso-position-horizontal-relative:text;position:absolute;height:342.1pt;mso-wrap-distance-top:0pt;width:162.85pt;mso-wrap-distance-left:9pt;margin-left:253.85pt;z-index:204;" o:spid="_x0000_s1055" o:allowincell="t" o:allowoverlap="t" filled="t" fillcolor="#f2f2f2 [3052]" stroked="t" strokecolor="#000000" strokeweight="1.25pt" o:spt="2" arcsize="4581f">
                <v:fill/>
                <v:stroke filltype="solid"/>
                <v:textbox style="layout-flow:horizontal;"/>
                <v:imagedata o:title=""/>
                <w10:wrap type="none" anchorx="text" anchory="text"/>
              </v:roundrect>
            </w:pict>
          </mc:Fallback>
        </mc:AlternateContent>
      </w:r>
    </w:p>
    <w:p>
      <w:pPr>
        <w:pStyle w:val="19"/>
        <w:ind w:left="336" w:firstLine="214"/>
        <w:rPr>
          <w:rFonts w:hint="default"/>
        </w:rPr>
      </w:pPr>
      <w:r>
        <w:rPr>
          <w:rFonts w:hint="default"/>
        </w:rPr>
        <mc:AlternateContent>
          <mc:Choice Requires="wps">
            <w:drawing>
              <wp:anchor distT="0" distB="0" distL="114300" distR="114300" simplePos="0" relativeHeight="205" behindDoc="0" locked="0" layoutInCell="1" hidden="0" allowOverlap="1">
                <wp:simplePos x="0" y="0"/>
                <wp:positionH relativeFrom="column">
                  <wp:posOffset>3216910</wp:posOffset>
                </wp:positionH>
                <wp:positionV relativeFrom="paragraph">
                  <wp:posOffset>184150</wp:posOffset>
                </wp:positionV>
                <wp:extent cx="2064385" cy="252095"/>
                <wp:effectExtent l="0" t="0" r="635" b="635"/>
                <wp:wrapNone/>
                <wp:docPr id="1056" name="テキスト ボックス 92"/>
                <a:graphic xmlns:a="http://schemas.openxmlformats.org/drawingml/2006/main">
                  <a:graphicData uri="http://schemas.microsoft.com/office/word/2010/wordprocessingShape">
                    <wps:wsp>
                      <wps:cNvPr id="1056" name="テキスト ボックス 92"/>
                      <wps:cNvSpPr txBox="1"/>
                      <wps:spPr>
                        <a:xfrm>
                          <a:off x="0" y="0"/>
                          <a:ext cx="206438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（令和６</w:t>
                            </w:r>
                            <w:r>
                              <w:rPr>
                                <w:rFonts w:hint="default" w:ascii="ＭＳ ゴシック" w:hAnsi="ＭＳ ゴシック" w:eastAsia="ＭＳ ゴシック"/>
                                <w:color w:val="000000" w:themeColor="text1"/>
                                <w:sz w:val="20"/>
                              </w:rPr>
                              <w:t>年度～</w:t>
                            </w:r>
                            <w:r>
                              <w:rPr>
                                <w:rFonts w:hint="eastAsia" w:ascii="ＭＳ ゴシック" w:hAnsi="ＭＳ ゴシック" w:eastAsia="ＭＳ ゴシック"/>
                                <w:color w:val="000000" w:themeColor="text1"/>
                                <w:sz w:val="20"/>
                              </w:rPr>
                              <w:t>令和８</w:t>
                            </w:r>
                            <w:r>
                              <w:rPr>
                                <w:rFonts w:hint="default" w:ascii="ＭＳ ゴシック" w:hAnsi="ＭＳ ゴシック" w:eastAsia="ＭＳ ゴシック"/>
                                <w:color w:val="000000" w:themeColor="text1"/>
                                <w:sz w:val="20"/>
                              </w:rPr>
                              <w:t>年</w:t>
                            </w:r>
                            <w:r>
                              <w:rPr>
                                <w:rFonts w:hint="eastAsia" w:ascii="ＭＳ ゴシック" w:hAnsi="ＭＳ ゴシック" w:eastAsia="ＭＳ ゴシック"/>
                                <w:color w:val="000000" w:themeColor="text1"/>
                                <w:sz w:val="20"/>
                              </w:rPr>
                              <w:t>度）</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2" style="mso-wrap-distance-right:9pt;mso-wrap-distance-bottom:0pt;margin-top:14.5pt;mso-position-vertical-relative:text;mso-position-horizontal-relative:text;v-text-anchor:middle;position:absolute;height:19.850000000000001pt;mso-wrap-distance-top:0pt;width:162.55000000000001pt;mso-wrap-distance-left:9pt;margin-left:253.3pt;z-index:205;" o:spid="_x0000_s1056" o:allowincell="t" o:allowoverlap="t" filled="f" stroked="f" strokeweight="0.5pt" o:spt="202" type="#_x0000_t202">
                <v:fill/>
                <v:textbox style="layout-flow:horizontal;">
                  <w:txbxContent>
                    <w:p>
                      <w:pPr>
                        <w:pStyle w:val="0"/>
                        <w:spacing w:line="0" w:lineRule="atLeast"/>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（令和６</w:t>
                      </w:r>
                      <w:r>
                        <w:rPr>
                          <w:rFonts w:hint="default" w:ascii="ＭＳ ゴシック" w:hAnsi="ＭＳ ゴシック" w:eastAsia="ＭＳ ゴシック"/>
                          <w:color w:val="000000" w:themeColor="text1"/>
                          <w:sz w:val="20"/>
                        </w:rPr>
                        <w:t>年度～</w:t>
                      </w:r>
                      <w:r>
                        <w:rPr>
                          <w:rFonts w:hint="eastAsia" w:ascii="ＭＳ ゴシック" w:hAnsi="ＭＳ ゴシック" w:eastAsia="ＭＳ ゴシック"/>
                          <w:color w:val="000000" w:themeColor="text1"/>
                          <w:sz w:val="20"/>
                        </w:rPr>
                        <w:t>令和８</w:t>
                      </w:r>
                      <w:r>
                        <w:rPr>
                          <w:rFonts w:hint="default" w:ascii="ＭＳ ゴシック" w:hAnsi="ＭＳ ゴシック" w:eastAsia="ＭＳ ゴシック"/>
                          <w:color w:val="000000" w:themeColor="text1"/>
                          <w:sz w:val="20"/>
                        </w:rPr>
                        <w:t>年</w:t>
                      </w:r>
                      <w:r>
                        <w:rPr>
                          <w:rFonts w:hint="eastAsia" w:ascii="ＭＳ ゴシック" w:hAnsi="ＭＳ ゴシック" w:eastAsia="ＭＳ ゴシック"/>
                          <w:color w:val="000000" w:themeColor="text1"/>
                          <w:sz w:val="20"/>
                        </w:rPr>
                        <w:t>度）</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206" behindDoc="0" locked="0" layoutInCell="1" hidden="0" allowOverlap="1">
                <wp:simplePos x="0" y="0"/>
                <wp:positionH relativeFrom="column">
                  <wp:posOffset>3305810</wp:posOffset>
                </wp:positionH>
                <wp:positionV relativeFrom="paragraph">
                  <wp:posOffset>26670</wp:posOffset>
                </wp:positionV>
                <wp:extent cx="1668780" cy="208915"/>
                <wp:effectExtent l="0" t="0" r="635" b="635"/>
                <wp:wrapNone/>
                <wp:docPr id="1057" name="テキスト ボックス 93"/>
                <a:graphic xmlns:a="http://schemas.openxmlformats.org/drawingml/2006/main">
                  <a:graphicData uri="http://schemas.microsoft.com/office/word/2010/wordprocessingShape">
                    <wps:wsp>
                      <wps:cNvPr id="1057" name="テキスト ボックス 93"/>
                      <wps:cNvSpPr txBox="1">
                        <a:spLocks noChangeArrowheads="1"/>
                      </wps:cNvSpPr>
                      <wps:spPr>
                        <a:xfrm>
                          <a:off x="0" y="0"/>
                          <a:ext cx="1668780" cy="208915"/>
                        </a:xfrm>
                        <a:prstGeom prst="rect">
                          <a:avLst/>
                        </a:prstGeom>
                        <a:noFill/>
                        <a:ln>
                          <a:noFill/>
                        </a:ln>
                        <a:effectLst/>
                      </wps:spPr>
                      <wps:txbx>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第６次南風原町障がい者計画</w:t>
                            </w:r>
                          </w:p>
                          <w:p>
                            <w:pPr>
                              <w:pStyle w:val="0"/>
                              <w:jc w:val="center"/>
                              <w:rPr>
                                <w:rFonts w:hint="default"/>
                                <w:sz w:val="21"/>
                              </w:rPr>
                            </w:pPr>
                          </w:p>
                        </w:txbxContent>
                      </wps:txbx>
                      <wps:bodyPr rot="0" vertOverflow="overflow" horzOverflow="overflow" wrap="non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93" style="mso-wrap-distance-right:9pt;mso-wrap-distance-bottom:0pt;margin-top:2.1pt;mso-position-vertical-relative:text;mso-position-horizontal-relative:text;v-text-anchor:top;position:absolute;height:16.45pt;mso-wrap-distance-top:0pt;width:131.4pt;mso-wrap-style:none;mso-wrap-distance-left:9pt;margin-left:260.3pt;z-index:206;" o:spid="_x0000_s1057" o:allowincell="t" o:allowoverlap="t" filled="f" stroked="f" o:spt="202" type="#_x0000_t202">
                <v:fill/>
                <v:textbox style="layout-flow:horizontal;" inset="2.0637499999999998mm,0.24694444444444438mm,2.0637499999999998mm,0.24694444444444438mm">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第６次南風原町障がい者計画</w:t>
                      </w:r>
                    </w:p>
                    <w:p>
                      <w:pPr>
                        <w:pStyle w:val="0"/>
                        <w:jc w:val="center"/>
                        <w:rPr>
                          <w:rFonts w:hint="default"/>
                          <w:sz w:val="21"/>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207" behindDoc="0" locked="0" layoutInCell="1" hidden="0" allowOverlap="1">
                <wp:simplePos x="0" y="0"/>
                <wp:positionH relativeFrom="column">
                  <wp:posOffset>5509260</wp:posOffset>
                </wp:positionH>
                <wp:positionV relativeFrom="paragraph">
                  <wp:posOffset>34925</wp:posOffset>
                </wp:positionV>
                <wp:extent cx="340995" cy="948690"/>
                <wp:effectExtent l="635" t="635" r="29845" b="10795"/>
                <wp:wrapNone/>
                <wp:docPr id="1058" name="角丸四角形 94"/>
                <a:graphic xmlns:a="http://schemas.openxmlformats.org/drawingml/2006/main">
                  <a:graphicData uri="http://schemas.microsoft.com/office/word/2010/wordprocessingShape">
                    <wps:wsp>
                      <wps:cNvPr id="1058" name="角丸四角形 94"/>
                      <wps:cNvSpPr>
                        <a:spLocks noChangeArrowheads="1"/>
                      </wps:cNvSpPr>
                      <wps:spPr>
                        <a:xfrm>
                          <a:off x="0" y="0"/>
                          <a:ext cx="340995" cy="948690"/>
                        </a:xfrm>
                        <a:prstGeom prst="roundRect">
                          <a:avLst>
                            <a:gd name="adj" fmla="val 0"/>
                          </a:avLst>
                        </a:prstGeom>
                        <a:solidFill>
                          <a:schemeClr val="bg1">
                            <a:lumMod val="95000"/>
                          </a:schemeClr>
                        </a:solidFill>
                        <a:ln w="9525">
                          <a:solidFill>
                            <a:srgbClr val="000000"/>
                          </a:solidFill>
                          <a:round/>
                          <a:headEnd/>
                          <a:tailEnd/>
                        </a:ln>
                      </wps:spPr>
                      <wps:txbx>
                        <w:txbxContent>
                          <w:p>
                            <w:pPr>
                              <w:pStyle w:val="0"/>
                              <w:jc w:val="center"/>
                              <w:rPr>
                                <w:rFonts w:hint="default"/>
                                <w:sz w:val="20"/>
                              </w:rPr>
                            </w:pPr>
                            <w:r>
                              <w:rPr>
                                <w:rFonts w:hint="eastAsia" w:ascii="ＭＳ ゴシック" w:hAnsi="ＭＳ ゴシック" w:eastAsia="ＭＳ ゴシック"/>
                                <w:sz w:val="20"/>
                              </w:rPr>
                              <w:t>障害者基本法</w:t>
                            </w:r>
                          </w:p>
                        </w:txbxContent>
                      </wps:txbx>
                      <wps:bodyPr rot="0" vertOverflow="overflow" horzOverflow="overflow" vert="eaVert" wrap="square" lIns="41760" tIns="19800" rIns="41760" bIns="8890" anchor="t" anchorCtr="0" upright="1"/>
                    </wps:wsp>
                  </a:graphicData>
                </a:graphic>
              </wp:anchor>
            </w:drawing>
          </mc:Choice>
          <mc:Fallback>
            <w:pict>
              <v:roundrect id="角丸四角形 94" style="mso-wrap-distance-right:9pt;mso-wrap-distance-bottom:0pt;margin-top:2.75pt;mso-position-vertical-relative:text;mso-position-horizontal-relative:text;v-text-anchor:top;position:absolute;height:74.7pt;mso-wrap-distance-top:0pt;width:26.85pt;mso-wrap-distance-left:9pt;margin-left:433.8pt;z-index:207;" o:spid="_x0000_s1058" o:allowincell="t" o:allowoverlap="t" filled="t" fillcolor="#f2f2f2 [3052]" stroked="t" strokecolor="#000000" strokeweight="0.75pt" o:spt="2" arcsize="0f">
                <v:fill/>
                <v:stroke filltype="solid"/>
                <v:textbox style="layout-flow:vertical-ideographic;" inset="1.1599999999999997mm,0.54999999999999993mm,1.1599999999999997mm,0.24694444444444438mm">
                  <w:txbxContent>
                    <w:p>
                      <w:pPr>
                        <w:pStyle w:val="0"/>
                        <w:jc w:val="center"/>
                        <w:rPr>
                          <w:rFonts w:hint="default"/>
                          <w:sz w:val="20"/>
                        </w:rPr>
                      </w:pPr>
                      <w:r>
                        <w:rPr>
                          <w:rFonts w:hint="eastAsia" w:ascii="ＭＳ ゴシック" w:hAnsi="ＭＳ ゴシック" w:eastAsia="ＭＳ ゴシック"/>
                          <w:sz w:val="20"/>
                        </w:rPr>
                        <w:t>障害者基本法</w:t>
                      </w:r>
                    </w:p>
                  </w:txbxContent>
                </v:textbox>
                <v:imagedata o:title=""/>
                <w10:wrap type="none" anchorx="text" anchory="text"/>
              </v:roundrect>
            </w:pict>
          </mc:Fallback>
        </mc:AlternateContent>
      </w:r>
    </w:p>
    <w:p>
      <w:pPr>
        <w:pStyle w:val="19"/>
        <w:ind w:left="336" w:firstLine="214"/>
        <w:rPr>
          <w:rFonts w:hint="default"/>
        </w:rPr>
      </w:pPr>
      <w:r>
        <w:rPr>
          <w:rFonts w:hint="default"/>
        </w:rPr>
        <mc:AlternateContent>
          <mc:Choice Requires="wps">
            <w:drawing>
              <wp:anchor distT="0" distB="0" distL="114300" distR="114300" simplePos="0" relativeHeight="208" behindDoc="0" locked="0" layoutInCell="1" hidden="0" allowOverlap="1">
                <wp:simplePos x="0" y="0"/>
                <wp:positionH relativeFrom="column">
                  <wp:posOffset>5306060</wp:posOffset>
                </wp:positionH>
                <wp:positionV relativeFrom="paragraph">
                  <wp:posOffset>79375</wp:posOffset>
                </wp:positionV>
                <wp:extent cx="177800" cy="369570"/>
                <wp:effectExtent l="635" t="1270" r="29845" b="11430"/>
                <wp:wrapNone/>
                <wp:docPr id="1059" name="左矢印 95"/>
                <a:graphic xmlns:a="http://schemas.openxmlformats.org/drawingml/2006/main">
                  <a:graphicData uri="http://schemas.microsoft.com/office/word/2010/wordprocessingShape">
                    <wps:wsp>
                      <wps:cNvPr id="1059" name="左矢印 95"/>
                      <wps:cNvSpPr>
                        <a:spLocks noChangeArrowheads="1"/>
                      </wps:cNvSpPr>
                      <wps:spPr>
                        <a:xfrm>
                          <a:off x="0" y="0"/>
                          <a:ext cx="177800" cy="369570"/>
                        </a:xfrm>
                        <a:prstGeom prst="leftArrow">
                          <a:avLst>
                            <a:gd name="adj1" fmla="val 49824"/>
                            <a:gd name="adj2" fmla="val 57587"/>
                          </a:avLst>
                        </a:prstGeom>
                        <a:solidFill>
                          <a:srgbClr val="808080"/>
                        </a:solidFill>
                        <a:ln w="9525" algn="ctr">
                          <a:solidFill>
                            <a:srgbClr val="000000"/>
                          </a:solidFill>
                          <a:miter lim="800000"/>
                          <a:headEnd/>
                          <a:tailEnd/>
                        </a:ln>
                        <a:effectLst/>
                      </wps:spPr>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95" style="mso-wrap-distance-right:9pt;mso-wrap-distance-bottom:0pt;margin-top:6.25pt;mso-position-vertical-relative:text;mso-position-horizontal-relative:text;position:absolute;height:29.1pt;mso-wrap-distance-top:0pt;width:14pt;mso-wrap-distance-left:9pt;margin-left:417.8pt;z-index:208;" o:spid="_x0000_s1059" o:allowincell="t" o:allowoverlap="t" filled="t" fillcolor="#808080" stroked="t" strokecolor="#000000" strokeweight="0.75pt" o:spt="66" type="#_x0000_t66" adj="12439,5419">
                <v:fill/>
                <v:stroke miterlimit="8"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209" behindDoc="0" locked="0" layoutInCell="1" hidden="0" allowOverlap="1">
                <wp:simplePos x="0" y="0"/>
                <wp:positionH relativeFrom="column">
                  <wp:posOffset>3270885</wp:posOffset>
                </wp:positionH>
                <wp:positionV relativeFrom="paragraph">
                  <wp:posOffset>158750</wp:posOffset>
                </wp:positionV>
                <wp:extent cx="1964055" cy="628650"/>
                <wp:effectExtent l="0" t="0" r="635" b="635"/>
                <wp:wrapNone/>
                <wp:docPr id="1060" name="テキスト ボックス 96"/>
                <a:graphic xmlns:a="http://schemas.openxmlformats.org/drawingml/2006/main">
                  <a:graphicData uri="http://schemas.microsoft.com/office/word/2010/wordprocessingShape">
                    <wps:wsp>
                      <wps:cNvPr id="1060" name="テキスト ボックス 96"/>
                      <wps:cNvSpPr txBox="1">
                        <a:spLocks noChangeArrowheads="1"/>
                      </wps:cNvSpPr>
                      <wps:spPr>
                        <a:xfrm>
                          <a:off x="0" y="0"/>
                          <a:ext cx="1964055" cy="628650"/>
                        </a:xfrm>
                        <a:prstGeom prst="rect">
                          <a:avLst/>
                        </a:prstGeom>
                        <a:noFill/>
                        <a:ln>
                          <a:noFill/>
                        </a:ln>
                        <a:effectLst/>
                      </wps:spPr>
                      <wps:txbx>
                        <w:txbxContent>
                          <w:p>
                            <w:pPr>
                              <w:pStyle w:val="0"/>
                              <w:spacing w:line="280" w:lineRule="exact"/>
                              <w:rPr>
                                <w:rFonts w:hint="default"/>
                                <w:sz w:val="18"/>
                              </w:rPr>
                            </w:pPr>
                            <w:r>
                              <w:rPr>
                                <w:rFonts w:hint="eastAsia" w:ascii="ＭＳ ゴシック" w:hAnsi="ＭＳ ゴシック" w:eastAsia="ＭＳ ゴシック"/>
                                <w:sz w:val="18"/>
                              </w:rPr>
                              <w:t>障害者基本法を根拠に、障がい者に関わるさまざまな施策を総合的、体系的に示した計画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96" style="mso-wrap-distance-right:9pt;mso-wrap-distance-bottom:0pt;margin-top:12.5pt;mso-position-vertical-relative:text;mso-position-horizontal-relative:text;v-text-anchor:top;position:absolute;height:49.5pt;mso-wrap-distance-top:0pt;width:154.65pt;mso-wrap-distance-left:9pt;margin-left:257.55pt;z-index:209;" o:spid="_x0000_s1060" o:allowincell="t" o:allowoverlap="t" filled="f" stroked="f" o:spt="202" type="#_x0000_t202">
                <v:fill/>
                <v:textbox style="layout-flow:horizontal;" inset="2.0637499999999998mm,0.24694444444444438mm,2.0637499999999998mm,0.24694444444444438mm">
                  <w:txbxContent>
                    <w:p>
                      <w:pPr>
                        <w:pStyle w:val="0"/>
                        <w:spacing w:line="280" w:lineRule="exact"/>
                        <w:rPr>
                          <w:rFonts w:hint="default"/>
                          <w:sz w:val="18"/>
                        </w:rPr>
                      </w:pPr>
                      <w:r>
                        <w:rPr>
                          <w:rFonts w:hint="eastAsia" w:ascii="ＭＳ ゴシック" w:hAnsi="ＭＳ ゴシック" w:eastAsia="ＭＳ ゴシック"/>
                          <w:sz w:val="18"/>
                        </w:rPr>
                        <w:t>障害者基本法を根拠に、障がい者に関わるさまざまな施策を総合的、体系的に示した計画</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10" behindDoc="0" locked="0" layoutInCell="1" hidden="0" allowOverlap="1">
                <wp:simplePos x="0" y="0"/>
                <wp:positionH relativeFrom="column">
                  <wp:posOffset>1501775</wp:posOffset>
                </wp:positionH>
                <wp:positionV relativeFrom="paragraph">
                  <wp:posOffset>532765</wp:posOffset>
                </wp:positionV>
                <wp:extent cx="435610" cy="2258060"/>
                <wp:effectExtent l="635" t="635" r="29845" b="10795"/>
                <wp:wrapNone/>
                <wp:docPr id="1061" name="角丸四角形 97"/>
                <a:graphic xmlns:a="http://schemas.openxmlformats.org/drawingml/2006/main">
                  <a:graphicData uri="http://schemas.microsoft.com/office/word/2010/wordprocessingShape">
                    <wps:wsp>
                      <wps:cNvPr id="1061" name="角丸四角形 97"/>
                      <wps:cNvSpPr>
                        <a:spLocks noChangeArrowheads="1"/>
                      </wps:cNvSpPr>
                      <wps:spPr>
                        <a:xfrm rot="5400000">
                          <a:off x="0" y="0"/>
                          <a:ext cx="435610" cy="2258060"/>
                        </a:xfrm>
                        <a:prstGeom prst="roundRect">
                          <a:avLst>
                            <a:gd name="adj" fmla="val 16667"/>
                          </a:avLst>
                        </a:prstGeom>
                        <a:solidFill>
                          <a:srgbClr val="FFFFFF"/>
                        </a:solidFill>
                        <a:ln w="9525">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健康はえばる</w:t>
                            </w:r>
                            <w:r>
                              <w:rPr>
                                <w:rFonts w:hint="eastAsia" w:ascii="ＭＳ ゴシック" w:hAnsi="ＭＳ ゴシック" w:eastAsia="ＭＳ ゴシック"/>
                                <w:sz w:val="20"/>
                              </w:rPr>
                              <w:t>21</w:t>
                            </w:r>
                          </w:p>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（平成</w:t>
                            </w:r>
                            <w:r>
                              <w:rPr>
                                <w:rFonts w:hint="eastAsia" w:ascii="ＭＳ ゴシック" w:hAnsi="ＭＳ ゴシック" w:eastAsia="ＭＳ ゴシック"/>
                                <w:sz w:val="20"/>
                              </w:rPr>
                              <w:t>25</w:t>
                            </w:r>
                            <w:r>
                              <w:rPr>
                                <w:rFonts w:hint="eastAsia" w:ascii="ＭＳ ゴシック" w:hAnsi="ＭＳ ゴシック" w:eastAsia="ＭＳ ゴシック"/>
                                <w:sz w:val="20"/>
                              </w:rPr>
                              <w:t>年度～</w:t>
                            </w:r>
                            <w:r>
                              <w:rPr>
                                <w:rFonts w:hint="eastAsia" w:ascii="ＭＳ ゴシック" w:hAnsi="ＭＳ ゴシック" w:eastAsia="ＭＳ ゴシック"/>
                                <w:color w:val="000000" w:themeColor="text1"/>
                                <w:sz w:val="20"/>
                              </w:rPr>
                              <w:t>令和６年度</w:t>
                            </w:r>
                            <w:r>
                              <w:rPr>
                                <w:rFonts w:hint="eastAsia" w:ascii="ＭＳ ゴシック" w:hAnsi="ＭＳ ゴシック" w:eastAsia="ＭＳ ゴシック"/>
                                <w:sz w:val="20"/>
                              </w:rPr>
                              <w:t>）</w:t>
                            </w:r>
                          </w:p>
                        </w:txbxContent>
                      </wps:txbx>
                      <wps:bodyPr rot="0" vertOverflow="overflow" horzOverflow="overflow" wrap="square" lIns="32400" tIns="5400" rIns="18000" bIns="5400" anchor="t" anchorCtr="0" upright="1"/>
                    </wps:wsp>
                  </a:graphicData>
                </a:graphic>
              </wp:anchor>
            </w:drawing>
          </mc:Choice>
          <mc:Fallback>
            <w:pict>
              <v:roundrect id="角丸四角形 97" style="mso-wrap-distance-right:9pt;mso-wrap-distance-bottom:0pt;margin-top:41.95pt;mso-position-vertical-relative:text;mso-position-horizontal-relative:text;v-text-anchor:top;position:absolute;height:177.8pt;mso-wrap-distance-top:0pt;width:34.29pt;mso-wrap-distance-left:9pt;margin-left:118.25pt;z-index:210;rotation:90;" o:spid="_x0000_s1061" o:allowincell="t" o:allowoverlap="t" filled="t" fillcolor="#ffffff" stroked="t" strokecolor="#000000" strokeweight="0.75pt" o:spt="2" arcsize="10923f">
                <v:fill/>
                <v:stroke filltype="solid"/>
                <v:textbox style="layout-flow:horizontal;" inset="0.8999999999999998mm,0.14999999999999997mm,0.49999999999999989mm,0.14999999999999997mm">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健康はえばる</w:t>
                      </w:r>
                      <w:r>
                        <w:rPr>
                          <w:rFonts w:hint="eastAsia" w:ascii="ＭＳ ゴシック" w:hAnsi="ＭＳ ゴシック" w:eastAsia="ＭＳ ゴシック"/>
                          <w:sz w:val="20"/>
                        </w:rPr>
                        <w:t>21</w:t>
                      </w:r>
                    </w:p>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（平成</w:t>
                      </w:r>
                      <w:r>
                        <w:rPr>
                          <w:rFonts w:hint="eastAsia" w:ascii="ＭＳ ゴシック" w:hAnsi="ＭＳ ゴシック" w:eastAsia="ＭＳ ゴシック"/>
                          <w:sz w:val="20"/>
                        </w:rPr>
                        <w:t>25</w:t>
                      </w:r>
                      <w:r>
                        <w:rPr>
                          <w:rFonts w:hint="eastAsia" w:ascii="ＭＳ ゴシック" w:hAnsi="ＭＳ ゴシック" w:eastAsia="ＭＳ ゴシック"/>
                          <w:sz w:val="20"/>
                        </w:rPr>
                        <w:t>年度～</w:t>
                      </w:r>
                      <w:r>
                        <w:rPr>
                          <w:rFonts w:hint="eastAsia" w:ascii="ＭＳ ゴシック" w:hAnsi="ＭＳ ゴシック" w:eastAsia="ＭＳ ゴシック"/>
                          <w:color w:val="000000" w:themeColor="text1"/>
                          <w:sz w:val="20"/>
                        </w:rPr>
                        <w:t>令和６年度</w:t>
                      </w:r>
                      <w:r>
                        <w:rPr>
                          <w:rFonts w:hint="eastAsia" w:ascii="ＭＳ ゴシック" w:hAnsi="ＭＳ ゴシック" w:eastAsia="ＭＳ ゴシック"/>
                          <w:sz w:val="20"/>
                        </w:rPr>
                        <w:t>）</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211" behindDoc="0" locked="0" layoutInCell="1" hidden="0" allowOverlap="1">
                <wp:simplePos x="0" y="0"/>
                <wp:positionH relativeFrom="column">
                  <wp:posOffset>3223260</wp:posOffset>
                </wp:positionH>
                <wp:positionV relativeFrom="paragraph">
                  <wp:posOffset>151765</wp:posOffset>
                </wp:positionV>
                <wp:extent cx="2068195" cy="0"/>
                <wp:effectExtent l="0" t="635" r="29210" b="10795"/>
                <wp:wrapNone/>
                <wp:docPr id="1062" name="直線コネクタ 98"/>
                <a:graphic xmlns:a="http://schemas.openxmlformats.org/drawingml/2006/main">
                  <a:graphicData uri="http://schemas.microsoft.com/office/word/2010/wordprocessingShape">
                    <wps:wsp>
                      <wps:cNvPr id="1062" name="直線コネクタ 98"/>
                      <wps:cNvSpPr/>
                      <wps:spPr>
                        <a:xfrm>
                          <a:off x="0" y="0"/>
                          <a:ext cx="2068195" cy="0"/>
                        </a:xfrm>
                        <a:prstGeom prst="line">
                          <a:avLst/>
                        </a:prstGeom>
                        <a:noFill/>
                        <a:ln w="9525">
                          <a:solidFill>
                            <a:srgbClr val="000000"/>
                          </a:solidFill>
                          <a:round/>
                          <a:headEnd/>
                          <a:tailEnd/>
                        </a:ln>
                      </wps:spPr>
                      <wps:bodyPr/>
                    </wps:wsp>
                  </a:graphicData>
                </a:graphic>
              </wp:anchor>
            </w:drawing>
          </mc:Choice>
          <mc:Fallback>
            <w:pict>
              <v:line id="直線コネクタ 98" style="mso-wrap-distance-top:0pt;mso-wrap-distance-right:9pt;mso-wrap-distance-bottom:0pt;mso-position-vertical-relative:text;mso-position-horizontal-relative:text;position:absolute;mso-wrap-distance-left:9pt;z-index:211;" o:spid="_x0000_s1062" o:allowincell="t" o:allowoverlap="t" filled="f" stroked="t" strokecolor="#000000" strokeweight="0.75pt" o:spt="20" from="253.8pt,11.95pt" to="416.65pt,11.95pt">
                <v:fill/>
                <v:stroke filltype="solid"/>
                <v:textbox style="layout-flow:horizontal;"/>
                <v:imagedata o:title=""/>
                <w10:wrap type="none" anchorx="text" anchory="text"/>
              </v:line>
            </w:pict>
          </mc:Fallback>
        </mc:AlternateContent>
      </w:r>
    </w:p>
    <w:p>
      <w:pPr>
        <w:pStyle w:val="19"/>
        <w:ind w:left="336" w:firstLine="214"/>
        <w:rPr>
          <w:rFonts w:hint="default"/>
        </w:rPr>
      </w:pPr>
    </w:p>
    <w:p>
      <w:pPr>
        <w:pStyle w:val="19"/>
        <w:ind w:left="336" w:firstLine="214"/>
        <w:rPr>
          <w:rFonts w:hint="default"/>
        </w:rPr>
      </w:pPr>
    </w:p>
    <w:p>
      <w:pPr>
        <w:pStyle w:val="19"/>
        <w:ind w:left="336" w:firstLine="214"/>
        <w:rPr>
          <w:rFonts w:hint="default"/>
        </w:rPr>
      </w:pPr>
      <w:r>
        <w:rPr>
          <w:rFonts w:hint="default"/>
        </w:rPr>
        <mc:AlternateContent>
          <mc:Choice Requires="wps">
            <w:drawing>
              <wp:anchor distT="0" distB="0" distL="114300" distR="114300" simplePos="0" relativeHeight="212" behindDoc="0" locked="0" layoutInCell="1" hidden="0" allowOverlap="1">
                <wp:simplePos x="0" y="0"/>
                <wp:positionH relativeFrom="column">
                  <wp:posOffset>3279140</wp:posOffset>
                </wp:positionH>
                <wp:positionV relativeFrom="paragraph">
                  <wp:posOffset>102235</wp:posOffset>
                </wp:positionV>
                <wp:extent cx="1936750" cy="3156585"/>
                <wp:effectExtent l="635" t="635" r="29845" b="10795"/>
                <wp:wrapNone/>
                <wp:docPr id="1063" name="角丸四角形 101"/>
                <a:graphic xmlns:a="http://schemas.openxmlformats.org/drawingml/2006/main">
                  <a:graphicData uri="http://schemas.microsoft.com/office/word/2010/wordprocessingShape">
                    <wps:wsp>
                      <wps:cNvPr id="1063" name="角丸四角形 101"/>
                      <wps:cNvSpPr>
                        <a:spLocks noChangeArrowheads="1"/>
                      </wps:cNvSpPr>
                      <wps:spPr>
                        <a:xfrm>
                          <a:off x="0" y="0"/>
                          <a:ext cx="1936750" cy="3156585"/>
                        </a:xfrm>
                        <a:prstGeom prst="roundRect">
                          <a:avLst>
                            <a:gd name="adj" fmla="val 10139"/>
                          </a:avLst>
                        </a:prstGeom>
                        <a:solidFill>
                          <a:srgbClr val="FFFFFF"/>
                        </a:solidFill>
                        <a:ln w="9525">
                          <a:solidFill>
                            <a:srgbClr val="000000"/>
                          </a:solidFill>
                          <a:round/>
                          <a:headEnd/>
                          <a:tailEnd/>
                        </a:ln>
                        <a:effectLst/>
                      </wps:spPr>
                      <wps:bodyPr/>
                    </wps:wsp>
                  </a:graphicData>
                </a:graphic>
              </wp:anchor>
            </w:drawing>
          </mc:Choice>
          <mc:Fallback>
            <w:pict>
              <v:roundrect id="角丸四角形 101" style="mso-wrap-distance-right:9pt;mso-wrap-distance-bottom:0pt;margin-top:8.0500000000000007pt;mso-position-vertical-relative:text;mso-position-horizontal-relative:text;position:absolute;height:248.55pt;mso-wrap-distance-top:0pt;width:152.5pt;mso-wrap-distance-left:9pt;margin-left:258.2pt;z-index:212;" o:spid="_x0000_s1063" o:allowincell="t" o:allowoverlap="t" filled="t" fillcolor="#ffffff" stroked="t" strokecolor="#000000" strokeweight="0.75pt" o:spt="2" arcsize="6645f">
                <v:fill/>
                <v:stroke filltype="solid"/>
                <v:textbox style="layout-flow:horizontal;"/>
                <v:imagedata o:title=""/>
                <w10:wrap type="none" anchorx="text" anchory="text"/>
              </v:roundrect>
            </w:pict>
          </mc:Fallback>
        </mc:AlternateContent>
      </w:r>
      <w:r>
        <w:rPr>
          <w:rFonts w:hint="default"/>
        </w:rPr>
        <mc:AlternateContent>
          <mc:Choice Requires="wps">
            <w:drawing>
              <wp:anchor distT="0" distB="0" distL="114300" distR="114300" simplePos="0" relativeHeight="213" behindDoc="0" locked="0" layoutInCell="1" hidden="0" allowOverlap="1">
                <wp:simplePos x="0" y="0"/>
                <wp:positionH relativeFrom="column">
                  <wp:posOffset>3254375</wp:posOffset>
                </wp:positionH>
                <wp:positionV relativeFrom="paragraph">
                  <wp:posOffset>184150</wp:posOffset>
                </wp:positionV>
                <wp:extent cx="1997075" cy="247650"/>
                <wp:effectExtent l="0" t="0" r="635" b="635"/>
                <wp:wrapNone/>
                <wp:docPr id="1064" name="テキスト ボックス 100"/>
                <a:graphic xmlns:a="http://schemas.openxmlformats.org/drawingml/2006/main">
                  <a:graphicData uri="http://schemas.microsoft.com/office/word/2010/wordprocessingShape">
                    <wps:wsp>
                      <wps:cNvPr id="1064" name="テキスト ボックス 100"/>
                      <wps:cNvSpPr txBox="1">
                        <a:spLocks noChangeArrowheads="1"/>
                      </wps:cNvSpPr>
                      <wps:spPr>
                        <a:xfrm>
                          <a:off x="0" y="0"/>
                          <a:ext cx="1997075" cy="247650"/>
                        </a:xfrm>
                        <a:prstGeom prst="rect">
                          <a:avLst/>
                        </a:prstGeom>
                        <a:noFill/>
                        <a:ln>
                          <a:noFill/>
                        </a:ln>
                        <a:effectLst/>
                      </wps:spPr>
                      <wps:txbx>
                        <w:txbxContent>
                          <w:p>
                            <w:pPr>
                              <w:pStyle w:val="0"/>
                              <w:jc w:val="center"/>
                              <w:rPr>
                                <w:rFonts w:hint="default" w:ascii="ＭＳ ゴシック" w:hAnsi="ＭＳ ゴシック" w:eastAsia="ＭＳ ゴシック"/>
                                <w:spacing w:val="-6"/>
                                <w:sz w:val="21"/>
                              </w:rPr>
                            </w:pPr>
                            <w:r>
                              <w:rPr>
                                <w:rFonts w:hint="eastAsia" w:ascii="ＭＳ ゴシック" w:hAnsi="ＭＳ ゴシック" w:eastAsia="ＭＳ ゴシック"/>
                                <w:spacing w:val="-6"/>
                                <w:sz w:val="21"/>
                              </w:rPr>
                              <w:t>南風原町第７期障がい福祉計画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00" style="mso-wrap-distance-right:9pt;mso-wrap-distance-bottom:0pt;margin-top:14.5pt;mso-position-vertical-relative:text;mso-position-horizontal-relative:text;v-text-anchor:top;position:absolute;height:19.5pt;mso-wrap-distance-top:0pt;width:157.25pt;mso-wrap-distance-left:9pt;margin-left:256.25pt;z-index:213;" o:spid="_x0000_s1064" o:allowincell="t" o:allowoverlap="t" filled="f" stroked="f" o:spt="202" type="#_x0000_t202">
                <v:fill/>
                <v:textbox style="layout-flow:horizontal;" inset="2.0637499999999998mm,0.24694444444444438mm,2.0637499999999998mm,0.24694444444444438mm">
                  <w:txbxContent>
                    <w:p>
                      <w:pPr>
                        <w:pStyle w:val="0"/>
                        <w:jc w:val="center"/>
                        <w:rPr>
                          <w:rFonts w:hint="default" w:ascii="ＭＳ ゴシック" w:hAnsi="ＭＳ ゴシック" w:eastAsia="ＭＳ ゴシック"/>
                          <w:spacing w:val="-6"/>
                          <w:sz w:val="21"/>
                        </w:rPr>
                      </w:pPr>
                      <w:r>
                        <w:rPr>
                          <w:rFonts w:hint="eastAsia" w:ascii="ＭＳ ゴシック" w:hAnsi="ＭＳ ゴシック" w:eastAsia="ＭＳ ゴシック"/>
                          <w:spacing w:val="-6"/>
                          <w:sz w:val="21"/>
                        </w:rPr>
                        <w:t>南風原町第７期障がい福祉計画</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14" behindDoc="0" locked="0" layoutInCell="1" hidden="0" allowOverlap="1">
                <wp:simplePos x="0" y="0"/>
                <wp:positionH relativeFrom="column">
                  <wp:posOffset>2963545</wp:posOffset>
                </wp:positionH>
                <wp:positionV relativeFrom="paragraph">
                  <wp:posOffset>235585</wp:posOffset>
                </wp:positionV>
                <wp:extent cx="228600" cy="247650"/>
                <wp:effectExtent l="635" t="1270" r="29845" b="11430"/>
                <wp:wrapNone/>
                <wp:docPr id="1065" name="左右矢印 104"/>
                <a:graphic xmlns:a="http://schemas.openxmlformats.org/drawingml/2006/main">
                  <a:graphicData uri="http://schemas.microsoft.com/office/word/2010/wordprocessingShape">
                    <wps:wsp>
                      <wps:cNvPr id="1065" name="左右矢印 104"/>
                      <wps:cNvSpPr>
                        <a:spLocks noChangeArrowheads="1"/>
                      </wps:cNvSpPr>
                      <wps:spPr>
                        <a:xfrm>
                          <a:off x="0" y="0"/>
                          <a:ext cx="228600" cy="247650"/>
                        </a:xfrm>
                        <a:prstGeom prst="leftRightArrow">
                          <a:avLst>
                            <a:gd name="adj1" fmla="val 49741"/>
                            <a:gd name="adj2" fmla="val 36000"/>
                          </a:avLst>
                        </a:prstGeom>
                        <a:solidFill>
                          <a:srgbClr val="FFFFFF"/>
                        </a:solidFill>
                        <a:ln w="9525">
                          <a:solidFill>
                            <a:srgbClr val="000000"/>
                          </a:solidFill>
                          <a:miter lim="800000"/>
                          <a:headEnd/>
                          <a:tailEnd/>
                        </a:ln>
                      </wps:spPr>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04" style="mso-wrap-distance-right:9pt;mso-wrap-distance-bottom:0pt;margin-top:18.55pt;mso-position-vertical-relative:text;mso-position-horizontal-relative:text;position:absolute;height:19.5pt;mso-wrap-distance-top:0pt;width:18pt;mso-wrap-distance-left:9pt;margin-left:233.35pt;z-index:214;" o:spid="_x0000_s1065" o:allowincell="t" o:allowoverlap="t" filled="t" fillcolor="#ffffff" stroked="t" strokecolor="#000000" strokeweight="0.75pt" o:spt="69" type="#_x0000_t69" adj="7776,5428">
                <v:fill/>
                <v:stroke miterlimit="8" filltype="solid"/>
                <v:textbox style="layout-flow:horizontal;"/>
                <v:imagedata o:title=""/>
                <w10:wrap type="none" anchorx="text" anchory="text"/>
              </v:shape>
            </w:pict>
          </mc:Fallback>
        </mc:AlternateContent>
      </w:r>
    </w:p>
    <w:p>
      <w:pPr>
        <w:pStyle w:val="19"/>
        <w:ind w:left="336" w:firstLine="214"/>
        <w:rPr>
          <w:rFonts w:hint="default"/>
        </w:rPr>
      </w:pPr>
      <w:r>
        <w:rPr>
          <w:rFonts w:hint="default"/>
        </w:rPr>
        <mc:AlternateContent>
          <mc:Choice Requires="wps">
            <w:drawing>
              <wp:anchor distT="0" distB="0" distL="114300" distR="114300" simplePos="0" relativeHeight="215" behindDoc="0" locked="0" layoutInCell="1" hidden="0" allowOverlap="1">
                <wp:simplePos x="0" y="0"/>
                <wp:positionH relativeFrom="column">
                  <wp:posOffset>3203575</wp:posOffset>
                </wp:positionH>
                <wp:positionV relativeFrom="paragraph">
                  <wp:posOffset>99060</wp:posOffset>
                </wp:positionV>
                <wp:extent cx="2078355" cy="258445"/>
                <wp:effectExtent l="0" t="0" r="635" b="635"/>
                <wp:wrapNone/>
                <wp:docPr id="1066" name="テキスト ボックス 105"/>
                <a:graphic xmlns:a="http://schemas.openxmlformats.org/drawingml/2006/main">
                  <a:graphicData uri="http://schemas.microsoft.com/office/word/2010/wordprocessingShape">
                    <wps:wsp>
                      <wps:cNvPr id="1066" name="テキスト ボックス 105"/>
                      <wps:cNvSpPr txBox="1"/>
                      <wps:spPr>
                        <a:xfrm>
                          <a:off x="0" y="0"/>
                          <a:ext cx="207835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（令和６</w:t>
                            </w:r>
                            <w:r>
                              <w:rPr>
                                <w:rFonts w:hint="default" w:ascii="ＭＳ ゴシック" w:hAnsi="ＭＳ ゴシック" w:eastAsia="ＭＳ ゴシック"/>
                                <w:color w:val="000000" w:themeColor="text1"/>
                                <w:sz w:val="20"/>
                              </w:rPr>
                              <w:t>年度～</w:t>
                            </w:r>
                            <w:r>
                              <w:rPr>
                                <w:rFonts w:hint="eastAsia" w:ascii="ＭＳ ゴシック" w:hAnsi="ＭＳ ゴシック" w:eastAsia="ＭＳ ゴシック"/>
                                <w:color w:val="000000" w:themeColor="text1"/>
                                <w:sz w:val="20"/>
                              </w:rPr>
                              <w:t>令和８</w:t>
                            </w:r>
                            <w:r>
                              <w:rPr>
                                <w:rFonts w:hint="default" w:ascii="ＭＳ ゴシック" w:hAnsi="ＭＳ ゴシック" w:eastAsia="ＭＳ ゴシック"/>
                                <w:color w:val="000000" w:themeColor="text1"/>
                                <w:sz w:val="20"/>
                              </w:rPr>
                              <w:t>年</w:t>
                            </w:r>
                            <w:r>
                              <w:rPr>
                                <w:rFonts w:hint="eastAsia" w:ascii="ＭＳ ゴシック" w:hAnsi="ＭＳ ゴシック" w:eastAsia="ＭＳ ゴシック"/>
                                <w:color w:val="000000" w:themeColor="text1"/>
                                <w:sz w:val="20"/>
                              </w:rPr>
                              <w:t>度）</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5" style="mso-wrap-distance-right:9pt;mso-wrap-distance-bottom:0pt;margin-top:7.8pt;mso-position-vertical-relative:text;mso-position-horizontal-relative:text;v-text-anchor:middle;position:absolute;height:20.350000000000001pt;mso-wrap-distance-top:0pt;width:163.65pt;mso-wrap-distance-left:9pt;margin-left:252.25pt;z-index:215;" o:spid="_x0000_s1066" o:allowincell="t" o:allowoverlap="t" filled="f" stroked="f" strokeweight="0.5pt" o:spt="202" type="#_x0000_t202">
                <v:fill/>
                <v:textbox style="layout-flow:horizontal;">
                  <w:txbxContent>
                    <w:p>
                      <w:pPr>
                        <w:pStyle w:val="0"/>
                        <w:spacing w:line="0" w:lineRule="atLeast"/>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（令和６</w:t>
                      </w:r>
                      <w:r>
                        <w:rPr>
                          <w:rFonts w:hint="default" w:ascii="ＭＳ ゴシック" w:hAnsi="ＭＳ ゴシック" w:eastAsia="ＭＳ ゴシック"/>
                          <w:color w:val="000000" w:themeColor="text1"/>
                          <w:sz w:val="20"/>
                        </w:rPr>
                        <w:t>年度～</w:t>
                      </w:r>
                      <w:r>
                        <w:rPr>
                          <w:rFonts w:hint="eastAsia" w:ascii="ＭＳ ゴシック" w:hAnsi="ＭＳ ゴシック" w:eastAsia="ＭＳ ゴシック"/>
                          <w:color w:val="000000" w:themeColor="text1"/>
                          <w:sz w:val="20"/>
                        </w:rPr>
                        <w:t>令和８</w:t>
                      </w:r>
                      <w:r>
                        <w:rPr>
                          <w:rFonts w:hint="default" w:ascii="ＭＳ ゴシック" w:hAnsi="ＭＳ ゴシック" w:eastAsia="ＭＳ ゴシック"/>
                          <w:color w:val="000000" w:themeColor="text1"/>
                          <w:sz w:val="20"/>
                        </w:rPr>
                        <w:t>年</w:t>
                      </w:r>
                      <w:r>
                        <w:rPr>
                          <w:rFonts w:hint="eastAsia" w:ascii="ＭＳ ゴシック" w:hAnsi="ＭＳ ゴシック" w:eastAsia="ＭＳ ゴシック"/>
                          <w:color w:val="000000" w:themeColor="text1"/>
                          <w:sz w:val="20"/>
                        </w:rPr>
                        <w:t>度）</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16" behindDoc="0" locked="0" layoutInCell="1" hidden="0" allowOverlap="1">
                <wp:simplePos x="0" y="0"/>
                <wp:positionH relativeFrom="column">
                  <wp:posOffset>5509260</wp:posOffset>
                </wp:positionH>
                <wp:positionV relativeFrom="paragraph">
                  <wp:posOffset>98425</wp:posOffset>
                </wp:positionV>
                <wp:extent cx="340995" cy="1183640"/>
                <wp:effectExtent l="635" t="635" r="29845" b="10795"/>
                <wp:wrapNone/>
                <wp:docPr id="1067" name="角丸四角形 106"/>
                <a:graphic xmlns:a="http://schemas.openxmlformats.org/drawingml/2006/main">
                  <a:graphicData uri="http://schemas.microsoft.com/office/word/2010/wordprocessingShape">
                    <wps:wsp>
                      <wps:cNvPr id="1067" name="角丸四角形 106"/>
                      <wps:cNvSpPr>
                        <a:spLocks noChangeArrowheads="1"/>
                      </wps:cNvSpPr>
                      <wps:spPr>
                        <a:xfrm>
                          <a:off x="0" y="0"/>
                          <a:ext cx="340995" cy="1183640"/>
                        </a:xfrm>
                        <a:prstGeom prst="roundRect">
                          <a:avLst>
                            <a:gd name="adj" fmla="val 0"/>
                          </a:avLst>
                        </a:prstGeom>
                        <a:solidFill>
                          <a:srgbClr val="FFFFFF"/>
                        </a:solidFill>
                        <a:ln w="9525">
                          <a:solidFill>
                            <a:srgbClr val="000000"/>
                          </a:solidFill>
                          <a:round/>
                          <a:headEnd/>
                          <a:tailEnd/>
                        </a:ln>
                      </wps:spPr>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障害者総合支援法</w:t>
                            </w:r>
                          </w:p>
                        </w:txbxContent>
                      </wps:txbx>
                      <wps:bodyPr rot="0" vertOverflow="overflow" horzOverflow="overflow" vert="eaVert" wrap="square" lIns="41760" tIns="19800" rIns="41760" bIns="8890" anchor="t" anchorCtr="0" upright="1"/>
                    </wps:wsp>
                  </a:graphicData>
                </a:graphic>
              </wp:anchor>
            </w:drawing>
          </mc:Choice>
          <mc:Fallback>
            <w:pict>
              <v:roundrect id="角丸四角形 106" style="mso-wrap-distance-right:9pt;mso-wrap-distance-bottom:0pt;margin-top:7.75pt;mso-position-vertical-relative:text;mso-position-horizontal-relative:text;v-text-anchor:top;position:absolute;height:93.2pt;mso-wrap-distance-top:0pt;width:26.85pt;mso-wrap-distance-left:9pt;margin-left:433.8pt;z-index:216;" o:spid="_x0000_s1067" o:allowincell="t" o:allowoverlap="t" filled="t" fillcolor="#ffffff" stroked="t" strokecolor="#000000" strokeweight="0.75pt" o:spt="2" arcsize="0f">
                <v:fill/>
                <v:stroke filltype="solid"/>
                <v:textbox style="layout-flow:vertical-ideographic;" inset="1.1599999999999997mm,0.54999999999999993mm,1.1599999999999997mm,0.24694444444444438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障害者総合支援法</w:t>
                      </w:r>
                    </w:p>
                  </w:txbxContent>
                </v:textbox>
                <v:imagedata o:title=""/>
                <w10:wrap type="none" anchorx="text" anchory="text"/>
              </v:roundrect>
            </w:pict>
          </mc:Fallback>
        </mc:AlternateContent>
      </w:r>
    </w:p>
    <w:p>
      <w:pPr>
        <w:pStyle w:val="19"/>
        <w:ind w:left="336" w:firstLine="214"/>
        <w:rPr>
          <w:rFonts w:hint="default"/>
        </w:rPr>
      </w:pPr>
      <w:r>
        <w:rPr>
          <w:rFonts w:hint="default"/>
        </w:rPr>
        <mc:AlternateContent>
          <mc:Choice Requires="wps">
            <w:drawing>
              <wp:anchor distT="0" distB="0" distL="114300" distR="114300" simplePos="0" relativeHeight="217" behindDoc="0" locked="0" layoutInCell="1" hidden="0" allowOverlap="1">
                <wp:simplePos x="0" y="0"/>
                <wp:positionH relativeFrom="column">
                  <wp:posOffset>1532255</wp:posOffset>
                </wp:positionH>
                <wp:positionV relativeFrom="paragraph">
                  <wp:posOffset>130810</wp:posOffset>
                </wp:positionV>
                <wp:extent cx="384175" cy="2258060"/>
                <wp:effectExtent l="635" t="635" r="29845" b="10795"/>
                <wp:wrapNone/>
                <wp:docPr id="1068" name="角丸四角形 99"/>
                <a:graphic xmlns:a="http://schemas.openxmlformats.org/drawingml/2006/main">
                  <a:graphicData uri="http://schemas.microsoft.com/office/word/2010/wordprocessingShape">
                    <wps:wsp>
                      <wps:cNvPr id="1068" name="角丸四角形 99"/>
                      <wps:cNvSpPr>
                        <a:spLocks noChangeArrowheads="1"/>
                      </wps:cNvSpPr>
                      <wps:spPr>
                        <a:xfrm rot="5400000">
                          <a:off x="0" y="0"/>
                          <a:ext cx="384175" cy="2258060"/>
                        </a:xfrm>
                        <a:prstGeom prst="roundRect">
                          <a:avLst>
                            <a:gd name="adj" fmla="val 16667"/>
                          </a:avLst>
                        </a:prstGeom>
                        <a:solidFill>
                          <a:srgbClr val="FFFFFF"/>
                        </a:solidFill>
                        <a:ln w="9525">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南風原町地域防災計画</w:t>
                            </w:r>
                          </w:p>
                        </w:txbxContent>
                      </wps:txbx>
                      <wps:bodyPr rot="0" vertOverflow="overflow" horzOverflow="overflow" wrap="square" lIns="32400" tIns="5400" rIns="18000" bIns="5400" anchor="ctr" anchorCtr="0" upright="1"/>
                    </wps:wsp>
                  </a:graphicData>
                </a:graphic>
              </wp:anchor>
            </w:drawing>
          </mc:Choice>
          <mc:Fallback>
            <w:pict>
              <v:roundrect id="角丸四角形 99" style="mso-wrap-distance-right:9pt;mso-wrap-distance-bottom:0pt;margin-top:10.3pt;mso-position-vertical-relative:text;mso-position-horizontal-relative:text;v-text-anchor:middle;position:absolute;height:177.8pt;mso-wrap-distance-top:0pt;width:30.25pt;mso-wrap-distance-left:9pt;margin-left:120.65pt;z-index:217;rotation:90;" o:spid="_x0000_s1068" o:allowincell="t" o:allowoverlap="t" filled="t" fillcolor="#ffffff" stroked="t" strokecolor="#000000" strokeweight="0.75pt" o:spt="2" arcsize="10923f">
                <v:fill/>
                <v:stroke filltype="solid"/>
                <v:textbox style="layout-flow:horizontal;" inset="0.8999999999999998mm,0.14999999999999997mm,0.49999999999999989mm,0.14999999999999997mm">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南風原町地域防災計画</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218" behindDoc="0" locked="0" layoutInCell="1" hidden="0" allowOverlap="1">
                <wp:simplePos x="0" y="0"/>
                <wp:positionH relativeFrom="column">
                  <wp:posOffset>3299460</wp:posOffset>
                </wp:positionH>
                <wp:positionV relativeFrom="paragraph">
                  <wp:posOffset>90170</wp:posOffset>
                </wp:positionV>
                <wp:extent cx="1879600" cy="1104900"/>
                <wp:effectExtent l="0" t="0" r="635" b="635"/>
                <wp:wrapNone/>
                <wp:docPr id="1069" name="テキスト ボックス 110"/>
                <a:graphic xmlns:a="http://schemas.openxmlformats.org/drawingml/2006/main">
                  <a:graphicData uri="http://schemas.microsoft.com/office/word/2010/wordprocessingShape">
                    <wps:wsp>
                      <wps:cNvPr id="1069" name="テキスト ボックス 110"/>
                      <wps:cNvSpPr txBox="1">
                        <a:spLocks noChangeArrowheads="1"/>
                      </wps:cNvSpPr>
                      <wps:spPr>
                        <a:xfrm>
                          <a:off x="0" y="0"/>
                          <a:ext cx="1879600" cy="1104900"/>
                        </a:xfrm>
                        <a:prstGeom prst="rect">
                          <a:avLst/>
                        </a:prstGeom>
                        <a:noFill/>
                        <a:ln>
                          <a:noFill/>
                        </a:ln>
                        <a:effectLst/>
                      </wps:spPr>
                      <wps:txbx>
                        <w:txbxContent>
                          <w:p>
                            <w:pPr>
                              <w:pStyle w:val="0"/>
                              <w:spacing w:line="280" w:lineRule="exact"/>
                              <w:rPr>
                                <w:rFonts w:hint="default"/>
                                <w:sz w:val="18"/>
                              </w:rPr>
                            </w:pPr>
                            <w:r>
                              <w:rPr>
                                <w:rFonts w:hint="eastAsia" w:ascii="ＭＳ ゴシック" w:hAnsi="ＭＳ ゴシック" w:eastAsia="ＭＳ ゴシック"/>
                                <w:sz w:val="18"/>
                              </w:rPr>
                              <w:t>障害</w:t>
                            </w:r>
                            <w:r>
                              <w:rPr>
                                <w:rFonts w:hint="eastAsia" w:ascii="ＭＳ ゴシック" w:hAnsi="ＭＳ ゴシック" w:eastAsia="ＭＳ ゴシック"/>
                                <w:color w:val="000000" w:themeColor="text1"/>
                                <w:sz w:val="18"/>
                              </w:rPr>
                              <w:t>者</w:t>
                            </w:r>
                            <w:r>
                              <w:rPr>
                                <w:rFonts w:hint="default" w:ascii="ＭＳ ゴシック" w:hAnsi="ＭＳ ゴシック" w:eastAsia="ＭＳ ゴシック"/>
                                <w:color w:val="000000" w:themeColor="text1"/>
                                <w:sz w:val="18"/>
                              </w:rPr>
                              <w:t>総合</w:t>
                            </w:r>
                            <w:r>
                              <w:rPr>
                                <w:rFonts w:hint="eastAsia" w:ascii="ＭＳ ゴシック" w:hAnsi="ＭＳ ゴシック" w:eastAsia="ＭＳ ゴシック"/>
                                <w:color w:val="000000" w:themeColor="text1"/>
                                <w:sz w:val="18"/>
                              </w:rPr>
                              <w:t>支援</w:t>
                            </w:r>
                            <w:r>
                              <w:rPr>
                                <w:rFonts w:hint="eastAsia" w:ascii="ＭＳ ゴシック" w:hAnsi="ＭＳ ゴシック" w:eastAsia="ＭＳ ゴシック"/>
                                <w:sz w:val="18"/>
                              </w:rPr>
                              <w:t>法を根拠に、自立支援給付に係る障害福祉サービス等の量の見込みやサービス確保のための方策、地域生活支援事業の実施体制などについて示した計画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10" style="mso-wrap-distance-right:9pt;mso-wrap-distance-bottom:0pt;margin-top:7.1pt;mso-position-vertical-relative:text;mso-position-horizontal-relative:text;v-text-anchor:top;position:absolute;height:87pt;mso-wrap-distance-top:0pt;width:148pt;mso-wrap-distance-left:9pt;margin-left:259.8pt;z-index:218;" o:spid="_x0000_s1069" o:allowincell="t" o:allowoverlap="t" filled="f" stroked="f" o:spt="202" type="#_x0000_t202">
                <v:fill/>
                <v:textbox style="layout-flow:horizontal;" inset="2.0637499999999998mm,0.24694444444444438mm,2.0637499999999998mm,0.24694444444444438mm">
                  <w:txbxContent>
                    <w:p>
                      <w:pPr>
                        <w:pStyle w:val="0"/>
                        <w:spacing w:line="280" w:lineRule="exact"/>
                        <w:rPr>
                          <w:rFonts w:hint="default"/>
                          <w:sz w:val="18"/>
                        </w:rPr>
                      </w:pPr>
                      <w:r>
                        <w:rPr>
                          <w:rFonts w:hint="eastAsia" w:ascii="ＭＳ ゴシック" w:hAnsi="ＭＳ ゴシック" w:eastAsia="ＭＳ ゴシック"/>
                          <w:sz w:val="18"/>
                        </w:rPr>
                        <w:t>障害</w:t>
                      </w:r>
                      <w:r>
                        <w:rPr>
                          <w:rFonts w:hint="eastAsia" w:ascii="ＭＳ ゴシック" w:hAnsi="ＭＳ ゴシック" w:eastAsia="ＭＳ ゴシック"/>
                          <w:color w:val="000000" w:themeColor="text1"/>
                          <w:sz w:val="18"/>
                        </w:rPr>
                        <w:t>者</w:t>
                      </w:r>
                      <w:r>
                        <w:rPr>
                          <w:rFonts w:hint="default" w:ascii="ＭＳ ゴシック" w:hAnsi="ＭＳ ゴシック" w:eastAsia="ＭＳ ゴシック"/>
                          <w:color w:val="000000" w:themeColor="text1"/>
                          <w:sz w:val="18"/>
                        </w:rPr>
                        <w:t>総合</w:t>
                      </w:r>
                      <w:r>
                        <w:rPr>
                          <w:rFonts w:hint="eastAsia" w:ascii="ＭＳ ゴシック" w:hAnsi="ＭＳ ゴシック" w:eastAsia="ＭＳ ゴシック"/>
                          <w:color w:val="000000" w:themeColor="text1"/>
                          <w:sz w:val="18"/>
                        </w:rPr>
                        <w:t>支援</w:t>
                      </w:r>
                      <w:r>
                        <w:rPr>
                          <w:rFonts w:hint="eastAsia" w:ascii="ＭＳ ゴシック" w:hAnsi="ＭＳ ゴシック" w:eastAsia="ＭＳ ゴシック"/>
                          <w:sz w:val="18"/>
                        </w:rPr>
                        <w:t>法を根拠に、自立支援給付に係る障害福祉サービス等の量の見込みやサービス確保のための方策、地域生活支援事業の実施体制などについて示した計画</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19" behindDoc="0" locked="0" layoutInCell="1" hidden="0" allowOverlap="1">
                <wp:simplePos x="0" y="0"/>
                <wp:positionH relativeFrom="column">
                  <wp:posOffset>3284855</wp:posOffset>
                </wp:positionH>
                <wp:positionV relativeFrom="paragraph">
                  <wp:posOffset>82550</wp:posOffset>
                </wp:positionV>
                <wp:extent cx="1931035" cy="0"/>
                <wp:effectExtent l="0" t="635" r="29210" b="10795"/>
                <wp:wrapNone/>
                <wp:docPr id="1070" name="直線コネクタ 111"/>
                <a:graphic xmlns:a="http://schemas.openxmlformats.org/drawingml/2006/main">
                  <a:graphicData uri="http://schemas.microsoft.com/office/word/2010/wordprocessingShape">
                    <wps:wsp>
                      <wps:cNvPr id="1070" name="直線コネクタ 111"/>
                      <wps:cNvSpPr/>
                      <wps:spPr>
                        <a:xfrm>
                          <a:off x="0" y="0"/>
                          <a:ext cx="1931035" cy="0"/>
                        </a:xfrm>
                        <a:prstGeom prst="line">
                          <a:avLst/>
                        </a:prstGeom>
                        <a:noFill/>
                        <a:ln w="9525">
                          <a:solidFill>
                            <a:srgbClr val="000000"/>
                          </a:solidFill>
                          <a:round/>
                          <a:headEnd/>
                          <a:tailEnd/>
                        </a:ln>
                      </wps:spPr>
                      <wps:bodyPr/>
                    </wps:wsp>
                  </a:graphicData>
                </a:graphic>
              </wp:anchor>
            </w:drawing>
          </mc:Choice>
          <mc:Fallback>
            <w:pict>
              <v:line id="直線コネクタ 111" style="mso-wrap-distance-top:0pt;mso-wrap-distance-right:9pt;mso-wrap-distance-bottom:0pt;mso-position-vertical-relative:text;mso-position-horizontal-relative:text;position:absolute;mso-wrap-distance-left:9pt;z-index:219;" o:spid="_x0000_s1070" o:allowincell="t" o:allowoverlap="t" filled="f" stroked="t" strokecolor="#000000" strokeweight="0.75pt" o:spt="20" from="258.65000000000003pt,6.5pt" to="410.70000000000005pt,6.5pt">
                <v:fill/>
                <v:stroke filltype="solid"/>
                <v:textbox style="layout-flow:horizontal;"/>
                <v:imagedata o:title=""/>
                <w10:wrap type="none" anchorx="text" anchory="text"/>
              </v:line>
            </w:pict>
          </mc:Fallback>
        </mc:AlternateContent>
      </w:r>
    </w:p>
    <w:p>
      <w:pPr>
        <w:pStyle w:val="19"/>
        <w:ind w:left="336" w:firstLine="214"/>
        <w:rPr>
          <w:rFonts w:hint="default"/>
        </w:rPr>
      </w:pPr>
      <w:r>
        <w:rPr>
          <w:rFonts w:hint="default"/>
        </w:rPr>
        <mc:AlternateContent>
          <mc:Choice Requires="wps">
            <w:drawing>
              <wp:anchor distT="0" distB="0" distL="114300" distR="114300" simplePos="0" relativeHeight="220" behindDoc="0" locked="0" layoutInCell="1" hidden="0" allowOverlap="1">
                <wp:simplePos x="0" y="0"/>
                <wp:positionH relativeFrom="column">
                  <wp:posOffset>5223510</wp:posOffset>
                </wp:positionH>
                <wp:positionV relativeFrom="paragraph">
                  <wp:posOffset>53975</wp:posOffset>
                </wp:positionV>
                <wp:extent cx="261620" cy="369570"/>
                <wp:effectExtent l="635" t="1270" r="29845" b="11430"/>
                <wp:wrapNone/>
                <wp:docPr id="1071" name="左矢印 112"/>
                <a:graphic xmlns:a="http://schemas.openxmlformats.org/drawingml/2006/main">
                  <a:graphicData uri="http://schemas.microsoft.com/office/word/2010/wordprocessingShape">
                    <wps:wsp>
                      <wps:cNvPr id="1071" name="左矢印 112"/>
                      <wps:cNvSpPr>
                        <a:spLocks noChangeArrowheads="1"/>
                      </wps:cNvSpPr>
                      <wps:spPr>
                        <a:xfrm>
                          <a:off x="0" y="0"/>
                          <a:ext cx="261620" cy="369570"/>
                        </a:xfrm>
                        <a:prstGeom prst="leftArrow">
                          <a:avLst>
                            <a:gd name="adj1" fmla="val 44676"/>
                            <a:gd name="adj2" fmla="val 52454"/>
                          </a:avLst>
                        </a:prstGeom>
                        <a:solidFill>
                          <a:srgbClr val="808080"/>
                        </a:solidFill>
                        <a:ln w="9525" algn="ctr">
                          <a:solidFill>
                            <a:srgbClr val="000000"/>
                          </a:solidFill>
                          <a:miter lim="800000"/>
                          <a:headEnd/>
                          <a:tailEnd/>
                        </a:ln>
                        <a:effectLst/>
                      </wps:spPr>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2" style="mso-wrap-distance-right:9pt;mso-wrap-distance-bottom:0pt;margin-top:4.25pt;mso-position-vertical-relative:text;mso-position-horizontal-relative:text;position:absolute;height:29.1pt;mso-wrap-distance-top:0pt;width:20.6pt;mso-wrap-distance-left:9pt;margin-left:411.3pt;z-index:220;" o:spid="_x0000_s1071" o:allowincell="t" o:allowoverlap="t" filled="t" fillcolor="#808080" stroked="t" strokecolor="#000000" strokeweight="0.75pt" o:spt="66" type="#_x0000_t66" adj="11330,5975">
                <v:fill/>
                <v:stroke miterlimit="8" filltype="solid"/>
                <v:textbox style="layout-flow:horizontal;"/>
                <v:imagedata o:title=""/>
                <w10:wrap type="none" anchorx="text" anchory="text"/>
              </v:shape>
            </w:pict>
          </mc:Fallback>
        </mc:AlternateContent>
      </w: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r>
        <w:rPr>
          <w:rFonts w:hint="default"/>
        </w:rPr>
        <mc:AlternateContent>
          <mc:Choice Requires="wps">
            <w:drawing>
              <wp:anchor distT="0" distB="0" distL="114300" distR="114300" simplePos="0" relativeHeight="221" behindDoc="0" locked="0" layoutInCell="1" hidden="0" allowOverlap="1">
                <wp:simplePos x="0" y="0"/>
                <wp:positionH relativeFrom="column">
                  <wp:posOffset>1583055</wp:posOffset>
                </wp:positionH>
                <wp:positionV relativeFrom="paragraph">
                  <wp:posOffset>3175</wp:posOffset>
                </wp:positionV>
                <wp:extent cx="347980" cy="2293620"/>
                <wp:effectExtent l="635" t="635" r="29845" b="10795"/>
                <wp:wrapNone/>
                <wp:docPr id="1072" name="角丸四角形 109"/>
                <a:graphic xmlns:a="http://schemas.openxmlformats.org/drawingml/2006/main">
                  <a:graphicData uri="http://schemas.microsoft.com/office/word/2010/wordprocessingShape">
                    <wps:wsp>
                      <wps:cNvPr id="1072" name="角丸四角形 109"/>
                      <wps:cNvSpPr>
                        <a:spLocks noChangeArrowheads="1"/>
                      </wps:cNvSpPr>
                      <wps:spPr>
                        <a:xfrm rot="5400000">
                          <a:off x="0" y="0"/>
                          <a:ext cx="347980" cy="2293620"/>
                        </a:xfrm>
                        <a:prstGeom prst="roundRect">
                          <a:avLst>
                            <a:gd name="adj" fmla="val 16667"/>
                          </a:avLst>
                        </a:prstGeom>
                        <a:solidFill>
                          <a:srgbClr val="FFFFFF"/>
                        </a:solidFill>
                        <a:ln w="9525">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その他</w:t>
                            </w:r>
                            <w:r>
                              <w:rPr>
                                <w:rFonts w:hint="default" w:ascii="ＭＳ ゴシック" w:hAnsi="ＭＳ ゴシック" w:eastAsia="ＭＳ ゴシック"/>
                                <w:sz w:val="20"/>
                              </w:rPr>
                              <w:t>関連する行政</w:t>
                            </w:r>
                            <w:r>
                              <w:rPr>
                                <w:rFonts w:hint="eastAsia" w:ascii="ＭＳ ゴシック" w:hAnsi="ＭＳ ゴシック" w:eastAsia="ＭＳ ゴシック"/>
                                <w:sz w:val="20"/>
                              </w:rPr>
                              <w:t>計画</w:t>
                            </w:r>
                          </w:p>
                        </w:txbxContent>
                      </wps:txbx>
                      <wps:bodyPr rot="0" vertOverflow="overflow" horzOverflow="overflow" wrap="square" lIns="32400" tIns="5400" rIns="18000" bIns="5400" anchor="ctr" anchorCtr="0" upright="1"/>
                    </wps:wsp>
                  </a:graphicData>
                </a:graphic>
              </wp:anchor>
            </w:drawing>
          </mc:Choice>
          <mc:Fallback>
            <w:pict>
              <v:roundrect id="角丸四角形 109" style="mso-wrap-distance-right:9pt;mso-wrap-distance-bottom:0pt;margin-top:0.25pt;mso-position-vertical-relative:text;mso-position-horizontal-relative:text;v-text-anchor:middle;position:absolute;height:180.6pt;mso-wrap-distance-top:0pt;width:27.4pt;mso-wrap-distance-left:9pt;margin-left:124.65pt;z-index:221;rotation:90;" o:spid="_x0000_s1072" o:allowincell="t" o:allowoverlap="t" filled="t" fillcolor="#ffffff" stroked="t" strokecolor="#000000" strokeweight="0.75pt" o:spt="2" arcsize="10923f">
                <v:fill/>
                <v:stroke filltype="solid"/>
                <v:textbox style="layout-flow:horizontal;" inset="0.8999999999999998mm,0.14999999999999997mm,0.49999999999999989mm,0.14999999999999997mm">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その他</w:t>
                      </w:r>
                      <w:r>
                        <w:rPr>
                          <w:rFonts w:hint="default" w:ascii="ＭＳ ゴシック" w:hAnsi="ＭＳ ゴシック" w:eastAsia="ＭＳ ゴシック"/>
                          <w:sz w:val="20"/>
                        </w:rPr>
                        <w:t>関連する行政</w:t>
                      </w:r>
                      <w:r>
                        <w:rPr>
                          <w:rFonts w:hint="eastAsia" w:ascii="ＭＳ ゴシック" w:hAnsi="ＭＳ ゴシック" w:eastAsia="ＭＳ ゴシック"/>
                          <w:sz w:val="20"/>
                        </w:rPr>
                        <w:t>計画</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222" behindDoc="0" locked="0" layoutInCell="1" hidden="0" allowOverlap="1">
                <wp:simplePos x="0" y="0"/>
                <wp:positionH relativeFrom="column">
                  <wp:posOffset>3281680</wp:posOffset>
                </wp:positionH>
                <wp:positionV relativeFrom="paragraph">
                  <wp:posOffset>49530</wp:posOffset>
                </wp:positionV>
                <wp:extent cx="1931035" cy="0"/>
                <wp:effectExtent l="0" t="635" r="29210" b="10795"/>
                <wp:wrapNone/>
                <wp:docPr id="1073" name="直線コネクタ 159"/>
                <a:graphic xmlns:a="http://schemas.openxmlformats.org/drawingml/2006/main">
                  <a:graphicData uri="http://schemas.microsoft.com/office/word/2010/wordprocessingShape">
                    <wps:wsp>
                      <wps:cNvPr id="1073" name="直線コネクタ 159"/>
                      <wps:cNvSpPr/>
                      <wps:spPr>
                        <a:xfrm>
                          <a:off x="0" y="0"/>
                          <a:ext cx="1931035" cy="0"/>
                        </a:xfrm>
                        <a:prstGeom prst="line">
                          <a:avLst/>
                        </a:prstGeom>
                        <a:noFill/>
                        <a:ln w="9525">
                          <a:solidFill>
                            <a:srgbClr val="000000"/>
                          </a:solidFill>
                          <a:prstDash val="sysDot"/>
                          <a:round/>
                          <a:headEnd/>
                          <a:tailEnd/>
                        </a:ln>
                      </wps:spPr>
                      <wps:bodyPr/>
                    </wps:wsp>
                  </a:graphicData>
                </a:graphic>
              </wp:anchor>
            </w:drawing>
          </mc:Choice>
          <mc:Fallback>
            <w:pict>
              <v:line id="直線コネクタ 159" style="mso-wrap-distance-top:0pt;mso-wrap-distance-right:9pt;mso-wrap-distance-bottom:0pt;mso-position-vertical-relative:text;mso-position-horizontal-relative:text;position:absolute;mso-wrap-distance-left:9pt;z-index:222;" o:spid="_x0000_s1073" o:allowincell="t" o:allowoverlap="t" filled="f" stroked="t" strokecolor="#000000" strokeweight="0.75pt" o:spt="20" from="258.40000000000003pt,3.9000000000000004pt" to="410.45000000000005pt,3.9000000000000004pt">
                <v:fill/>
                <v:stroke dashstyle="shortdot" filltype="solid"/>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223" behindDoc="0" locked="0" layoutInCell="1" hidden="0" allowOverlap="1">
                <wp:simplePos x="0" y="0"/>
                <wp:positionH relativeFrom="column">
                  <wp:posOffset>3254375</wp:posOffset>
                </wp:positionH>
                <wp:positionV relativeFrom="paragraph">
                  <wp:posOffset>73660</wp:posOffset>
                </wp:positionV>
                <wp:extent cx="1997075" cy="247650"/>
                <wp:effectExtent l="0" t="0" r="635" b="635"/>
                <wp:wrapNone/>
                <wp:docPr id="1074" name="テキスト ボックス 153"/>
                <a:graphic xmlns:a="http://schemas.openxmlformats.org/drawingml/2006/main">
                  <a:graphicData uri="http://schemas.microsoft.com/office/word/2010/wordprocessingShape">
                    <wps:wsp>
                      <wps:cNvPr id="1074" name="テキスト ボックス 153"/>
                      <wps:cNvSpPr txBox="1">
                        <a:spLocks noChangeArrowheads="1"/>
                      </wps:cNvSpPr>
                      <wps:spPr>
                        <a:xfrm>
                          <a:off x="0" y="0"/>
                          <a:ext cx="1997075" cy="247650"/>
                        </a:xfrm>
                        <a:prstGeom prst="rect">
                          <a:avLst/>
                        </a:prstGeom>
                        <a:noFill/>
                        <a:ln>
                          <a:noFill/>
                        </a:ln>
                        <a:effectLst/>
                      </wps:spPr>
                      <wps:txbx>
                        <w:txbxContent>
                          <w:p>
                            <w:pPr>
                              <w:pStyle w:val="0"/>
                              <w:jc w:val="center"/>
                              <w:rPr>
                                <w:rFonts w:hint="default" w:ascii="ＭＳ ゴシック" w:hAnsi="ＭＳ ゴシック" w:eastAsia="ＭＳ ゴシック"/>
                                <w:w w:val="90"/>
                                <w:sz w:val="21"/>
                              </w:rPr>
                            </w:pPr>
                            <w:r>
                              <w:rPr>
                                <w:rFonts w:hint="eastAsia" w:ascii="ＭＳ ゴシック" w:hAnsi="ＭＳ ゴシック" w:eastAsia="ＭＳ ゴシック"/>
                                <w:w w:val="90"/>
                                <w:sz w:val="21"/>
                              </w:rPr>
                              <w:t>南風原町第３期障がい児福祉計画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53" style="mso-wrap-distance-right:9pt;mso-wrap-distance-bottom:0pt;margin-top:5.8pt;mso-position-vertical-relative:text;mso-position-horizontal-relative:text;v-text-anchor:top;position:absolute;height:19.5pt;mso-wrap-distance-top:0pt;width:157.25pt;mso-wrap-distance-left:9pt;margin-left:256.25pt;z-index:223;" o:spid="_x0000_s1074" o:allowincell="t" o:allowoverlap="t" filled="f" stroked="f" o:spt="202" type="#_x0000_t202">
                <v:fill/>
                <v:textbox style="layout-flow:horizontal;" inset="2.0637499999999998mm,0.24694444444444438mm,2.0637499999999998mm,0.24694444444444438mm">
                  <w:txbxContent>
                    <w:p>
                      <w:pPr>
                        <w:pStyle w:val="0"/>
                        <w:jc w:val="center"/>
                        <w:rPr>
                          <w:rFonts w:hint="default" w:ascii="ＭＳ ゴシック" w:hAnsi="ＭＳ ゴシック" w:eastAsia="ＭＳ ゴシック"/>
                          <w:w w:val="90"/>
                          <w:sz w:val="21"/>
                        </w:rPr>
                      </w:pPr>
                      <w:r>
                        <w:rPr>
                          <w:rFonts w:hint="eastAsia" w:ascii="ＭＳ ゴシック" w:hAnsi="ＭＳ ゴシック" w:eastAsia="ＭＳ ゴシック"/>
                          <w:w w:val="90"/>
                          <w:sz w:val="21"/>
                        </w:rPr>
                        <w:t>南風原町第３期障がい児福祉計画</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24" behindDoc="0" locked="0" layoutInCell="1" hidden="0" allowOverlap="1">
                <wp:simplePos x="0" y="0"/>
                <wp:positionH relativeFrom="column">
                  <wp:posOffset>3203575</wp:posOffset>
                </wp:positionH>
                <wp:positionV relativeFrom="paragraph">
                  <wp:posOffset>240030</wp:posOffset>
                </wp:positionV>
                <wp:extent cx="2078355" cy="258445"/>
                <wp:effectExtent l="0" t="0" r="635" b="635"/>
                <wp:wrapNone/>
                <wp:docPr id="1075" name="テキスト ボックス 154"/>
                <a:graphic xmlns:a="http://schemas.openxmlformats.org/drawingml/2006/main">
                  <a:graphicData uri="http://schemas.microsoft.com/office/word/2010/wordprocessingShape">
                    <wps:wsp>
                      <wps:cNvPr id="1075" name="テキスト ボックス 154"/>
                      <wps:cNvSpPr txBox="1"/>
                      <wps:spPr>
                        <a:xfrm>
                          <a:off x="0" y="0"/>
                          <a:ext cx="207835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（令和６</w:t>
                            </w:r>
                            <w:r>
                              <w:rPr>
                                <w:rFonts w:hint="default" w:ascii="ＭＳ ゴシック" w:hAnsi="ＭＳ ゴシック" w:eastAsia="ＭＳ ゴシック"/>
                                <w:color w:val="000000" w:themeColor="text1"/>
                                <w:sz w:val="20"/>
                              </w:rPr>
                              <w:t>年度～</w:t>
                            </w:r>
                            <w:r>
                              <w:rPr>
                                <w:rFonts w:hint="eastAsia" w:ascii="ＭＳ ゴシック" w:hAnsi="ＭＳ ゴシック" w:eastAsia="ＭＳ ゴシック"/>
                                <w:color w:val="000000" w:themeColor="text1"/>
                                <w:sz w:val="20"/>
                              </w:rPr>
                              <w:t>令和８</w:t>
                            </w:r>
                            <w:r>
                              <w:rPr>
                                <w:rFonts w:hint="default" w:ascii="ＭＳ ゴシック" w:hAnsi="ＭＳ ゴシック" w:eastAsia="ＭＳ ゴシック"/>
                                <w:color w:val="000000" w:themeColor="text1"/>
                                <w:sz w:val="20"/>
                              </w:rPr>
                              <w:t>年</w:t>
                            </w:r>
                            <w:r>
                              <w:rPr>
                                <w:rFonts w:hint="eastAsia" w:ascii="ＭＳ ゴシック" w:hAnsi="ＭＳ ゴシック" w:eastAsia="ＭＳ ゴシック"/>
                                <w:color w:val="000000" w:themeColor="text1"/>
                                <w:sz w:val="20"/>
                              </w:rPr>
                              <w:t>度）</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4" style="mso-wrap-distance-right:9pt;mso-wrap-distance-bottom:0pt;margin-top:18.89pt;mso-position-vertical-relative:text;mso-position-horizontal-relative:text;v-text-anchor:middle;position:absolute;height:20.350000000000001pt;mso-wrap-distance-top:0pt;width:163.65pt;mso-wrap-distance-left:9pt;margin-left:252.25pt;z-index:224;" o:spid="_x0000_s1075" o:allowincell="t" o:allowoverlap="t" filled="f" stroked="f" strokeweight="0.5pt" o:spt="202" type="#_x0000_t202">
                <v:fill/>
                <v:textbox style="layout-flow:horizontal;">
                  <w:txbxContent>
                    <w:p>
                      <w:pPr>
                        <w:pStyle w:val="0"/>
                        <w:spacing w:line="0" w:lineRule="atLeast"/>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（令和６</w:t>
                      </w:r>
                      <w:r>
                        <w:rPr>
                          <w:rFonts w:hint="default" w:ascii="ＭＳ ゴシック" w:hAnsi="ＭＳ ゴシック" w:eastAsia="ＭＳ ゴシック"/>
                          <w:color w:val="000000" w:themeColor="text1"/>
                          <w:sz w:val="20"/>
                        </w:rPr>
                        <w:t>年度～</w:t>
                      </w:r>
                      <w:r>
                        <w:rPr>
                          <w:rFonts w:hint="eastAsia" w:ascii="ＭＳ ゴシック" w:hAnsi="ＭＳ ゴシック" w:eastAsia="ＭＳ ゴシック"/>
                          <w:color w:val="000000" w:themeColor="text1"/>
                          <w:sz w:val="20"/>
                        </w:rPr>
                        <w:t>令和８</w:t>
                      </w:r>
                      <w:r>
                        <w:rPr>
                          <w:rFonts w:hint="default" w:ascii="ＭＳ ゴシック" w:hAnsi="ＭＳ ゴシック" w:eastAsia="ＭＳ ゴシック"/>
                          <w:color w:val="000000" w:themeColor="text1"/>
                          <w:sz w:val="20"/>
                        </w:rPr>
                        <w:t>年</w:t>
                      </w:r>
                      <w:r>
                        <w:rPr>
                          <w:rFonts w:hint="eastAsia" w:ascii="ＭＳ ゴシック" w:hAnsi="ＭＳ ゴシック" w:eastAsia="ＭＳ ゴシック"/>
                          <w:color w:val="000000" w:themeColor="text1"/>
                          <w:sz w:val="20"/>
                        </w:rPr>
                        <w:t>度）</w:t>
                      </w:r>
                    </w:p>
                  </w:txbxContent>
                </v:textbox>
                <v:imagedata o:title=""/>
                <w10:wrap type="none" anchorx="text" anchory="text"/>
              </v:shape>
            </w:pict>
          </mc:Fallback>
        </mc:AlternateContent>
      </w:r>
    </w:p>
    <w:p>
      <w:pPr>
        <w:pStyle w:val="19"/>
        <w:ind w:left="336" w:firstLine="214"/>
        <w:rPr>
          <w:rFonts w:hint="default"/>
        </w:rPr>
      </w:pPr>
      <w:r>
        <w:rPr>
          <w:rFonts w:hint="default"/>
        </w:rPr>
        <mc:AlternateContent>
          <mc:Choice Requires="wps">
            <w:drawing>
              <wp:anchor distT="0" distB="0" distL="114300" distR="114300" simplePos="0" relativeHeight="225" behindDoc="0" locked="0" layoutInCell="1" hidden="0" allowOverlap="1">
                <wp:simplePos x="0" y="0"/>
                <wp:positionH relativeFrom="column">
                  <wp:posOffset>3299460</wp:posOffset>
                </wp:positionH>
                <wp:positionV relativeFrom="paragraph">
                  <wp:posOffset>224155</wp:posOffset>
                </wp:positionV>
                <wp:extent cx="1879600" cy="1104900"/>
                <wp:effectExtent l="0" t="0" r="635" b="635"/>
                <wp:wrapNone/>
                <wp:docPr id="1076" name="テキスト ボックス 152"/>
                <a:graphic xmlns:a="http://schemas.openxmlformats.org/drawingml/2006/main">
                  <a:graphicData uri="http://schemas.microsoft.com/office/word/2010/wordprocessingShape">
                    <wps:wsp>
                      <wps:cNvPr id="1076" name="テキスト ボックス 152"/>
                      <wps:cNvSpPr txBox="1">
                        <a:spLocks noChangeArrowheads="1"/>
                      </wps:cNvSpPr>
                      <wps:spPr>
                        <a:xfrm>
                          <a:off x="0" y="0"/>
                          <a:ext cx="1879600" cy="1104900"/>
                        </a:xfrm>
                        <a:prstGeom prst="rect">
                          <a:avLst/>
                        </a:prstGeom>
                        <a:noFill/>
                        <a:ln>
                          <a:noFill/>
                        </a:ln>
                        <a:effectLst/>
                      </wps:spPr>
                      <wps:txbx>
                        <w:txbxContent>
                          <w:p>
                            <w:pPr>
                              <w:pStyle w:val="0"/>
                              <w:spacing w:line="280" w:lineRule="exact"/>
                              <w:rPr>
                                <w:rFonts w:hint="default"/>
                                <w:sz w:val="18"/>
                              </w:rPr>
                            </w:pPr>
                            <w:r>
                              <w:rPr>
                                <w:rFonts w:hint="eastAsia" w:ascii="ＭＳ ゴシック" w:hAnsi="ＭＳ ゴシック" w:eastAsia="ＭＳ ゴシック"/>
                                <w:sz w:val="18"/>
                              </w:rPr>
                              <w:t>児童福祉法を根拠に、障がい児の健やかな育成に向けた、発達支援の充実を図るために、障害児通所支援や、子ども・子育て支援等の量の見込やサービス確保のための方策などを示した計画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52" style="mso-wrap-distance-right:9pt;mso-wrap-distance-bottom:0pt;margin-top:17.64pt;mso-position-vertical-relative:text;mso-position-horizontal-relative:text;v-text-anchor:top;position:absolute;height:87pt;mso-wrap-distance-top:0pt;width:148pt;mso-wrap-distance-left:9pt;margin-left:259.8pt;z-index:225;" o:spid="_x0000_s1076" o:allowincell="t" o:allowoverlap="t" filled="f" stroked="f" o:spt="202" type="#_x0000_t202">
                <v:fill/>
                <v:textbox style="layout-flow:horizontal;" inset="2.0637499999999998mm,0.24694444444444438mm,2.0637499999999998mm,0.24694444444444438mm">
                  <w:txbxContent>
                    <w:p>
                      <w:pPr>
                        <w:pStyle w:val="0"/>
                        <w:spacing w:line="280" w:lineRule="exact"/>
                        <w:rPr>
                          <w:rFonts w:hint="default"/>
                          <w:sz w:val="18"/>
                        </w:rPr>
                      </w:pPr>
                      <w:r>
                        <w:rPr>
                          <w:rFonts w:hint="eastAsia" w:ascii="ＭＳ ゴシック" w:hAnsi="ＭＳ ゴシック" w:eastAsia="ＭＳ ゴシック"/>
                          <w:sz w:val="18"/>
                        </w:rPr>
                        <w:t>児童福祉法を根拠に、障がい児の健やかな育成に向けた、発達支援の充実を図るために、障害児通所支援や、子ども・子育て支援等の量の見込やサービス確保のための方策などを示した計画</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26" behindDoc="0" locked="0" layoutInCell="1" hidden="0" allowOverlap="1">
                <wp:simplePos x="0" y="0"/>
                <wp:positionH relativeFrom="column">
                  <wp:posOffset>3285490</wp:posOffset>
                </wp:positionH>
                <wp:positionV relativeFrom="paragraph">
                  <wp:posOffset>215265</wp:posOffset>
                </wp:positionV>
                <wp:extent cx="1931035" cy="0"/>
                <wp:effectExtent l="0" t="635" r="29210" b="10795"/>
                <wp:wrapNone/>
                <wp:docPr id="1077" name="直線コネクタ 155"/>
                <a:graphic xmlns:a="http://schemas.openxmlformats.org/drawingml/2006/main">
                  <a:graphicData uri="http://schemas.microsoft.com/office/word/2010/wordprocessingShape">
                    <wps:wsp>
                      <wps:cNvPr id="1077" name="直線コネクタ 155"/>
                      <wps:cNvSpPr/>
                      <wps:spPr>
                        <a:xfrm>
                          <a:off x="0" y="0"/>
                          <a:ext cx="1931035" cy="0"/>
                        </a:xfrm>
                        <a:prstGeom prst="line">
                          <a:avLst/>
                        </a:prstGeom>
                        <a:noFill/>
                        <a:ln w="9525">
                          <a:solidFill>
                            <a:srgbClr val="000000"/>
                          </a:solidFill>
                          <a:round/>
                          <a:headEnd/>
                          <a:tailEnd/>
                        </a:ln>
                      </wps:spPr>
                      <wps:bodyPr/>
                    </wps:wsp>
                  </a:graphicData>
                </a:graphic>
              </wp:anchor>
            </w:drawing>
          </mc:Choice>
          <mc:Fallback>
            <w:pict>
              <v:line id="直線コネクタ 155" style="mso-wrap-distance-top:0pt;mso-wrap-distance-right:9pt;mso-wrap-distance-bottom:0pt;mso-position-vertical-relative:text;mso-position-horizontal-relative:text;position:absolute;mso-wrap-distance-left:9pt;z-index:226;" o:spid="_x0000_s1077" o:allowincell="t" o:allowoverlap="t" filled="f" stroked="t" strokecolor="#000000" strokeweight="0.75pt" o:spt="20" from="258.7pt,16.95pt" to="410.75pt,16.95pt">
                <v:fill/>
                <v:stroke filltype="solid"/>
                <v:textbox style="layout-flow:horizontal;"/>
                <v:imagedata o:title=""/>
                <w10:wrap type="none" anchorx="text" anchory="text"/>
              </v:line>
            </w:pict>
          </mc:Fallback>
        </mc:AlternateContent>
      </w:r>
    </w:p>
    <w:p>
      <w:pPr>
        <w:pStyle w:val="19"/>
        <w:ind w:left="336" w:firstLine="214"/>
        <w:rPr>
          <w:rFonts w:hint="default"/>
        </w:rPr>
      </w:pPr>
      <w:r>
        <w:rPr>
          <w:rFonts w:hint="default"/>
        </w:rPr>
        <mc:AlternateContent>
          <mc:Choice Requires="wps">
            <w:drawing>
              <wp:anchor distT="0" distB="0" distL="114300" distR="114300" simplePos="0" relativeHeight="227" behindDoc="0" locked="0" layoutInCell="1" hidden="0" allowOverlap="1">
                <wp:simplePos x="0" y="0"/>
                <wp:positionH relativeFrom="column">
                  <wp:posOffset>5225415</wp:posOffset>
                </wp:positionH>
                <wp:positionV relativeFrom="paragraph">
                  <wp:posOffset>234950</wp:posOffset>
                </wp:positionV>
                <wp:extent cx="257175" cy="369570"/>
                <wp:effectExtent l="635" t="1270" r="29845" b="11430"/>
                <wp:wrapNone/>
                <wp:docPr id="1078" name="左矢印 158"/>
                <a:graphic xmlns:a="http://schemas.openxmlformats.org/drawingml/2006/main">
                  <a:graphicData uri="http://schemas.microsoft.com/office/word/2010/wordprocessingShape">
                    <wps:wsp>
                      <wps:cNvPr id="1078" name="左矢印 158"/>
                      <wps:cNvSpPr>
                        <a:spLocks noChangeArrowheads="1"/>
                      </wps:cNvSpPr>
                      <wps:spPr>
                        <a:xfrm>
                          <a:off x="0" y="0"/>
                          <a:ext cx="257175" cy="369570"/>
                        </a:xfrm>
                        <a:prstGeom prst="leftArrow">
                          <a:avLst>
                            <a:gd name="adj1" fmla="val 44676"/>
                            <a:gd name="adj2" fmla="val 52454"/>
                          </a:avLst>
                        </a:prstGeom>
                        <a:solidFill>
                          <a:srgbClr val="808080"/>
                        </a:solidFill>
                        <a:ln w="9525" algn="ctr">
                          <a:solidFill>
                            <a:srgbClr val="000000"/>
                          </a:solidFill>
                          <a:miter lim="800000"/>
                          <a:headEnd/>
                          <a:tailEnd/>
                        </a:ln>
                        <a:effectLst/>
                      </wps:spPr>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58" style="mso-wrap-distance-right:9pt;mso-wrap-distance-bottom:0pt;margin-top:18.5pt;mso-position-vertical-relative:text;mso-position-horizontal-relative:text;position:absolute;height:29.1pt;mso-wrap-distance-top:0pt;width:20.25pt;mso-wrap-distance-left:9pt;margin-left:411.45pt;z-index:227;" o:spid="_x0000_s1078" o:allowincell="t" o:allowoverlap="t" filled="t" fillcolor="#808080" stroked="t" strokecolor="#000000" strokeweight="0.75pt" o:spt="66" type="#_x0000_t66" adj="11330,5975">
                <v:fill/>
                <v:stroke miterlimit="8"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228" behindDoc="0" locked="0" layoutInCell="1" hidden="0" allowOverlap="1">
                <wp:simplePos x="0" y="0"/>
                <wp:positionH relativeFrom="column">
                  <wp:posOffset>1677035</wp:posOffset>
                </wp:positionH>
                <wp:positionV relativeFrom="paragraph">
                  <wp:posOffset>189865</wp:posOffset>
                </wp:positionV>
                <wp:extent cx="212725" cy="247650"/>
                <wp:effectExtent l="1270" t="635" r="30480" b="10795"/>
                <wp:wrapNone/>
                <wp:docPr id="1079" name="左右矢印 115"/>
                <a:graphic xmlns:a="http://schemas.openxmlformats.org/drawingml/2006/main">
                  <a:graphicData uri="http://schemas.microsoft.com/office/word/2010/wordprocessingShape">
                    <wps:wsp>
                      <wps:cNvPr id="1079" name="左右矢印 115"/>
                      <wps:cNvSpPr>
                        <a:spLocks noChangeArrowheads="1"/>
                      </wps:cNvSpPr>
                      <wps:spPr>
                        <a:xfrm rot="5400000">
                          <a:off x="0" y="0"/>
                          <a:ext cx="212725" cy="247650"/>
                        </a:xfrm>
                        <a:prstGeom prst="leftRightArrow">
                          <a:avLst>
                            <a:gd name="adj1" fmla="val 42056"/>
                            <a:gd name="adj2" fmla="val 32306"/>
                          </a:avLst>
                        </a:prstGeom>
                        <a:solidFill>
                          <a:srgbClr val="FFFFFF"/>
                        </a:solidFill>
                        <a:ln w="9525">
                          <a:solidFill>
                            <a:srgbClr val="000000"/>
                          </a:solidFill>
                          <a:miter lim="800000"/>
                          <a:headEnd/>
                          <a:tailEnd/>
                        </a:ln>
                      </wps:spPr>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15" style="mso-wrap-distance-right:9pt;mso-wrap-distance-bottom:0pt;margin-top:14.95pt;mso-position-vertical-relative:text;mso-position-horizontal-relative:text;position:absolute;height:19.5pt;mso-wrap-distance-top:0pt;width:16.75pt;mso-wrap-distance-left:9pt;margin-left:132.05000000000001pt;z-index:228;rotation:90;" o:spid="_x0000_s1079" o:allowincell="t" o:allowoverlap="t" filled="t" fillcolor="#ffffff" stroked="t" strokecolor="#000000" strokeweight="0.75pt" o:spt="69" type="#_x0000_t69" adj="6978,6258">
                <v:fill/>
                <v:stroke miterlimit="8"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229" behindDoc="0" locked="0" layoutInCell="1" hidden="0" allowOverlap="1">
                <wp:simplePos x="0" y="0"/>
                <wp:positionH relativeFrom="column">
                  <wp:posOffset>5511165</wp:posOffset>
                </wp:positionH>
                <wp:positionV relativeFrom="paragraph">
                  <wp:posOffset>2540</wp:posOffset>
                </wp:positionV>
                <wp:extent cx="340995" cy="845185"/>
                <wp:effectExtent l="635" t="635" r="29845" b="10795"/>
                <wp:wrapNone/>
                <wp:docPr id="1080" name="角丸四角形 157"/>
                <a:graphic xmlns:a="http://schemas.openxmlformats.org/drawingml/2006/main">
                  <a:graphicData uri="http://schemas.microsoft.com/office/word/2010/wordprocessingShape">
                    <wps:wsp>
                      <wps:cNvPr id="1080" name="角丸四角形 157"/>
                      <wps:cNvSpPr>
                        <a:spLocks noChangeArrowheads="1"/>
                      </wps:cNvSpPr>
                      <wps:spPr>
                        <a:xfrm>
                          <a:off x="0" y="0"/>
                          <a:ext cx="340995" cy="845185"/>
                        </a:xfrm>
                        <a:prstGeom prst="roundRect">
                          <a:avLst>
                            <a:gd name="adj" fmla="val 0"/>
                          </a:avLst>
                        </a:prstGeom>
                        <a:solidFill>
                          <a:srgbClr val="FFFFFF"/>
                        </a:solidFill>
                        <a:ln w="9525">
                          <a:solidFill>
                            <a:srgbClr val="000000"/>
                          </a:solidFill>
                          <a:round/>
                          <a:headEnd/>
                          <a:tailEnd/>
                        </a:ln>
                      </wps:spPr>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児童福祉法</w:t>
                            </w:r>
                          </w:p>
                        </w:txbxContent>
                      </wps:txbx>
                      <wps:bodyPr rot="0" vertOverflow="overflow" horzOverflow="overflow" vert="eaVert" wrap="square" lIns="41760" tIns="19800" rIns="41760" bIns="8890" anchor="t" anchorCtr="0" upright="1"/>
                    </wps:wsp>
                  </a:graphicData>
                </a:graphic>
              </wp:anchor>
            </w:drawing>
          </mc:Choice>
          <mc:Fallback>
            <w:pict>
              <v:roundrect id="角丸四角形 157" style="mso-wrap-distance-right:9pt;mso-wrap-distance-bottom:0pt;margin-top:0.2pt;mso-position-vertical-relative:text;mso-position-horizontal-relative:text;v-text-anchor:top;position:absolute;height:66.55pt;mso-wrap-distance-top:0pt;width:26.85pt;mso-wrap-distance-left:9pt;margin-left:433.95pt;z-index:229;" o:spid="_x0000_s1080" o:allowincell="t" o:allowoverlap="t" filled="t" fillcolor="#ffffff" stroked="t" strokecolor="#000000" strokeweight="0.75pt" o:spt="2" arcsize="0f">
                <v:fill/>
                <v:stroke filltype="solid"/>
                <v:textbox style="layout-flow:vertical-ideographic;" inset="1.1599999999999997mm,0.54999999999999993mm,1.1599999999999997mm,0.24694444444444438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児童福祉法</w:t>
                      </w:r>
                    </w:p>
                  </w:txbxContent>
                </v:textbox>
                <v:imagedata o:title=""/>
                <w10:wrap type="none" anchorx="text" anchory="text"/>
              </v:roundrect>
            </w:pict>
          </mc:Fallback>
        </mc:AlternateContent>
      </w:r>
    </w:p>
    <w:p>
      <w:pPr>
        <w:pStyle w:val="19"/>
        <w:ind w:left="336" w:firstLine="214"/>
        <w:rPr>
          <w:rFonts w:hint="default"/>
        </w:rPr>
      </w:pPr>
    </w:p>
    <w:p>
      <w:pPr>
        <w:pStyle w:val="0"/>
        <w:widowControl w:val="1"/>
        <w:jc w:val="left"/>
        <w:rPr>
          <w:rFonts w:hint="default" w:asciiTheme="minorEastAsia" w:hAnsiTheme="minorEastAsia"/>
        </w:rPr>
      </w:pPr>
      <w:r>
        <w:rPr>
          <w:rFonts w:hint="default"/>
        </w:rPr>
        <mc:AlternateContent>
          <mc:Choice Requires="wps">
            <w:drawing>
              <wp:anchor distT="0" distB="0" distL="114300" distR="114300" simplePos="0" relativeHeight="230" behindDoc="0" locked="0" layoutInCell="1" hidden="0" allowOverlap="1">
                <wp:simplePos x="0" y="0"/>
                <wp:positionH relativeFrom="column">
                  <wp:posOffset>2963545</wp:posOffset>
                </wp:positionH>
                <wp:positionV relativeFrom="paragraph">
                  <wp:posOffset>35560</wp:posOffset>
                </wp:positionV>
                <wp:extent cx="228600" cy="247650"/>
                <wp:effectExtent l="635" t="1270" r="29845" b="11430"/>
                <wp:wrapNone/>
                <wp:docPr id="1081" name="左右矢印 116"/>
                <a:graphic xmlns:a="http://schemas.openxmlformats.org/drawingml/2006/main">
                  <a:graphicData uri="http://schemas.microsoft.com/office/word/2010/wordprocessingShape">
                    <wps:wsp>
                      <wps:cNvPr id="1081" name="左右矢印 116"/>
                      <wps:cNvSpPr>
                        <a:spLocks noChangeArrowheads="1"/>
                      </wps:cNvSpPr>
                      <wps:spPr>
                        <a:xfrm>
                          <a:off x="0" y="0"/>
                          <a:ext cx="228600" cy="247650"/>
                        </a:xfrm>
                        <a:prstGeom prst="leftRightArrow">
                          <a:avLst>
                            <a:gd name="adj1" fmla="val 49741"/>
                            <a:gd name="adj2" fmla="val 36000"/>
                          </a:avLst>
                        </a:prstGeom>
                        <a:solidFill>
                          <a:srgbClr val="FFFFFF"/>
                        </a:solidFill>
                        <a:ln w="9525">
                          <a:solidFill>
                            <a:srgbClr val="000000"/>
                          </a:solidFill>
                          <a:miter lim="800000"/>
                          <a:headEnd/>
                          <a:tailEnd/>
                        </a:ln>
                      </wps:spPr>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16" style="mso-wrap-distance-right:9pt;mso-wrap-distance-bottom:0pt;margin-top:2.8pt;mso-position-vertical-relative:text;mso-position-horizontal-relative:text;position:absolute;height:19.5pt;mso-wrap-distance-top:0pt;width:18pt;mso-wrap-distance-left:9pt;margin-left:233.35pt;z-index:230;" o:spid="_x0000_s1081" o:allowincell="t" o:allowoverlap="t" filled="t" fillcolor="#ffffff" stroked="t" strokecolor="#000000" strokeweight="0.75pt" o:spt="69" type="#_x0000_t69" adj="7776,5428">
                <v:fill/>
                <v:stroke miterlimit="8" filltype="solid"/>
                <v:textbox style="layout-flow:horizontal;"/>
                <v:imagedata o:title=""/>
                <w10:wrap type="none" anchorx="text" anchory="text"/>
              </v:shape>
            </w:pict>
          </mc:Fallback>
        </mc:AlternateContent>
      </w:r>
      <w:r>
        <w:rPr>
          <w:rFonts w:hint="default" w:asciiTheme="minorEastAsia" w:hAnsiTheme="minorEastAsia"/>
        </w:rPr>
        <w:br w:type="page"/>
      </w:r>
    </w:p>
    <w:p>
      <w:pPr>
        <w:pStyle w:val="0"/>
        <w:rPr>
          <w:rFonts w:hint="default" w:asciiTheme="majorEastAsia" w:hAnsiTheme="majorEastAsia" w:eastAsiaTheme="majorEastAsia"/>
          <w:sz w:val="24"/>
        </w:rPr>
      </w:pPr>
      <w:r>
        <w:rPr>
          <w:rFonts w:hint="eastAsia" w:asciiTheme="majorEastAsia" w:hAnsiTheme="majorEastAsia" w:eastAsiaTheme="majorEastAsia"/>
          <w:sz w:val="24"/>
        </w:rPr>
        <w:t>【参考：国の第５次障害者基本計画　各論の主な内容】</w:t>
      </w:r>
    </w:p>
    <w:p>
      <w:pPr>
        <w:pStyle w:val="0"/>
        <w:widowControl w:val="1"/>
        <w:spacing w:line="0" w:lineRule="atLeast"/>
        <w:ind w:left="420" w:firstLine="100"/>
        <w:jc w:val="left"/>
        <w:rPr>
          <w:rFonts w:hint="default"/>
          <w:sz w:val="10"/>
        </w:rPr>
      </w:pPr>
    </w:p>
    <w:p>
      <w:pPr>
        <w:pStyle w:val="0"/>
        <w:widowControl w:val="1"/>
        <w:spacing w:line="0" w:lineRule="atLeast"/>
        <w:ind w:left="420" w:firstLine="210"/>
        <w:jc w:val="left"/>
        <w:rPr>
          <w:rFonts w:hint="default"/>
        </w:rPr>
      </w:pPr>
      <w:r>
        <w:rPr>
          <w:rFonts w:hint="eastAsia"/>
        </w:rPr>
        <mc:AlternateContent>
          <mc:Choice Requires="wps">
            <w:drawing>
              <wp:anchor distT="0" distB="0" distL="114300" distR="114300" simplePos="0" relativeHeight="180" behindDoc="0" locked="0" layoutInCell="1" hidden="0" allowOverlap="1">
                <wp:simplePos x="0" y="0"/>
                <wp:positionH relativeFrom="column">
                  <wp:posOffset>152400</wp:posOffset>
                </wp:positionH>
                <wp:positionV relativeFrom="paragraph">
                  <wp:posOffset>42545</wp:posOffset>
                </wp:positionV>
                <wp:extent cx="1331595" cy="215900"/>
                <wp:effectExtent l="635" t="635" r="29845" b="10795"/>
                <wp:wrapNone/>
                <wp:docPr id="1082" name="四角形: 角を丸くする 1"/>
                <a:graphic xmlns:a="http://schemas.openxmlformats.org/drawingml/2006/main">
                  <a:graphicData uri="http://schemas.microsoft.com/office/word/2010/wordprocessingShape">
                    <wps:wsp>
                      <wps:cNvPr id="1082" name="四角形: 角を丸くする 1"/>
                      <wps:cNvSpPr/>
                      <wps:spPr>
                        <a:xfrm>
                          <a:off x="0" y="0"/>
                          <a:ext cx="1331595" cy="215900"/>
                        </a:xfrm>
                        <a:prstGeom prst="roundRect">
                          <a:avLst>
                            <a:gd name="adj" fmla="val 50000"/>
                          </a:avLst>
                        </a:prstGeom>
                        <a:solidFill>
                          <a:schemeClr val="bg1">
                            <a:lumMod val="8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color w:val="000000" w:themeColor="text1"/>
                                <w:sz w:val="20"/>
                              </w:rPr>
                              <w:t>各論の主な内容</w:t>
                            </w:r>
                          </w:p>
                          <w:p>
                            <w:pPr>
                              <w:pStyle w:val="0"/>
                              <w:rPr>
                                <w:rFonts w:hint="default" w:ascii="ＭＳ ゴシック" w:hAnsi="ＭＳ ゴシック" w:eastAsia="ＭＳ ゴシック"/>
                                <w:sz w:val="20"/>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1" style="mso-wrap-distance-right:9pt;mso-wrap-distance-bottom:0pt;margin-top:3.35pt;mso-position-vertical-relative:text;mso-position-horizontal-relative:text;v-text-anchor:middle;position:absolute;height:17pt;mso-wrap-distance-top:0pt;width:104.85pt;mso-wrap-distance-left:9pt;margin-left:12pt;z-index:180;" o:spid="_x0000_s1082" o:allowincell="t" o:allowoverlap="t" filled="t" fillcolor="#d9d9d9 [2732]" stroked="t" strokecolor="#000000 [3213]" strokeweight="1pt" o:spt="2" arcsize="32768f">
                <v:fill/>
                <v:stroke linestyle="single" miterlimit="8" endcap="flat" dashstyle="solid" filltype="solid"/>
                <v:textbox style="layout-flow:horizontal;" inset="0mm,0mm,0mm,0mm">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color w:val="000000" w:themeColor="text1"/>
                          <w:sz w:val="20"/>
                        </w:rPr>
                        <w:t>各論の主な内容</w:t>
                      </w:r>
                    </w:p>
                    <w:p>
                      <w:pPr>
                        <w:pStyle w:val="0"/>
                        <w:rPr>
                          <w:rFonts w:hint="default" w:ascii="ＭＳ ゴシック" w:hAnsi="ＭＳ ゴシック" w:eastAsia="ＭＳ ゴシック"/>
                          <w:sz w:val="20"/>
                        </w:rPr>
                      </w:pP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179" behindDoc="0" locked="1" layoutInCell="1" hidden="0" allowOverlap="1">
                <wp:simplePos x="0" y="0"/>
                <wp:positionH relativeFrom="column">
                  <wp:posOffset>70485</wp:posOffset>
                </wp:positionH>
                <wp:positionV relativeFrom="paragraph">
                  <wp:posOffset>182245</wp:posOffset>
                </wp:positionV>
                <wp:extent cx="6057900" cy="8401050"/>
                <wp:effectExtent l="635" t="635" r="29845" b="10795"/>
                <wp:wrapNone/>
                <wp:docPr id="1083" name="四角形: 角を丸くする 2"/>
                <a:graphic xmlns:a="http://schemas.openxmlformats.org/drawingml/2006/main">
                  <a:graphicData uri="http://schemas.microsoft.com/office/word/2010/wordprocessingShape">
                    <wps:wsp>
                      <wps:cNvPr id="1083" name="四角形: 角を丸くする 2"/>
                      <wps:cNvSpPr/>
                      <wps:spPr>
                        <a:xfrm>
                          <a:off x="0" y="0"/>
                          <a:ext cx="6057900" cy="8401050"/>
                        </a:xfrm>
                        <a:prstGeom prst="roundRect">
                          <a:avLst>
                            <a:gd name="adj" fmla="val 98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2" style="mso-wrap-distance-right:9pt;mso-wrap-distance-bottom:0pt;margin-top:14.35pt;mso-position-vertical-relative:text;mso-position-horizontal-relative:text;position:absolute;height:661.5pt;mso-wrap-distance-top:0pt;width:477pt;mso-wrap-distance-left:9pt;margin-left:5.55pt;z-index:179;" o:spid="_x0000_s1083" o:allowincell="t" o:allowoverlap="t" filled="f" stroked="t" strokecolor="#000000 [3213]" strokeweight="1pt" o:spt="2" arcsize="646f">
                <v:fill/>
                <v:stroke linestyle="single" miterlimit="8" endcap="flat" dashstyle="solid" filltype="solid"/>
                <v:textbox style="layout-flow:horizontal;"/>
                <v:imagedata o:title=""/>
                <w10:wrap type="none" anchorx="text" anchory="text"/>
                <w10:anchorlock/>
              </v:roundrect>
            </w:pict>
          </mc:Fallback>
        </mc:AlternateContent>
      </w:r>
    </w:p>
    <w:p>
      <w:pPr>
        <w:pStyle w:val="0"/>
        <w:widowControl w:val="1"/>
        <w:spacing w:line="0" w:lineRule="atLeast"/>
        <w:ind w:left="420" w:firstLine="160"/>
        <w:jc w:val="left"/>
        <w:rPr>
          <w:rFonts w:hint="default"/>
          <w:sz w:val="16"/>
        </w:rPr>
      </w:pPr>
    </w:p>
    <w:tbl>
      <w:tblPr>
        <w:tblStyle w:val="307"/>
        <w:tblW w:w="9214" w:type="dxa"/>
        <w:tblInd w:w="279" w:type="dxa"/>
        <w:tblLayout w:type="fixed"/>
        <w:tblLook w:firstRow="1" w:lastRow="0" w:firstColumn="1" w:lastColumn="0" w:noHBand="0" w:noVBand="1" w:val="04A0"/>
      </w:tblPr>
      <w:tblGrid>
        <w:gridCol w:w="9214"/>
      </w:tblGrid>
      <w:tr>
        <w:trPr/>
        <w:tc>
          <w:tcPr>
            <w:tcW w:w="9214" w:type="dxa"/>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１．差別の解消、権利擁護の推進及び虐待の防止</w:t>
            </w:r>
          </w:p>
        </w:tc>
      </w:tr>
      <w:tr>
        <w:trPr/>
        <w:tc>
          <w:tcPr>
            <w:tcW w:w="9214" w:type="dxa"/>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ascii="ＭＳ ゴシック" w:hAnsi="ＭＳ ゴシック" w:eastAsia="ＭＳ ゴシック"/>
                <w:sz w:val="18"/>
              </w:rPr>
              <w:t>○社会のあらゆる場面における障害者差別の解消</w:t>
            </w:r>
          </w:p>
        </w:tc>
      </w:tr>
      <w:tr>
        <w:trPr/>
        <w:tc>
          <w:tcPr>
            <w:tcW w:w="9214" w:type="dxa"/>
            <w:tcBorders>
              <w:top w:val="nil"/>
              <w:left w:val="none" w:color="auto" w:sz="0" w:space="0"/>
              <w:bottom w:val="none" w:color="auto" w:sz="0"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pacing w:val="-8"/>
                <w:w w:val="96"/>
                <w:sz w:val="18"/>
              </w:rPr>
            </w:pPr>
            <w:r>
              <w:rPr>
                <w:rFonts w:hint="eastAsia"/>
                <w:sz w:val="18"/>
              </w:rPr>
              <w:t>・</w:t>
            </w:r>
            <w:r>
              <w:rPr>
                <w:rFonts w:hint="eastAsia"/>
                <w:spacing w:val="-8"/>
                <w:w w:val="96"/>
                <w:sz w:val="18"/>
              </w:rPr>
              <w:t>家族に対する相談支援や障害福祉サービス事業所等における虐待防止委員会の設置等、虐待の早期発見や防止に向けた取組</w:t>
            </w:r>
          </w:p>
          <w:p>
            <w:pPr>
              <w:pStyle w:val="0"/>
              <w:widowControl w:val="1"/>
              <w:spacing w:line="0" w:lineRule="atLeast"/>
              <w:ind w:left="184" w:hanging="184" w:hangingChars="100"/>
              <w:rPr>
                <w:rFonts w:hint="default"/>
                <w:sz w:val="18"/>
              </w:rPr>
            </w:pPr>
            <w:r>
              <w:rPr>
                <w:rFonts w:hint="eastAsia"/>
                <w:sz w:val="18"/>
              </w:rPr>
              <w:t>・障害福祉サービスの提供に当たり、利用者の意思に反した異性介助が行われることがないよう、取組を推進</w:t>
            </w:r>
          </w:p>
          <w:p>
            <w:pPr>
              <w:pStyle w:val="0"/>
              <w:widowControl w:val="1"/>
              <w:spacing w:line="0" w:lineRule="atLeast"/>
              <w:ind w:left="184" w:hanging="184" w:hangingChars="100"/>
              <w:rPr>
                <w:rFonts w:hint="default" w:ascii="ＭＳ ゴシック" w:hAnsi="ＭＳ ゴシック" w:eastAsia="ＭＳ ゴシック"/>
                <w:sz w:val="18"/>
              </w:rPr>
            </w:pPr>
            <w:r>
              <w:rPr>
                <w:rFonts w:hint="eastAsia"/>
                <w:sz w:val="18"/>
              </w:rPr>
              <w:t>・改正障害者差別解消法の円滑な施行に向けた取組等の推進</w:t>
            </w:r>
          </w:p>
        </w:tc>
      </w:tr>
    </w:tbl>
    <w:p>
      <w:pPr>
        <w:pStyle w:val="0"/>
        <w:widowControl w:val="1"/>
        <w:spacing w:line="0" w:lineRule="atLeast"/>
        <w:ind w:left="420" w:firstLine="80"/>
        <w:jc w:val="left"/>
        <w:rPr>
          <w:rFonts w:hint="default"/>
          <w:sz w:val="8"/>
        </w:rPr>
      </w:pPr>
    </w:p>
    <w:tbl>
      <w:tblPr>
        <w:tblStyle w:val="307"/>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２．安全・安心な生活環境の整備</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○移動しやすい環境の整備、まちづくりの総合的な推進</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・公共交通機関や多数の者が利用する建築物のバリアフリー化</w:t>
            </w:r>
          </w:p>
          <w:p>
            <w:pPr>
              <w:pStyle w:val="0"/>
              <w:widowControl w:val="1"/>
              <w:spacing w:line="0" w:lineRule="atLeast"/>
              <w:ind w:left="184" w:hanging="184" w:hangingChars="100"/>
              <w:rPr>
                <w:rFonts w:hint="default"/>
                <w:spacing w:val="-4"/>
                <w:sz w:val="18"/>
              </w:rPr>
            </w:pPr>
            <w:r>
              <w:rPr>
                <w:rFonts w:hint="eastAsia"/>
                <w:sz w:val="18"/>
              </w:rPr>
              <w:t>・</w:t>
            </w:r>
            <w:r>
              <w:rPr>
                <w:rFonts w:hint="eastAsia"/>
                <w:spacing w:val="-4"/>
                <w:sz w:val="18"/>
              </w:rPr>
              <w:t>接遇ガイドライン等の普及・啓発等の「心のバリアフリー」の推進</w:t>
            </w:r>
          </w:p>
          <w:p>
            <w:pPr>
              <w:pStyle w:val="0"/>
              <w:widowControl w:val="1"/>
              <w:spacing w:line="0" w:lineRule="atLeast"/>
              <w:ind w:left="184" w:hanging="184" w:hangingChars="100"/>
              <w:rPr>
                <w:rFonts w:hint="default"/>
                <w:sz w:val="18"/>
              </w:rPr>
            </w:pPr>
            <w:r>
              <w:rPr>
                <w:rFonts w:hint="eastAsia"/>
                <w:sz w:val="18"/>
              </w:rPr>
              <w:t>・</w:t>
            </w:r>
            <w:r>
              <w:rPr>
                <w:rFonts w:hint="eastAsia"/>
                <w:spacing w:val="-8"/>
                <w:w w:val="90"/>
                <w:sz w:val="18"/>
              </w:rPr>
              <w:t>歩道が設置されていない道路や踏切道の在り方について検討、信号機等の整備</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・国立公園等の主要な利用施設のバリアフリー化や情報提供等の推進</w:t>
            </w:r>
          </w:p>
        </w:tc>
      </w:tr>
    </w:tbl>
    <w:p>
      <w:pPr>
        <w:pStyle w:val="0"/>
        <w:widowControl w:val="1"/>
        <w:spacing w:line="0" w:lineRule="atLeast"/>
        <w:ind w:left="420" w:firstLine="80"/>
        <w:jc w:val="left"/>
        <w:rPr>
          <w:rFonts w:hint="default"/>
          <w:sz w:val="8"/>
        </w:rPr>
      </w:pPr>
    </w:p>
    <w:tbl>
      <w:tblPr>
        <w:tblStyle w:val="307"/>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３．情報アクセシビリティの向上及び意思疎通支援の充実</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○障害者に配慮した情報通信・放送・出版の普及、意思疎通支援の人材育成やサービスの利用促進</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pacing w:val="-4"/>
                <w:w w:val="97"/>
                <w:sz w:val="18"/>
              </w:rPr>
            </w:pPr>
            <w:r>
              <w:rPr>
                <w:rFonts w:hint="eastAsia"/>
                <w:sz w:val="18"/>
              </w:rPr>
              <w:t>・</w:t>
            </w:r>
            <w:r>
              <w:rPr>
                <w:rFonts w:hint="eastAsia"/>
                <w:spacing w:val="-10"/>
                <w:w w:val="95"/>
                <w:sz w:val="18"/>
              </w:rPr>
              <w:t>情報アクセシビリティ・コミュニケーション施策推進法に基づく施策の充実</w:t>
            </w:r>
          </w:p>
          <w:p>
            <w:pPr>
              <w:pStyle w:val="0"/>
              <w:widowControl w:val="1"/>
              <w:spacing w:line="0" w:lineRule="atLeast"/>
              <w:ind w:left="184" w:hanging="184" w:hangingChars="100"/>
              <w:rPr>
                <w:rFonts w:hint="default"/>
                <w:sz w:val="18"/>
              </w:rPr>
            </w:pPr>
            <w:r>
              <w:rPr>
                <w:rFonts w:hint="eastAsia"/>
                <w:sz w:val="18"/>
              </w:rPr>
              <w:t>・公共インフラとしての電話リレーサービス提供の充実</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w:t>
            </w:r>
            <w:r>
              <w:rPr>
                <w:rFonts w:hint="eastAsia"/>
                <w:spacing w:val="-6"/>
                <w:sz w:val="18"/>
              </w:rPr>
              <w:t>手話通訳者や点訳者等の育成、確保、派遣</w:t>
            </w:r>
          </w:p>
        </w:tc>
      </w:tr>
    </w:tbl>
    <w:p>
      <w:pPr>
        <w:pStyle w:val="0"/>
        <w:widowControl w:val="1"/>
        <w:spacing w:line="0" w:lineRule="atLeast"/>
        <w:ind w:left="420" w:firstLine="80"/>
        <w:jc w:val="left"/>
        <w:rPr>
          <w:rFonts w:hint="default"/>
          <w:sz w:val="8"/>
        </w:rPr>
      </w:pPr>
    </w:p>
    <w:tbl>
      <w:tblPr>
        <w:tblStyle w:val="307"/>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４．防災、防犯等の推進</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○災害発生時における障害特性に配慮した支援</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・福祉避難所、車いす利用者も使える仮設住宅の確保</w:t>
            </w:r>
          </w:p>
          <w:p>
            <w:pPr>
              <w:pStyle w:val="0"/>
              <w:widowControl w:val="1"/>
              <w:spacing w:line="0" w:lineRule="atLeast"/>
              <w:ind w:left="184" w:hanging="184" w:hangingChars="100"/>
              <w:rPr>
                <w:rFonts w:hint="default"/>
                <w:sz w:val="18"/>
              </w:rPr>
            </w:pPr>
            <w:r>
              <w:rPr>
                <w:rFonts w:hint="eastAsia"/>
                <w:sz w:val="18"/>
              </w:rPr>
              <w:t>・</w:t>
            </w:r>
            <w:r>
              <w:rPr>
                <w:rFonts w:hint="eastAsia"/>
                <w:spacing w:val="-6"/>
                <w:sz w:val="18"/>
              </w:rPr>
              <w:t>福祉・防災の関係者が連携した個別避難計画等の策定、実効性の確保</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・障害特性に配慮した事故や災害時の情報伝達体制の整備</w:t>
            </w:r>
          </w:p>
        </w:tc>
      </w:tr>
    </w:tbl>
    <w:p>
      <w:pPr>
        <w:pStyle w:val="0"/>
        <w:widowControl w:val="1"/>
        <w:spacing w:line="0" w:lineRule="atLeast"/>
        <w:ind w:left="420" w:firstLine="80"/>
        <w:jc w:val="left"/>
        <w:rPr>
          <w:rFonts w:hint="default"/>
          <w:sz w:val="8"/>
        </w:rPr>
      </w:pPr>
    </w:p>
    <w:tbl>
      <w:tblPr>
        <w:tblStyle w:val="307"/>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５．行政等における配慮の充実</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○司法手続や選挙における合理的配慮の提供等</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・司法手続</w:t>
            </w:r>
            <w:r>
              <w:rPr>
                <w:rFonts w:hint="default"/>
                <w:sz w:val="18"/>
              </w:rPr>
              <w:t>(</w:t>
            </w:r>
            <w:r>
              <w:rPr>
                <w:rFonts w:hint="eastAsia"/>
                <w:sz w:val="18"/>
              </w:rPr>
              <w:t>民事・刑事</w:t>
            </w:r>
            <w:r>
              <w:rPr>
                <w:rFonts w:hint="default"/>
                <w:sz w:val="18"/>
              </w:rPr>
              <w:t>)</w:t>
            </w:r>
            <w:r>
              <w:rPr>
                <w:rFonts w:hint="eastAsia"/>
                <w:sz w:val="18"/>
              </w:rPr>
              <w:t>における意思疎通手段の確保</w:t>
            </w:r>
          </w:p>
          <w:p>
            <w:pPr>
              <w:pStyle w:val="0"/>
              <w:widowControl w:val="1"/>
              <w:spacing w:line="0" w:lineRule="atLeast"/>
              <w:ind w:left="184" w:hanging="184" w:hangingChars="100"/>
              <w:rPr>
                <w:rFonts w:hint="default"/>
                <w:sz w:val="18"/>
              </w:rPr>
            </w:pPr>
            <w:r>
              <w:rPr>
                <w:rFonts w:hint="eastAsia"/>
                <w:sz w:val="18"/>
              </w:rPr>
              <w:t>・</w:t>
            </w:r>
            <w:r>
              <w:rPr>
                <w:rFonts w:hint="eastAsia"/>
                <w:spacing w:val="-4"/>
                <w:sz w:val="18"/>
              </w:rPr>
              <w:t>障害特性に応じた選挙等に関する情報提供の充実、投票機会の確保</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・国家資格試験の実施等に当たり障害特性に応じた合理的配慮の提供</w:t>
            </w:r>
          </w:p>
        </w:tc>
      </w:tr>
    </w:tbl>
    <w:p>
      <w:pPr>
        <w:pStyle w:val="0"/>
        <w:widowControl w:val="1"/>
        <w:spacing w:line="0" w:lineRule="atLeast"/>
        <w:ind w:left="420" w:firstLine="80"/>
        <w:jc w:val="left"/>
        <w:rPr>
          <w:rFonts w:hint="default"/>
          <w:sz w:val="8"/>
        </w:rPr>
      </w:pPr>
    </w:p>
    <w:tbl>
      <w:tblPr>
        <w:tblStyle w:val="307"/>
        <w:tblW w:w="9214" w:type="dxa"/>
        <w:tblInd w:w="279" w:type="dxa"/>
        <w:tblLayout w:type="fixed"/>
        <w:tblLook w:firstRow="1" w:lastRow="0" w:firstColumn="1" w:lastColumn="0" w:noHBand="0" w:noVBand="1" w:val="04A0"/>
      </w:tblPr>
      <w:tblGrid>
        <w:gridCol w:w="9214"/>
      </w:tblGrid>
      <w:tr>
        <w:trPr/>
        <w:tc>
          <w:tcPr>
            <w:tcW w:w="9214" w:type="dxa"/>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６．保健・医療の推進</w:t>
            </w:r>
          </w:p>
        </w:tc>
      </w:tr>
      <w:tr>
        <w:trPr/>
        <w:tc>
          <w:tcPr>
            <w:tcW w:w="9214" w:type="dxa"/>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ascii="ＭＳ ゴシック" w:hAnsi="ＭＳ ゴシック" w:eastAsia="ＭＳ ゴシック"/>
                <w:sz w:val="18"/>
              </w:rPr>
              <w:t>○精神障害者の早期退院と地域移行、社会的入院の解消</w:t>
            </w:r>
          </w:p>
        </w:tc>
      </w:tr>
      <w:tr>
        <w:trPr/>
        <w:tc>
          <w:tcPr>
            <w:tcW w:w="9214" w:type="dxa"/>
            <w:tcBorders>
              <w:top w:val="nil"/>
              <w:left w:val="none" w:color="auto" w:sz="0" w:space="0"/>
              <w:bottom w:val="none" w:color="auto" w:sz="0"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・切れ目のない退院後の精神障害者への支援</w:t>
            </w:r>
          </w:p>
          <w:p>
            <w:pPr>
              <w:pStyle w:val="0"/>
              <w:widowControl w:val="1"/>
              <w:spacing w:line="0" w:lineRule="atLeast"/>
              <w:ind w:left="184" w:hanging="184" w:hangingChars="100"/>
              <w:rPr>
                <w:rFonts w:hint="default"/>
                <w:sz w:val="18"/>
              </w:rPr>
            </w:pPr>
            <w:r>
              <w:rPr>
                <w:rFonts w:hint="eastAsia"/>
                <w:sz w:val="18"/>
              </w:rPr>
              <w:t>・精神科病院に入院中の患者の権利擁護等のため、病院を訪問して行う相談支援の仕組みの構築</w:t>
            </w:r>
          </w:p>
          <w:p>
            <w:pPr>
              <w:pStyle w:val="0"/>
              <w:widowControl w:val="1"/>
              <w:spacing w:line="0" w:lineRule="atLeast"/>
              <w:ind w:left="184" w:hanging="184" w:hangingChars="100"/>
              <w:rPr>
                <w:rFonts w:hint="default" w:ascii="ＭＳ ゴシック" w:hAnsi="ＭＳ ゴシック" w:eastAsia="ＭＳ ゴシック"/>
                <w:sz w:val="18"/>
              </w:rPr>
            </w:pPr>
            <w:r>
              <w:rPr>
                <w:rFonts w:hint="eastAsia"/>
                <w:sz w:val="18"/>
              </w:rPr>
              <w:t>・</w:t>
            </w:r>
            <w:r>
              <w:rPr>
                <w:rFonts w:hint="eastAsia"/>
                <w:spacing w:val="-4"/>
                <w:w w:val="98"/>
                <w:sz w:val="18"/>
              </w:rPr>
              <w:t>精神科病院における非自発的入院のあり方及び身体拘束等に関する課題の整理を進め、必要な見直しについて検討</w:t>
            </w:r>
          </w:p>
        </w:tc>
      </w:tr>
    </w:tbl>
    <w:p>
      <w:pPr>
        <w:pStyle w:val="0"/>
        <w:widowControl w:val="1"/>
        <w:spacing w:line="0" w:lineRule="atLeast"/>
        <w:ind w:left="420" w:firstLine="80"/>
        <w:jc w:val="left"/>
        <w:rPr>
          <w:rFonts w:hint="default"/>
          <w:sz w:val="8"/>
        </w:rPr>
      </w:pPr>
    </w:p>
    <w:tbl>
      <w:tblPr>
        <w:tblStyle w:val="307"/>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７．自立した生活の支援・意思決定支援の推進</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○意思決定支援の推進、相談支援体制の構築、地域移行支援・在宅サービス等の充実</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・ヤングケアラーを含む家族支援、サービス提供体制の確保</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・障害のあるこどもに対する支援の充実</w:t>
            </w:r>
          </w:p>
        </w:tc>
      </w:tr>
    </w:tbl>
    <w:p>
      <w:pPr>
        <w:pStyle w:val="0"/>
        <w:widowControl w:val="1"/>
        <w:spacing w:line="0" w:lineRule="atLeast"/>
        <w:ind w:left="420" w:firstLine="80"/>
        <w:jc w:val="left"/>
        <w:rPr>
          <w:rFonts w:hint="default"/>
          <w:sz w:val="8"/>
        </w:rPr>
      </w:pPr>
    </w:p>
    <w:tbl>
      <w:tblPr>
        <w:tblStyle w:val="307"/>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８．教育の振興</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○インクルーシブ教育システムの推進・教育環境の整備</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w w:val="95"/>
                <w:sz w:val="18"/>
              </w:rPr>
            </w:pPr>
            <w:r>
              <w:rPr>
                <w:rFonts w:hint="eastAsia"/>
                <w:sz w:val="18"/>
              </w:rPr>
              <w:t>・</w:t>
            </w:r>
            <w:r>
              <w:rPr>
                <w:rFonts w:hint="eastAsia"/>
                <w:spacing w:val="-6"/>
                <w:w w:val="95"/>
                <w:sz w:val="18"/>
              </w:rPr>
              <w:t>自校通級、巡回通級の充実をはじめとする通級による指導の一層の普及</w:t>
            </w:r>
          </w:p>
          <w:p>
            <w:pPr>
              <w:pStyle w:val="0"/>
              <w:widowControl w:val="1"/>
              <w:spacing w:line="0" w:lineRule="atLeast"/>
              <w:ind w:left="184" w:hanging="184" w:hangingChars="100"/>
              <w:rPr>
                <w:rFonts w:hint="default"/>
                <w:sz w:val="18"/>
              </w:rPr>
            </w:pPr>
            <w:r>
              <w:rPr>
                <w:rFonts w:hint="eastAsia"/>
                <w:sz w:val="18"/>
              </w:rPr>
              <w:t>・</w:t>
            </w:r>
            <w:r>
              <w:rPr>
                <w:rFonts w:hint="eastAsia"/>
                <w:spacing w:val="-8"/>
                <w:w w:val="92"/>
                <w:sz w:val="18"/>
              </w:rPr>
              <w:t>教職員の障害に対する理解や特別支援教育に係る専門性を深める取組の推進</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・病気療養児へのＩＣＴを活用した学習機会の確保の促進</w:t>
            </w:r>
          </w:p>
        </w:tc>
      </w:tr>
    </w:tbl>
    <w:p>
      <w:pPr>
        <w:pStyle w:val="0"/>
        <w:widowControl w:val="1"/>
        <w:spacing w:line="0" w:lineRule="atLeast"/>
        <w:ind w:left="420" w:firstLine="80"/>
        <w:jc w:val="left"/>
        <w:rPr>
          <w:rFonts w:hint="default"/>
          <w:sz w:val="8"/>
        </w:rPr>
      </w:pPr>
    </w:p>
    <w:tbl>
      <w:tblPr>
        <w:tblStyle w:val="307"/>
        <w:tblW w:w="9214" w:type="dxa"/>
        <w:tblInd w:w="279" w:type="dxa"/>
        <w:tblLayout w:type="fixed"/>
        <w:tblLook w:firstRow="1" w:lastRow="0" w:firstColumn="1" w:lastColumn="0" w:noHBand="0" w:noVBand="1" w:val="04A0"/>
      </w:tblPr>
      <w:tblGrid>
        <w:gridCol w:w="9214"/>
      </w:tblGrid>
      <w:tr>
        <w:trPr/>
        <w:tc>
          <w:tcPr>
            <w:tcW w:w="9214" w:type="dxa"/>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９．雇用・就業、経済的自立の支援</w:t>
            </w:r>
          </w:p>
        </w:tc>
      </w:tr>
      <w:tr>
        <w:trPr/>
        <w:tc>
          <w:tcPr>
            <w:tcW w:w="9214" w:type="dxa"/>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○総合的な就労支援</w:t>
            </w:r>
          </w:p>
        </w:tc>
      </w:tr>
      <w:tr>
        <w:trPr/>
        <w:tc>
          <w:tcPr>
            <w:tcW w:w="9214" w:type="dxa"/>
            <w:tcBorders>
              <w:top w:val="nil"/>
              <w:left w:val="none" w:color="auto" w:sz="0" w:space="0"/>
              <w:bottom w:val="none" w:color="auto" w:sz="0"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・地域の関係機関が連携した雇用前・後の一貫した支援、就業・生活両面の一体的支援</w:t>
            </w:r>
          </w:p>
          <w:p>
            <w:pPr>
              <w:pStyle w:val="0"/>
              <w:widowControl w:val="1"/>
              <w:spacing w:line="0" w:lineRule="atLeast"/>
              <w:ind w:left="184" w:hanging="184" w:hangingChars="100"/>
              <w:rPr>
                <w:rFonts w:hint="default"/>
                <w:sz w:val="18"/>
              </w:rPr>
            </w:pPr>
            <w:r>
              <w:rPr>
                <w:rFonts w:hint="eastAsia"/>
                <w:sz w:val="18"/>
              </w:rPr>
              <w:t>・雇用・就業施策と福祉施策の組合せの下、年金や諸手当の支給、税制優遇措置、各種支援制度の運用</w:t>
            </w:r>
          </w:p>
          <w:p>
            <w:pPr>
              <w:pStyle w:val="0"/>
              <w:widowControl w:val="1"/>
              <w:spacing w:line="0" w:lineRule="atLeast"/>
              <w:jc w:val="left"/>
              <w:rPr>
                <w:rFonts w:hint="default"/>
                <w:sz w:val="18"/>
              </w:rPr>
            </w:pPr>
            <w:r>
              <w:rPr>
                <w:rFonts w:hint="eastAsia"/>
                <w:sz w:val="18"/>
              </w:rPr>
              <w:t>・農業分野での障害者の就労支援</w:t>
            </w:r>
            <w:r>
              <w:rPr>
                <w:rFonts w:hint="eastAsia"/>
                <w:sz w:val="18"/>
              </w:rPr>
              <w:t>(</w:t>
            </w:r>
            <w:r>
              <w:rPr>
                <w:rFonts w:hint="eastAsia"/>
                <w:sz w:val="18"/>
              </w:rPr>
              <w:t>農福連携</w:t>
            </w:r>
            <w:r>
              <w:rPr>
                <w:rFonts w:hint="eastAsia"/>
                <w:sz w:val="18"/>
              </w:rPr>
              <w:t>)</w:t>
            </w:r>
            <w:r>
              <w:rPr>
                <w:rFonts w:hint="eastAsia"/>
                <w:sz w:val="18"/>
              </w:rPr>
              <w:t>の推進</w:t>
            </w:r>
          </w:p>
        </w:tc>
      </w:tr>
    </w:tbl>
    <w:p>
      <w:pPr>
        <w:pStyle w:val="0"/>
        <w:widowControl w:val="1"/>
        <w:spacing w:line="0" w:lineRule="atLeast"/>
        <w:ind w:left="420" w:firstLine="80"/>
        <w:jc w:val="left"/>
        <w:rPr>
          <w:rFonts w:hint="default"/>
          <w:sz w:val="8"/>
        </w:rPr>
      </w:pPr>
    </w:p>
    <w:tbl>
      <w:tblPr>
        <w:tblStyle w:val="307"/>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default" w:asciiTheme="majorEastAsia" w:hAnsiTheme="majorEastAsia" w:eastAsiaTheme="majorEastAsia"/>
                <w:sz w:val="18"/>
              </w:rPr>
              <w:t>10</w:t>
            </w:r>
            <w:r>
              <w:rPr>
                <w:rFonts w:hint="eastAsia" w:asciiTheme="majorEastAsia" w:hAnsiTheme="majorEastAsia" w:eastAsiaTheme="majorEastAsia"/>
                <w:sz w:val="18"/>
              </w:rPr>
              <w:t>．文化芸術活動・スポーツ等の振興</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○障害者の芸術文化活動への参加、スポーツに親しめる環境の整備</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・障害者の地域における文化芸術活動の環境づくり</w:t>
            </w:r>
          </w:p>
          <w:p>
            <w:pPr>
              <w:pStyle w:val="0"/>
              <w:widowControl w:val="1"/>
              <w:spacing w:line="0" w:lineRule="atLeast"/>
              <w:ind w:left="184" w:hanging="184" w:hangingChars="100"/>
              <w:rPr>
                <w:rFonts w:hint="default"/>
                <w:sz w:val="18"/>
              </w:rPr>
            </w:pPr>
            <w:r>
              <w:rPr>
                <w:rFonts w:hint="eastAsia"/>
                <w:sz w:val="18"/>
              </w:rPr>
              <w:t>・</w:t>
            </w:r>
            <w:r>
              <w:rPr>
                <w:rFonts w:hint="eastAsia"/>
                <w:spacing w:val="-8"/>
                <w:w w:val="88"/>
                <w:sz w:val="18"/>
              </w:rPr>
              <w:t>日本国際博覧会</w:t>
            </w:r>
            <w:r>
              <w:rPr>
                <w:rFonts w:hint="default"/>
                <w:spacing w:val="-8"/>
                <w:w w:val="88"/>
                <w:sz w:val="18"/>
              </w:rPr>
              <w:t>(</w:t>
            </w:r>
            <w:r>
              <w:rPr>
                <w:rFonts w:hint="eastAsia"/>
                <w:spacing w:val="-8"/>
                <w:w w:val="88"/>
                <w:sz w:val="18"/>
              </w:rPr>
              <w:t>大阪･関西万博</w:t>
            </w:r>
            <w:r>
              <w:rPr>
                <w:rFonts w:hint="default"/>
                <w:spacing w:val="-8"/>
                <w:w w:val="88"/>
                <w:sz w:val="18"/>
              </w:rPr>
              <w:t>)</w:t>
            </w:r>
            <w:r>
              <w:rPr>
                <w:rFonts w:hint="eastAsia"/>
                <w:spacing w:val="-8"/>
                <w:w w:val="88"/>
                <w:sz w:val="18"/>
              </w:rPr>
              <w:t>の施設整備、文化芸術の発信などの環境づくり</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・障害の有無に関わらずスポーツを行うことのできる環境づくり</w:t>
            </w:r>
          </w:p>
        </w:tc>
      </w:tr>
    </w:tbl>
    <w:p>
      <w:pPr>
        <w:pStyle w:val="0"/>
        <w:widowControl w:val="1"/>
        <w:spacing w:line="0" w:lineRule="atLeast"/>
        <w:ind w:left="420" w:firstLine="80"/>
        <w:jc w:val="left"/>
        <w:rPr>
          <w:rFonts w:hint="default"/>
          <w:sz w:val="8"/>
        </w:rPr>
      </w:pPr>
    </w:p>
    <w:tbl>
      <w:tblPr>
        <w:tblStyle w:val="307"/>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default" w:asciiTheme="majorEastAsia" w:hAnsiTheme="majorEastAsia" w:eastAsiaTheme="majorEastAsia"/>
                <w:sz w:val="18"/>
              </w:rPr>
              <w:t>11</w:t>
            </w:r>
            <w:r>
              <w:rPr>
                <w:rFonts w:hint="eastAsia" w:asciiTheme="majorEastAsia" w:hAnsiTheme="majorEastAsia" w:eastAsiaTheme="majorEastAsia"/>
                <w:sz w:val="18"/>
              </w:rPr>
              <w:t>．国際社会での協力・連携の推進</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○文化芸術・スポーツを含む障害者の国際交流の推進</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・障害者分野における国際協力への積極的な取組</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w:t>
            </w:r>
            <w:r>
              <w:rPr>
                <w:rFonts w:hint="eastAsia"/>
                <w:spacing w:val="-6"/>
                <w:w w:val="90"/>
                <w:sz w:val="18"/>
              </w:rPr>
              <w:t>障害者の文化芸術など日本の多様な魅力を発信</w:t>
            </w:r>
          </w:p>
        </w:tc>
      </w:tr>
    </w:tbl>
    <w:p>
      <w:pPr>
        <w:pStyle w:val="0"/>
        <w:widowControl w:val="1"/>
        <w:spacing w:line="20" w:lineRule="exact"/>
        <w:jc w:val="left"/>
        <w:rPr>
          <w:rFonts w:hint="default"/>
        </w:rPr>
      </w:pPr>
    </w:p>
    <w:p>
      <w:pPr>
        <w:pStyle w:val="0"/>
        <w:spacing w:line="0" w:lineRule="atLeast"/>
        <w:ind w:left="876" w:leftChars="300" w:right="224" w:rightChars="100" w:hanging="204" w:hangingChars="100"/>
        <w:rPr>
          <w:rFonts w:hint="default"/>
          <w:sz w:val="20"/>
        </w:rPr>
      </w:pPr>
    </w:p>
    <w:p>
      <w:pPr>
        <w:pStyle w:val="0"/>
        <w:widowControl w:val="1"/>
        <w:jc w:val="left"/>
        <w:rPr>
          <w:rFonts w:hint="default"/>
        </w:rPr>
      </w:pPr>
      <w:r>
        <w:rPr>
          <w:rFonts w:hint="eastAsia" w:ascii="Segoe UI Symbol" w:hAnsi="Segoe UI Symbol" w:eastAsia="HG丸ｺﾞｼｯｸM-PRO"/>
        </w:rPr>
        <w:t>【参考資料】第７期障害福祉計画・第３期障害児福祉計画の</w:t>
      </w:r>
      <w:r>
        <w:rPr>
          <w:rFonts w:hint="eastAsia" w:ascii="HG丸ｺﾞｼｯｸM-PRO" w:hAnsi="HG丸ｺﾞｼｯｸM-PRO" w:eastAsia="HG丸ｺﾞｼｯｸM-PRO"/>
        </w:rPr>
        <w:t>策定基本指針について</w:t>
      </w:r>
    </w:p>
    <w:p>
      <w:pPr>
        <w:pStyle w:val="0"/>
        <w:spacing w:line="0" w:lineRule="atLeast"/>
        <w:ind w:left="876" w:leftChars="300" w:right="224" w:rightChars="100" w:hanging="204" w:hangingChars="100"/>
        <w:rPr>
          <w:rFonts w:hint="default"/>
          <w:sz w:val="20"/>
        </w:rPr>
      </w:pPr>
      <w:r>
        <w:rPr>
          <w:rFonts w:hint="default"/>
          <w:sz w:val="20"/>
        </w:rPr>
        <mc:AlternateContent>
          <mc:Choice Requires="wps">
            <w:drawing>
              <wp:anchor distT="0" distB="0" distL="114300" distR="114300" simplePos="0" relativeHeight="181" behindDoc="0" locked="0" layoutInCell="1" hidden="0" allowOverlap="1">
                <wp:simplePos x="0" y="0"/>
                <wp:positionH relativeFrom="column">
                  <wp:posOffset>130810</wp:posOffset>
                </wp:positionH>
                <wp:positionV relativeFrom="paragraph">
                  <wp:posOffset>52070</wp:posOffset>
                </wp:positionV>
                <wp:extent cx="5984875" cy="8763000"/>
                <wp:effectExtent l="635" t="635" r="29845" b="10795"/>
                <wp:wrapNone/>
                <wp:docPr id="1084" name="正方形/長方形 2"/>
                <a:graphic xmlns:a="http://schemas.openxmlformats.org/drawingml/2006/main">
                  <a:graphicData uri="http://schemas.microsoft.com/office/word/2010/wordprocessingShape">
                    <wps:wsp>
                      <wps:cNvPr id="1084" name="正方形/長方形 2"/>
                      <wps:cNvSpPr/>
                      <wps:spPr>
                        <a:xfrm>
                          <a:off x="0" y="0"/>
                          <a:ext cx="5984875" cy="8763000"/>
                        </a:xfrm>
                        <a:prstGeom prst="rect">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 style="mso-wrap-distance-right:9pt;mso-wrap-distance-bottom:0pt;margin-top:4.09pt;mso-position-vertical-relative:text;mso-position-horizontal-relative:text;position:absolute;height:690pt;mso-wrap-distance-top:0pt;width:471.25pt;mso-wrap-distance-left:9pt;margin-left:10.3pt;z-index:181;" o:spid="_x0000_s1084" o:allowincell="t" o:allowoverlap="t" filled="f" stroked="t" strokecolor="#548235 [2409]" strokeweight="1.5pt" o:spt="1">
                <v:fill/>
                <v:stroke linestyle="single" miterlimit="8" endcap="flat" dashstyle="solid" filltype="solid"/>
                <v:textbox style="layout-flow:horizontal;"/>
                <v:imagedata o:title=""/>
                <w10:wrap type="none" anchorx="text" anchory="text"/>
              </v:rect>
            </w:pict>
          </mc:Fallback>
        </mc:AlternateContent>
      </w: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①入所等から地域生活への移行、地域生活の継続の支援</w:t>
      </w:r>
    </w:p>
    <w:p>
      <w:pPr>
        <w:pStyle w:val="0"/>
        <w:spacing w:line="0" w:lineRule="atLeast"/>
        <w:ind w:left="876" w:leftChars="300" w:right="224" w:rightChars="100" w:hanging="204" w:hangingChars="100"/>
        <w:rPr>
          <w:rFonts w:hint="default"/>
          <w:sz w:val="20"/>
        </w:rPr>
      </w:pPr>
      <w:r>
        <w:rPr>
          <w:rFonts w:hint="eastAsia"/>
          <w:sz w:val="20"/>
        </w:rPr>
        <w:t>・重度障害者等への支援に係る記載の拡充</w:t>
      </w:r>
    </w:p>
    <w:p>
      <w:pPr>
        <w:pStyle w:val="0"/>
        <w:spacing w:line="0" w:lineRule="atLeast"/>
        <w:ind w:left="876" w:leftChars="300" w:right="224" w:rightChars="100" w:hanging="204" w:hangingChars="100"/>
        <w:rPr>
          <w:rFonts w:hint="default"/>
          <w:sz w:val="20"/>
        </w:rPr>
      </w:pPr>
      <w:r>
        <w:rPr>
          <w:rFonts w:hint="eastAsia"/>
          <w:sz w:val="20"/>
        </w:rPr>
        <w:t>・障害者総合支援法の改正による地域生活支援拠点等の整備の努力義務化等を踏まえた見直し</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②精神障害にも対応した地域包括ケアシステムの構築</w:t>
      </w:r>
    </w:p>
    <w:p>
      <w:pPr>
        <w:pStyle w:val="0"/>
        <w:spacing w:line="0" w:lineRule="atLeast"/>
        <w:ind w:left="876" w:leftChars="300" w:right="224" w:rightChars="100" w:hanging="204" w:hangingChars="100"/>
        <w:rPr>
          <w:rFonts w:hint="default"/>
          <w:sz w:val="20"/>
        </w:rPr>
      </w:pPr>
      <w:r>
        <w:rPr>
          <w:rFonts w:hint="eastAsia"/>
          <w:sz w:val="20"/>
        </w:rPr>
        <w:t>・精神保健福祉法の改正等を踏まえた更なる体制整備</w:t>
      </w:r>
    </w:p>
    <w:p>
      <w:pPr>
        <w:pStyle w:val="0"/>
        <w:spacing w:line="0" w:lineRule="atLeast"/>
        <w:ind w:left="876" w:leftChars="300" w:right="224" w:rightChars="100" w:hanging="204" w:hangingChars="100"/>
        <w:rPr>
          <w:rFonts w:hint="default"/>
          <w:sz w:val="20"/>
        </w:rPr>
      </w:pPr>
      <w:r>
        <w:rPr>
          <w:rFonts w:hint="eastAsia"/>
          <w:sz w:val="20"/>
        </w:rPr>
        <w:t>・医療計画との連動性を踏まえた目標値の設定</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③福祉施設から一般就労への移行等</w:t>
      </w:r>
    </w:p>
    <w:p>
      <w:pPr>
        <w:pStyle w:val="0"/>
        <w:spacing w:line="0" w:lineRule="atLeast"/>
        <w:ind w:left="876" w:leftChars="300" w:right="224" w:rightChars="100" w:hanging="204" w:hangingChars="100"/>
        <w:rPr>
          <w:rFonts w:hint="default"/>
          <w:sz w:val="20"/>
        </w:rPr>
      </w:pPr>
      <w:r>
        <w:rPr>
          <w:rFonts w:hint="eastAsia"/>
          <w:sz w:val="20"/>
        </w:rPr>
        <w:t>・一般就労への移行及び定着に係る目標値の設定</w:t>
      </w:r>
    </w:p>
    <w:p>
      <w:pPr>
        <w:pStyle w:val="0"/>
        <w:spacing w:line="0" w:lineRule="atLeast"/>
        <w:ind w:left="876" w:leftChars="300" w:right="224" w:rightChars="100" w:hanging="204" w:hangingChars="100"/>
        <w:rPr>
          <w:rFonts w:hint="default"/>
          <w:sz w:val="20"/>
        </w:rPr>
      </w:pPr>
      <w:r>
        <w:rPr>
          <w:rFonts w:hint="eastAsia"/>
          <w:sz w:val="20"/>
        </w:rPr>
        <w:t>・一般就労中の就労系障害福祉サービスの一時利用に係る記載の追記</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④障害児のサービス提供体制の計画的な構築</w:t>
      </w:r>
    </w:p>
    <w:p>
      <w:pPr>
        <w:pStyle w:val="0"/>
        <w:spacing w:line="0" w:lineRule="atLeast"/>
        <w:ind w:left="876" w:leftChars="300" w:right="224" w:rightChars="100" w:hanging="204" w:hangingChars="100"/>
        <w:rPr>
          <w:rFonts w:hint="default"/>
          <w:sz w:val="20"/>
        </w:rPr>
      </w:pPr>
      <w:r>
        <w:rPr>
          <w:rFonts w:hint="eastAsia"/>
          <w:sz w:val="20"/>
        </w:rPr>
        <w:t>・児童発達支援センターの機能強化と地域の体制整備</w:t>
      </w:r>
    </w:p>
    <w:p>
      <w:pPr>
        <w:pStyle w:val="0"/>
        <w:spacing w:line="0" w:lineRule="atLeast"/>
        <w:ind w:left="876" w:leftChars="300" w:right="224" w:rightChars="100" w:hanging="204" w:hangingChars="100"/>
        <w:rPr>
          <w:rFonts w:hint="default"/>
          <w:sz w:val="20"/>
        </w:rPr>
      </w:pPr>
      <w:r>
        <w:rPr>
          <w:rFonts w:hint="eastAsia"/>
          <w:sz w:val="20"/>
        </w:rPr>
        <w:t>・障害児入所施設からの移行調整の取組の推進</w:t>
      </w:r>
    </w:p>
    <w:p>
      <w:pPr>
        <w:pStyle w:val="0"/>
        <w:spacing w:line="0" w:lineRule="atLeast"/>
        <w:ind w:left="876" w:leftChars="300" w:right="224" w:rightChars="100" w:hanging="204" w:hangingChars="100"/>
        <w:rPr>
          <w:rFonts w:hint="default"/>
          <w:sz w:val="20"/>
        </w:rPr>
      </w:pPr>
      <w:r>
        <w:rPr>
          <w:rFonts w:hint="eastAsia"/>
          <w:sz w:val="20"/>
        </w:rPr>
        <w:t>・医療的ケア児等支援法の施行による医療的ケア児等に対する支援体制の充実</w:t>
      </w:r>
    </w:p>
    <w:p>
      <w:pPr>
        <w:pStyle w:val="0"/>
        <w:spacing w:line="0" w:lineRule="atLeast"/>
        <w:ind w:left="876" w:leftChars="300" w:right="224" w:rightChars="100" w:hanging="204" w:hangingChars="100"/>
        <w:rPr>
          <w:rFonts w:hint="default"/>
          <w:sz w:val="20"/>
        </w:rPr>
      </w:pPr>
      <w:r>
        <w:rPr>
          <w:rFonts w:hint="eastAsia"/>
          <w:sz w:val="20"/>
        </w:rPr>
        <w:t>・聴覚障害児への早期支援の推進の拡充</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⑤発達障害者等支援の一層の充実</w:t>
      </w:r>
    </w:p>
    <w:p>
      <w:pPr>
        <w:pStyle w:val="0"/>
        <w:spacing w:line="0" w:lineRule="atLeast"/>
        <w:ind w:left="876" w:leftChars="300" w:right="224" w:rightChars="100" w:hanging="204" w:hangingChars="100"/>
        <w:rPr>
          <w:rFonts w:hint="default"/>
          <w:sz w:val="20"/>
        </w:rPr>
      </w:pPr>
      <w:r>
        <w:rPr>
          <w:rFonts w:hint="eastAsia"/>
          <w:sz w:val="20"/>
        </w:rPr>
        <w:t>・ペアレントトレーニング等プログラム実施者養成推進</w:t>
      </w:r>
    </w:p>
    <w:p>
      <w:pPr>
        <w:pStyle w:val="0"/>
        <w:spacing w:line="0" w:lineRule="atLeast"/>
        <w:ind w:left="876" w:leftChars="300" w:right="224" w:rightChars="100" w:hanging="204" w:hangingChars="100"/>
        <w:rPr>
          <w:rFonts w:hint="default"/>
          <w:sz w:val="20"/>
        </w:rPr>
      </w:pPr>
      <w:r>
        <w:rPr>
          <w:rFonts w:hint="eastAsia"/>
          <w:sz w:val="20"/>
        </w:rPr>
        <w:t>・発達障害者地域支援マネジャーによる困難事例に対する助言等の推進</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⑥地域における相談支援体制の充実強化</w:t>
      </w:r>
    </w:p>
    <w:p>
      <w:pPr>
        <w:pStyle w:val="0"/>
        <w:spacing w:line="0" w:lineRule="atLeast"/>
        <w:ind w:left="876" w:leftChars="300" w:right="224" w:rightChars="100" w:hanging="204" w:hangingChars="100"/>
        <w:rPr>
          <w:rFonts w:hint="default"/>
          <w:sz w:val="20"/>
        </w:rPr>
      </w:pPr>
      <w:r>
        <w:rPr>
          <w:rFonts w:hint="eastAsia"/>
          <w:sz w:val="20"/>
        </w:rPr>
        <w:t>・基幹相談支援センターの設置等の推進</w:t>
      </w:r>
    </w:p>
    <w:p>
      <w:pPr>
        <w:pStyle w:val="0"/>
        <w:spacing w:line="0" w:lineRule="atLeast"/>
        <w:ind w:left="876" w:leftChars="300" w:right="224" w:rightChars="100" w:hanging="204" w:hangingChars="100"/>
        <w:rPr>
          <w:rFonts w:hint="default"/>
          <w:sz w:val="20"/>
        </w:rPr>
      </w:pPr>
      <w:r>
        <w:rPr>
          <w:rFonts w:hint="eastAsia"/>
          <w:sz w:val="20"/>
        </w:rPr>
        <w:t>・協議会の活性化に向けた成果目標の新設</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⑦障害者等に対する虐待の防止</w:t>
      </w:r>
    </w:p>
    <w:p>
      <w:pPr>
        <w:pStyle w:val="0"/>
        <w:spacing w:line="0" w:lineRule="atLeast"/>
        <w:ind w:left="876" w:leftChars="300" w:right="224" w:rightChars="100" w:hanging="204" w:hangingChars="100"/>
        <w:rPr>
          <w:rFonts w:hint="default"/>
          <w:sz w:val="20"/>
        </w:rPr>
      </w:pPr>
      <w:r>
        <w:rPr>
          <w:rFonts w:hint="eastAsia"/>
          <w:sz w:val="20"/>
        </w:rPr>
        <w:t>・自治体による障害者虐待への組織的な対応の徹底</w:t>
      </w:r>
    </w:p>
    <w:p>
      <w:pPr>
        <w:pStyle w:val="0"/>
        <w:spacing w:line="0" w:lineRule="atLeast"/>
        <w:ind w:left="876" w:leftChars="300" w:right="224" w:rightChars="100" w:hanging="204" w:hangingChars="100"/>
        <w:rPr>
          <w:rFonts w:hint="default"/>
          <w:sz w:val="20"/>
        </w:rPr>
      </w:pPr>
      <w:r>
        <w:rPr>
          <w:rFonts w:hint="eastAsia"/>
          <w:sz w:val="20"/>
        </w:rPr>
        <w:t>・精神障害者に対する虐待の防止に係る記載の新設</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⑧「地域共生社会」の実現に向けた取組</w:t>
      </w:r>
    </w:p>
    <w:p>
      <w:pPr>
        <w:pStyle w:val="0"/>
        <w:spacing w:line="0" w:lineRule="atLeast"/>
        <w:ind w:left="876" w:leftChars="300" w:right="224" w:rightChars="100" w:hanging="204" w:hangingChars="100"/>
        <w:rPr>
          <w:rFonts w:hint="default"/>
          <w:sz w:val="20"/>
        </w:rPr>
      </w:pPr>
      <w:r>
        <w:rPr>
          <w:rFonts w:hint="eastAsia"/>
          <w:sz w:val="20"/>
        </w:rPr>
        <w:t>・社会福祉法に基づく地域福祉計画等との連携や、市町村による包括的な支援体制の構築の推進に係る記載の新設</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⑨障害福祉サービスの質の確保</w:t>
      </w:r>
    </w:p>
    <w:p>
      <w:pPr>
        <w:pStyle w:val="0"/>
        <w:spacing w:line="0" w:lineRule="atLeast"/>
        <w:ind w:left="876" w:leftChars="300" w:right="224" w:rightChars="100" w:hanging="204" w:hangingChars="100"/>
        <w:rPr>
          <w:rFonts w:hint="default"/>
          <w:sz w:val="20"/>
        </w:rPr>
      </w:pPr>
      <w:r>
        <w:rPr>
          <w:rFonts w:hint="eastAsia"/>
          <w:sz w:val="20"/>
        </w:rPr>
        <w:t>・都道府県による相談支援専門員等への意思決定支援ガイドライン等を活用した研修等の実施を活動指標に追加</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⑩障害福祉人材の確保・定着</w:t>
      </w:r>
    </w:p>
    <w:p>
      <w:pPr>
        <w:pStyle w:val="0"/>
        <w:spacing w:line="0" w:lineRule="atLeast"/>
        <w:ind w:left="876" w:leftChars="300" w:right="224" w:rightChars="100" w:hanging="204" w:hangingChars="100"/>
        <w:rPr>
          <w:rFonts w:hint="default"/>
          <w:sz w:val="20"/>
        </w:rPr>
      </w:pPr>
      <w:r>
        <w:rPr>
          <w:rFonts w:hint="eastAsia"/>
          <w:sz w:val="20"/>
        </w:rPr>
        <w:t>・ＩＣＴの導入等による事務負担の軽減等に係る記載の新設</w:t>
      </w:r>
    </w:p>
    <w:p>
      <w:pPr>
        <w:pStyle w:val="0"/>
        <w:spacing w:line="0" w:lineRule="atLeast"/>
        <w:ind w:left="876" w:leftChars="300" w:right="224" w:rightChars="100" w:hanging="204" w:hangingChars="100"/>
        <w:rPr>
          <w:rFonts w:hint="default"/>
          <w:sz w:val="20"/>
        </w:rPr>
      </w:pPr>
      <w:r>
        <w:rPr>
          <w:rFonts w:hint="eastAsia"/>
          <w:sz w:val="20"/>
        </w:rPr>
        <w:t>・相談支援専門員及びサービス管理責任者等の研修修了者数等を活動指標に追加</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⑪よりきめ細かい地域ニーズを踏まえた障害</w:t>
      </w:r>
      <w:r>
        <w:rPr>
          <w:rFonts w:hint="eastAsia" w:ascii="ＭＳ ゴシック" w:hAnsi="ＭＳ ゴシック" w:eastAsia="ＭＳ ゴシック"/>
          <w:sz w:val="20"/>
          <w:u w:val="single" w:color="auto"/>
        </w:rPr>
        <w:t>(</w:t>
      </w:r>
      <w:r>
        <w:rPr>
          <w:rFonts w:hint="eastAsia" w:ascii="ＭＳ ゴシック" w:hAnsi="ＭＳ ゴシック" w:eastAsia="ＭＳ ゴシック"/>
          <w:sz w:val="20"/>
          <w:u w:val="single" w:color="auto"/>
        </w:rPr>
        <w:t>児</w:t>
      </w:r>
      <w:r>
        <w:rPr>
          <w:rFonts w:hint="eastAsia" w:ascii="ＭＳ ゴシック" w:hAnsi="ＭＳ ゴシック" w:eastAsia="ＭＳ ゴシック"/>
          <w:sz w:val="20"/>
          <w:u w:val="single" w:color="auto"/>
        </w:rPr>
        <w:t>)</w:t>
      </w:r>
      <w:r>
        <w:rPr>
          <w:rFonts w:hint="eastAsia" w:ascii="ＭＳ ゴシック" w:hAnsi="ＭＳ ゴシック" w:eastAsia="ＭＳ ゴシック"/>
          <w:sz w:val="20"/>
          <w:u w:val="single" w:color="auto"/>
        </w:rPr>
        <w:t>福祉計画の策定</w:t>
      </w:r>
    </w:p>
    <w:p>
      <w:pPr>
        <w:pStyle w:val="0"/>
        <w:spacing w:line="0" w:lineRule="atLeast"/>
        <w:ind w:left="876" w:leftChars="300" w:right="224" w:rightChars="100" w:hanging="204" w:hangingChars="100"/>
        <w:rPr>
          <w:rFonts w:hint="default"/>
          <w:sz w:val="20"/>
        </w:rPr>
      </w:pPr>
      <w:r>
        <w:rPr>
          <w:rFonts w:hint="eastAsia"/>
          <w:sz w:val="20"/>
        </w:rPr>
        <w:t>・障害福祉ＤＢの活用等による計画策定の推進</w:t>
      </w:r>
    </w:p>
    <w:p>
      <w:pPr>
        <w:pStyle w:val="0"/>
        <w:spacing w:line="0" w:lineRule="atLeast"/>
        <w:ind w:left="876" w:leftChars="300" w:right="224" w:rightChars="100" w:hanging="204" w:hangingChars="100"/>
        <w:rPr>
          <w:rFonts w:hint="default"/>
          <w:sz w:val="20"/>
        </w:rPr>
      </w:pPr>
      <w:r>
        <w:rPr>
          <w:rFonts w:hint="eastAsia"/>
          <w:sz w:val="20"/>
        </w:rPr>
        <w:t>・市町村内のより細かな地域単位や重度障害者等のニーズ把握の推進</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⑫障害者による情報の取得利用・意思疎通の推進</w:t>
      </w:r>
    </w:p>
    <w:p>
      <w:pPr>
        <w:pStyle w:val="0"/>
        <w:spacing w:line="0" w:lineRule="atLeast"/>
        <w:ind w:left="876" w:leftChars="300" w:right="224" w:rightChars="100" w:hanging="204" w:hangingChars="100"/>
        <w:rPr>
          <w:rFonts w:hint="default"/>
          <w:sz w:val="20"/>
        </w:rPr>
      </w:pPr>
      <w:r>
        <w:rPr>
          <w:rFonts w:hint="eastAsia"/>
          <w:sz w:val="20"/>
        </w:rPr>
        <w:t>・障害特性に配慮した意思疎通支援や支援者の養成等の促進に係る記載の新設</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⑬障害者総合支援法に基づく難病患者への支援の明確化</w:t>
      </w:r>
    </w:p>
    <w:p>
      <w:pPr>
        <w:pStyle w:val="0"/>
        <w:spacing w:line="0" w:lineRule="atLeast"/>
        <w:ind w:left="876" w:leftChars="300" w:right="224" w:rightChars="100" w:hanging="204" w:hangingChars="100"/>
        <w:rPr>
          <w:rFonts w:hint="default"/>
          <w:sz w:val="20"/>
        </w:rPr>
      </w:pPr>
      <w:r>
        <w:rPr>
          <w:rFonts w:hint="eastAsia"/>
          <w:sz w:val="20"/>
        </w:rPr>
        <w:t>・障害福祉計画等の策定時における難病患者、難病相談支援センター等からの意見の尊重</w:t>
      </w:r>
    </w:p>
    <w:p>
      <w:pPr>
        <w:pStyle w:val="0"/>
        <w:spacing w:line="0" w:lineRule="atLeast"/>
        <w:ind w:left="876" w:leftChars="300" w:right="224" w:rightChars="100" w:hanging="204" w:hangingChars="100"/>
        <w:rPr>
          <w:rFonts w:hint="default"/>
          <w:sz w:val="20"/>
        </w:rPr>
      </w:pPr>
      <w:r>
        <w:rPr>
          <w:rFonts w:hint="eastAsia"/>
          <w:sz w:val="20"/>
        </w:rPr>
        <w:t>・支援ニーズの把握及び特性に配慮した支援体制の整備</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⑭その他：地方分権提案に対する対応</w:t>
      </w:r>
    </w:p>
    <w:p>
      <w:pPr>
        <w:pStyle w:val="0"/>
        <w:spacing w:line="0" w:lineRule="atLeast"/>
        <w:ind w:left="876" w:leftChars="300" w:right="224" w:rightChars="100" w:hanging="204" w:hangingChars="100"/>
        <w:rPr>
          <w:rFonts w:hint="default"/>
          <w:sz w:val="20"/>
        </w:rPr>
      </w:pPr>
      <w:r>
        <w:rPr>
          <w:rFonts w:hint="eastAsia"/>
          <w:sz w:val="20"/>
        </w:rPr>
        <w:t>・計画期間の柔軟化</w:t>
      </w:r>
    </w:p>
    <w:p>
      <w:pPr>
        <w:pStyle w:val="0"/>
        <w:spacing w:line="0" w:lineRule="atLeast"/>
        <w:ind w:left="876" w:leftChars="300" w:right="224" w:rightChars="100" w:hanging="204" w:hangingChars="100"/>
        <w:rPr>
          <w:rFonts w:hint="default"/>
        </w:rPr>
      </w:pPr>
      <w:r>
        <w:rPr>
          <w:rFonts w:hint="eastAsia"/>
          <w:sz w:val="20"/>
        </w:rPr>
        <w:t>・サービスの見込量以外の活動指標の策定を任意化</w:t>
      </w:r>
      <w:r>
        <w:rPr>
          <w:rFonts w:hint="default"/>
        </w:rPr>
        <w:br w:type="page"/>
      </w:r>
    </w:p>
    <w:p>
      <w:pPr>
        <w:pStyle w:val="0"/>
        <w:widowControl w:val="1"/>
        <w:jc w:val="left"/>
        <w:rPr>
          <w:rFonts w:hint="default" w:ascii="Segoe UI Symbol" w:hAnsi="Segoe UI Symbol" w:eastAsia="HG丸ｺﾞｼｯｸM-PRO"/>
        </w:rPr>
      </w:pPr>
      <w:r>
        <w:rPr>
          <w:rFonts w:hint="eastAsia" w:ascii="Segoe UI Symbol" w:hAnsi="Segoe UI Symbol" w:eastAsia="HG丸ｺﾞｼｯｸM-PRO"/>
        </w:rPr>
        <w:t>【参考資料】第７期障害福祉計画・第３期障害児福祉計画の成果目標</w:t>
      </w:r>
    </w:p>
    <w:p>
      <w:pPr>
        <w:pStyle w:val="0"/>
        <w:rPr>
          <w:rFonts w:hint="default"/>
        </w:rPr>
      </w:pPr>
      <w:r>
        <w:rPr>
          <w:rFonts w:hint="default"/>
        </w:rPr>
        <mc:AlternateContent>
          <mc:Choice Requires="wps">
            <w:drawing>
              <wp:anchor distT="0" distB="0" distL="114300" distR="114300" simplePos="0" relativeHeight="182" behindDoc="0" locked="0" layoutInCell="1" hidden="0" allowOverlap="1">
                <wp:simplePos x="0" y="0"/>
                <wp:positionH relativeFrom="column">
                  <wp:posOffset>128270</wp:posOffset>
                </wp:positionH>
                <wp:positionV relativeFrom="paragraph">
                  <wp:posOffset>55880</wp:posOffset>
                </wp:positionV>
                <wp:extent cx="5984875" cy="7257415"/>
                <wp:effectExtent l="635" t="635" r="29845" b="10795"/>
                <wp:wrapNone/>
                <wp:docPr id="1085" name="正方形/長方形 2"/>
                <a:graphic xmlns:a="http://schemas.openxmlformats.org/drawingml/2006/main">
                  <a:graphicData uri="http://schemas.microsoft.com/office/word/2010/wordprocessingShape">
                    <wps:wsp>
                      <wps:cNvPr id="1085" name="正方形/長方形 2"/>
                      <wps:cNvSpPr/>
                      <wps:spPr>
                        <a:xfrm>
                          <a:off x="0" y="0"/>
                          <a:ext cx="5984875" cy="7257415"/>
                        </a:xfrm>
                        <a:prstGeom prst="rect">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 style="mso-wrap-distance-right:9pt;mso-wrap-distance-bottom:0pt;margin-top:4.4000000000000004pt;mso-position-vertical-relative:text;mso-position-horizontal-relative:text;position:absolute;height:571.45000000000005pt;mso-wrap-distance-top:0pt;width:471.25pt;mso-wrap-distance-left:9pt;margin-left:10.1pt;z-index:182;" o:spid="_x0000_s1085" o:allowincell="t" o:allowoverlap="t" filled="f" stroked="t" strokecolor="#548235 [2409]" strokeweight="1.5pt" o:spt="1">
                <v:fill/>
                <v:stroke linestyle="single" miterlimit="8" endcap="flat" dashstyle="solid" filltype="solid"/>
                <v:textbox style="layout-flow:horizontal;"/>
                <v:imagedata o:title=""/>
                <w10:wrap type="none" anchorx="text" anchory="text"/>
              </v:rect>
            </w:pict>
          </mc:Fallback>
        </mc:AlternateContent>
      </w: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①施設入所者の地域生活への移行</w:t>
      </w:r>
    </w:p>
    <w:p>
      <w:pPr>
        <w:pStyle w:val="0"/>
        <w:spacing w:line="0" w:lineRule="atLeast"/>
        <w:ind w:left="876" w:leftChars="300" w:right="224" w:rightChars="100" w:hanging="204" w:hangingChars="100"/>
        <w:rPr>
          <w:rFonts w:hint="default"/>
          <w:sz w:val="20"/>
        </w:rPr>
      </w:pPr>
      <w:r>
        <w:rPr>
          <w:rFonts w:hint="eastAsia"/>
          <w:sz w:val="20"/>
        </w:rPr>
        <w:t>・地域移行者数：令和４年度末施設入所者数の６％以上</w:t>
      </w:r>
    </w:p>
    <w:p>
      <w:pPr>
        <w:pStyle w:val="0"/>
        <w:spacing w:line="0" w:lineRule="atLeast"/>
        <w:ind w:left="876" w:leftChars="300" w:right="224" w:rightChars="100" w:hanging="204" w:hangingChars="100"/>
        <w:rPr>
          <w:rFonts w:hint="default"/>
          <w:sz w:val="20"/>
        </w:rPr>
      </w:pPr>
      <w:r>
        <w:rPr>
          <w:rFonts w:hint="eastAsia"/>
          <w:sz w:val="20"/>
        </w:rPr>
        <w:t>・施設入所者数：令和４年度末の５％以上削減</w:t>
      </w:r>
    </w:p>
    <w:p>
      <w:pPr>
        <w:pStyle w:val="0"/>
        <w:spacing w:line="0" w:lineRule="atLeast"/>
        <w:ind w:left="876" w:leftChars="300" w:right="224" w:rightChars="100" w:hanging="204" w:hangingChars="100"/>
        <w:rPr>
          <w:rFonts w:hint="default"/>
          <w:sz w:val="20"/>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②精神障害にも対応した地域包括ケアシステムの構築</w:t>
      </w:r>
    </w:p>
    <w:p>
      <w:pPr>
        <w:pStyle w:val="0"/>
        <w:spacing w:line="0" w:lineRule="atLeast"/>
        <w:ind w:left="876" w:leftChars="300" w:right="224" w:rightChars="100" w:hanging="204" w:hangingChars="100"/>
        <w:rPr>
          <w:rFonts w:hint="default"/>
          <w:sz w:val="20"/>
        </w:rPr>
      </w:pPr>
      <w:r>
        <w:rPr>
          <w:rFonts w:hint="eastAsia"/>
          <w:sz w:val="20"/>
        </w:rPr>
        <w:t>・精神障害者の精神病床から退院後１年以内の地域における平均生活日数：</w:t>
      </w:r>
      <w:r>
        <w:rPr>
          <w:rFonts w:hint="eastAsia"/>
          <w:sz w:val="20"/>
        </w:rPr>
        <w:t>325.3</w:t>
      </w:r>
      <w:r>
        <w:rPr>
          <w:rFonts w:hint="eastAsia"/>
          <w:sz w:val="20"/>
        </w:rPr>
        <w:t>日以上</w:t>
      </w:r>
    </w:p>
    <w:p>
      <w:pPr>
        <w:pStyle w:val="0"/>
        <w:spacing w:line="0" w:lineRule="atLeast"/>
        <w:ind w:left="876" w:leftChars="300" w:right="224" w:rightChars="100" w:hanging="204" w:hangingChars="100"/>
        <w:rPr>
          <w:rFonts w:hint="default"/>
          <w:sz w:val="20"/>
        </w:rPr>
      </w:pPr>
      <w:r>
        <w:rPr>
          <w:rFonts w:hint="eastAsia"/>
          <w:sz w:val="20"/>
        </w:rPr>
        <w:t>・精神病床における１年以上入院患者数</w:t>
      </w:r>
    </w:p>
    <w:p>
      <w:pPr>
        <w:pStyle w:val="0"/>
        <w:spacing w:line="0" w:lineRule="atLeast"/>
        <w:ind w:left="876" w:leftChars="300" w:right="224" w:rightChars="100" w:hanging="204" w:hangingChars="100"/>
        <w:rPr>
          <w:rFonts w:hint="default"/>
          <w:sz w:val="20"/>
        </w:rPr>
      </w:pPr>
      <w:r>
        <w:rPr>
          <w:rFonts w:hint="eastAsia"/>
          <w:sz w:val="20"/>
        </w:rPr>
        <w:t>・精神病床における早期退院率：３か月後</w:t>
      </w:r>
      <w:r>
        <w:rPr>
          <w:rFonts w:hint="eastAsia"/>
          <w:sz w:val="20"/>
        </w:rPr>
        <w:t>68.9</w:t>
      </w:r>
      <w:r>
        <w:rPr>
          <w:rFonts w:hint="eastAsia"/>
          <w:sz w:val="20"/>
        </w:rPr>
        <w:t>％以上、６か月後</w:t>
      </w:r>
      <w:r>
        <w:rPr>
          <w:rFonts w:hint="eastAsia"/>
          <w:sz w:val="20"/>
        </w:rPr>
        <w:t>84.5</w:t>
      </w:r>
      <w:r>
        <w:rPr>
          <w:rFonts w:hint="eastAsia"/>
          <w:sz w:val="20"/>
        </w:rPr>
        <w:t>％以上、１年後</w:t>
      </w:r>
      <w:r>
        <w:rPr>
          <w:rFonts w:hint="eastAsia"/>
          <w:sz w:val="20"/>
        </w:rPr>
        <w:t>91.0</w:t>
      </w:r>
      <w:r>
        <w:rPr>
          <w:rFonts w:hint="eastAsia"/>
          <w:sz w:val="20"/>
        </w:rPr>
        <w:t>％以上</w:t>
      </w:r>
    </w:p>
    <w:p>
      <w:pPr>
        <w:pStyle w:val="0"/>
        <w:spacing w:line="0" w:lineRule="atLeast"/>
        <w:ind w:left="876" w:leftChars="300" w:right="224" w:rightChars="100" w:hanging="204" w:hangingChars="100"/>
        <w:rPr>
          <w:rFonts w:hint="default"/>
          <w:sz w:val="20"/>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③地域生活支援の充実</w:t>
      </w:r>
    </w:p>
    <w:p>
      <w:pPr>
        <w:pStyle w:val="0"/>
        <w:spacing w:line="0" w:lineRule="atLeast"/>
        <w:ind w:left="876" w:leftChars="300" w:right="224" w:rightChars="100" w:hanging="204" w:hangingChars="100"/>
        <w:rPr>
          <w:rFonts w:hint="default"/>
          <w:sz w:val="20"/>
        </w:rPr>
      </w:pPr>
      <w:r>
        <w:rPr>
          <w:rFonts w:hint="eastAsia"/>
          <w:sz w:val="20"/>
        </w:rPr>
        <w:t>・各市町村において地域生活支援拠点等を整備するとともに、コーディネーターの配置などによる効果的な支援体制及び緊急時の連絡体制の構築を進め、また、年１回以上、支援の実績等を踏まえ運用状況の検証・検討を行うこと</w:t>
      </w:r>
    </w:p>
    <w:p>
      <w:pPr>
        <w:pStyle w:val="0"/>
        <w:spacing w:line="0" w:lineRule="atLeast"/>
        <w:ind w:left="876" w:leftChars="300" w:right="224" w:rightChars="100" w:hanging="204" w:hangingChars="100"/>
        <w:rPr>
          <w:rFonts w:hint="default"/>
          <w:sz w:val="20"/>
        </w:rPr>
      </w:pPr>
      <w:r>
        <w:rPr>
          <w:rFonts w:hint="eastAsia"/>
          <w:sz w:val="20"/>
        </w:rPr>
        <w:t>・強度行動障害を有する者に関し、各市町村又は圏域において支援ニーズを把握し、支援体制の整備を進めること【新規】</w:t>
      </w:r>
    </w:p>
    <w:p>
      <w:pPr>
        <w:pStyle w:val="0"/>
        <w:spacing w:line="0" w:lineRule="atLeast"/>
        <w:ind w:left="876" w:leftChars="300" w:right="224" w:rightChars="100" w:hanging="204" w:hangingChars="100"/>
        <w:rPr>
          <w:rFonts w:hint="default"/>
          <w:sz w:val="20"/>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④福祉施設から一般就労への移行等</w:t>
      </w:r>
    </w:p>
    <w:p>
      <w:pPr>
        <w:pStyle w:val="0"/>
        <w:spacing w:line="0" w:lineRule="atLeast"/>
        <w:ind w:left="876" w:leftChars="300" w:right="224" w:rightChars="100" w:hanging="204" w:hangingChars="100"/>
        <w:rPr>
          <w:rFonts w:hint="default"/>
          <w:sz w:val="20"/>
        </w:rPr>
      </w:pPr>
      <w:r>
        <w:rPr>
          <w:rFonts w:hint="eastAsia"/>
          <w:sz w:val="20"/>
        </w:rPr>
        <w:t>・一般就労への移行者数：令和３年度実績の</w:t>
      </w:r>
      <w:r>
        <w:rPr>
          <w:rFonts w:hint="eastAsia"/>
          <w:sz w:val="20"/>
        </w:rPr>
        <w:t>1.28</w:t>
      </w:r>
      <w:r>
        <w:rPr>
          <w:rFonts w:hint="eastAsia"/>
          <w:sz w:val="20"/>
        </w:rPr>
        <w:t>倍以上</w:t>
      </w:r>
    </w:p>
    <w:p>
      <w:pPr>
        <w:pStyle w:val="0"/>
        <w:spacing w:line="0" w:lineRule="atLeast"/>
        <w:ind w:left="876" w:leftChars="300" w:right="224" w:rightChars="100" w:hanging="204" w:hangingChars="100"/>
        <w:rPr>
          <w:rFonts w:hint="default"/>
          <w:sz w:val="20"/>
        </w:rPr>
      </w:pPr>
      <w:r>
        <w:rPr>
          <w:rFonts w:hint="eastAsia"/>
          <w:sz w:val="20"/>
        </w:rPr>
        <w:t>・就労移行支援事業利用終了者に占める一般就労へ移行した者の割合が５割以上の事業所：就労移行支援事業所の５割以上【新規】</w:t>
      </w:r>
    </w:p>
    <w:p>
      <w:pPr>
        <w:pStyle w:val="0"/>
        <w:spacing w:line="0" w:lineRule="atLeast"/>
        <w:ind w:left="876" w:leftChars="300" w:right="224" w:rightChars="100" w:hanging="204" w:hangingChars="100"/>
        <w:rPr>
          <w:rFonts w:hint="default"/>
          <w:sz w:val="20"/>
        </w:rPr>
      </w:pPr>
      <w:r>
        <w:rPr>
          <w:rFonts w:hint="eastAsia"/>
          <w:sz w:val="20"/>
        </w:rPr>
        <w:t>・各都道府県は地域の就労支援ネットワークの強化、関係機関の連携した支援体制を構築するため、協議会を活用して推進【新規】</w:t>
      </w:r>
    </w:p>
    <w:p>
      <w:pPr>
        <w:pStyle w:val="0"/>
        <w:spacing w:line="0" w:lineRule="atLeast"/>
        <w:ind w:left="876" w:leftChars="300" w:right="224" w:rightChars="100" w:hanging="204" w:hangingChars="100"/>
        <w:rPr>
          <w:rFonts w:hint="default"/>
          <w:sz w:val="20"/>
        </w:rPr>
      </w:pPr>
      <w:r>
        <w:rPr>
          <w:rFonts w:hint="eastAsia"/>
          <w:sz w:val="20"/>
        </w:rPr>
        <w:t>・就労定着支援事業の利用者数：令和３年度末実績の</w:t>
      </w:r>
      <w:r>
        <w:rPr>
          <w:rFonts w:hint="eastAsia"/>
          <w:sz w:val="20"/>
        </w:rPr>
        <w:t>1.41</w:t>
      </w:r>
      <w:r>
        <w:rPr>
          <w:rFonts w:hint="eastAsia"/>
          <w:sz w:val="20"/>
        </w:rPr>
        <w:t>倍以上</w:t>
      </w:r>
    </w:p>
    <w:p>
      <w:pPr>
        <w:pStyle w:val="0"/>
        <w:spacing w:line="0" w:lineRule="atLeast"/>
        <w:ind w:left="876" w:leftChars="300" w:right="224" w:rightChars="100" w:hanging="204" w:hangingChars="100"/>
        <w:rPr>
          <w:rFonts w:hint="default"/>
          <w:sz w:val="20"/>
        </w:rPr>
      </w:pPr>
      <w:r>
        <w:rPr>
          <w:rFonts w:hint="eastAsia"/>
          <w:sz w:val="20"/>
        </w:rPr>
        <w:t>・就労定着支援事業利用終了後一定期間の就労定着率が７割以上となる就労定着支援事業所の割合：２割５分以上</w:t>
      </w:r>
    </w:p>
    <w:p>
      <w:pPr>
        <w:pStyle w:val="0"/>
        <w:spacing w:line="0" w:lineRule="atLeast"/>
        <w:ind w:left="876" w:leftChars="300" w:right="224" w:rightChars="100" w:hanging="204" w:hangingChars="100"/>
        <w:rPr>
          <w:rFonts w:hint="default"/>
          <w:sz w:val="20"/>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⑤障害児支援の提供体制の整備等</w:t>
      </w:r>
    </w:p>
    <w:p>
      <w:pPr>
        <w:pStyle w:val="0"/>
        <w:spacing w:line="0" w:lineRule="atLeast"/>
        <w:ind w:left="876" w:leftChars="300" w:right="224" w:rightChars="100" w:hanging="204" w:hangingChars="100"/>
        <w:rPr>
          <w:rFonts w:hint="default"/>
          <w:sz w:val="20"/>
        </w:rPr>
      </w:pPr>
      <w:r>
        <w:rPr>
          <w:rFonts w:hint="eastAsia"/>
          <w:sz w:val="20"/>
        </w:rPr>
        <w:t>・児童発達支援センターの設置：各市町村又は各圏域に１か所以上</w:t>
      </w:r>
    </w:p>
    <w:p>
      <w:pPr>
        <w:pStyle w:val="0"/>
        <w:spacing w:line="0" w:lineRule="atLeast"/>
        <w:ind w:left="876" w:leftChars="300" w:right="224" w:rightChars="100" w:hanging="204" w:hangingChars="100"/>
        <w:rPr>
          <w:rFonts w:hint="default"/>
          <w:sz w:val="20"/>
        </w:rPr>
      </w:pPr>
      <w:r>
        <w:rPr>
          <w:rFonts w:hint="eastAsia"/>
          <w:sz w:val="20"/>
        </w:rPr>
        <w:t>・全市町村において、障害児の地域社会への参加・包容の</w:t>
      </w:r>
      <w:r>
        <w:rPr>
          <w:rFonts w:hint="default"/>
          <w:sz w:val="20"/>
        </w:rPr>
        <w:t>(</w:t>
      </w:r>
      <w:r>
        <w:rPr>
          <w:rFonts w:hint="eastAsia"/>
          <w:sz w:val="20"/>
        </w:rPr>
        <w:t>インクルージョン</w:t>
      </w:r>
      <w:r>
        <w:rPr>
          <w:rFonts w:hint="default"/>
          <w:sz w:val="20"/>
        </w:rPr>
        <w:t>)</w:t>
      </w:r>
      <w:r>
        <w:rPr>
          <w:rFonts w:hint="eastAsia"/>
          <w:sz w:val="20"/>
        </w:rPr>
        <w:t>推進体制の構築</w:t>
      </w:r>
    </w:p>
    <w:p>
      <w:pPr>
        <w:pStyle w:val="0"/>
        <w:spacing w:line="0" w:lineRule="atLeast"/>
        <w:ind w:left="876" w:leftChars="300" w:right="224" w:rightChars="100" w:hanging="204" w:hangingChars="100"/>
        <w:rPr>
          <w:rFonts w:hint="default"/>
          <w:sz w:val="20"/>
        </w:rPr>
      </w:pPr>
      <w:r>
        <w:rPr>
          <w:rFonts w:hint="eastAsia"/>
          <w:sz w:val="20"/>
        </w:rPr>
        <w:t>・各都道府県は難聴児支援を総合的に推進するための計画を策定するとともに、各都道府県及び必要に応じて政令市は、難聴児支援の中核的機能を果たす体制を構築</w:t>
      </w:r>
    </w:p>
    <w:p>
      <w:pPr>
        <w:pStyle w:val="0"/>
        <w:spacing w:line="0" w:lineRule="atLeast"/>
        <w:ind w:left="876" w:leftChars="300" w:right="224" w:rightChars="100" w:hanging="204" w:hangingChars="100"/>
        <w:rPr>
          <w:rFonts w:hint="default"/>
          <w:sz w:val="20"/>
        </w:rPr>
      </w:pPr>
      <w:r>
        <w:rPr>
          <w:rFonts w:hint="eastAsia"/>
          <w:sz w:val="20"/>
        </w:rPr>
        <w:t>・重症心身障害児を支援する児童発達支援事業所等：各市町村又は圏域に１か所以上</w:t>
      </w:r>
    </w:p>
    <w:p>
      <w:pPr>
        <w:pStyle w:val="0"/>
        <w:spacing w:line="0" w:lineRule="atLeast"/>
        <w:ind w:left="876" w:leftChars="300" w:right="224" w:rightChars="100" w:hanging="204" w:hangingChars="100"/>
        <w:rPr>
          <w:rFonts w:hint="default"/>
          <w:sz w:val="20"/>
        </w:rPr>
      </w:pPr>
      <w:r>
        <w:rPr>
          <w:rFonts w:hint="eastAsia"/>
          <w:sz w:val="20"/>
        </w:rPr>
        <w:t>・各都道府県は医療的ケア児支援センターを設置【新規】</w:t>
      </w:r>
    </w:p>
    <w:p>
      <w:pPr>
        <w:pStyle w:val="0"/>
        <w:spacing w:line="0" w:lineRule="atLeast"/>
        <w:ind w:left="876" w:leftChars="300" w:right="224" w:rightChars="100" w:hanging="204" w:hangingChars="100"/>
        <w:rPr>
          <w:rFonts w:hint="default"/>
          <w:sz w:val="20"/>
        </w:rPr>
      </w:pPr>
      <w:r>
        <w:rPr>
          <w:rFonts w:hint="eastAsia"/>
          <w:sz w:val="20"/>
        </w:rPr>
        <w:t>・</w:t>
      </w:r>
      <w:r>
        <w:rPr>
          <w:rFonts w:hint="eastAsia"/>
          <w:spacing w:val="-4"/>
          <w:sz w:val="20"/>
        </w:rPr>
        <w:t>各都道府県及び各政令市において、障害児入所施設からの移行調整に係る協議の場を設置【新規】</w:t>
      </w:r>
    </w:p>
    <w:p>
      <w:pPr>
        <w:pStyle w:val="0"/>
        <w:spacing w:line="0" w:lineRule="atLeast"/>
        <w:ind w:left="876" w:leftChars="300" w:right="224" w:rightChars="100" w:hanging="204" w:hangingChars="100"/>
        <w:rPr>
          <w:rFonts w:hint="default"/>
          <w:sz w:val="20"/>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⑥相談支援体制の充実・強化等</w:t>
      </w:r>
    </w:p>
    <w:p>
      <w:pPr>
        <w:pStyle w:val="0"/>
        <w:spacing w:line="0" w:lineRule="atLeast"/>
        <w:ind w:left="876" w:leftChars="300" w:right="224" w:rightChars="100" w:hanging="204" w:hangingChars="100"/>
        <w:rPr>
          <w:rFonts w:hint="default"/>
          <w:sz w:val="20"/>
        </w:rPr>
      </w:pPr>
      <w:r>
        <w:rPr>
          <w:rFonts w:hint="eastAsia"/>
          <w:sz w:val="20"/>
        </w:rPr>
        <w:t>・各市町村において、基幹相談支援センターを設置等</w:t>
      </w:r>
    </w:p>
    <w:p>
      <w:pPr>
        <w:pStyle w:val="0"/>
        <w:spacing w:line="0" w:lineRule="atLeast"/>
        <w:ind w:left="876" w:leftChars="300" w:right="224" w:rightChars="100" w:hanging="204" w:hangingChars="100"/>
        <w:rPr>
          <w:rFonts w:hint="default"/>
          <w:sz w:val="20"/>
        </w:rPr>
      </w:pPr>
      <w:r>
        <w:rPr>
          <w:rFonts w:hint="eastAsia"/>
          <w:sz w:val="20"/>
        </w:rPr>
        <w:t>・協議会における個別事例の検討を通じた地域サービス基盤の開発・改善等【新規】</w:t>
      </w:r>
    </w:p>
    <w:p>
      <w:pPr>
        <w:pStyle w:val="0"/>
        <w:spacing w:line="0" w:lineRule="atLeast"/>
        <w:ind w:left="876" w:leftChars="300" w:right="224" w:rightChars="100" w:hanging="204" w:hangingChars="100"/>
        <w:rPr>
          <w:rFonts w:hint="default"/>
          <w:sz w:val="20"/>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⑦障害福祉サービス等の質を向上させるための取組に係る体制の構築</w:t>
      </w:r>
    </w:p>
    <w:p>
      <w:pPr>
        <w:pStyle w:val="0"/>
        <w:spacing w:line="0" w:lineRule="atLeast"/>
        <w:ind w:left="876" w:leftChars="300" w:right="224" w:rightChars="100" w:hanging="204" w:hangingChars="100"/>
        <w:rPr>
          <w:rFonts w:hint="default"/>
          <w:sz w:val="20"/>
        </w:rPr>
      </w:pPr>
      <w:r>
        <w:rPr>
          <w:rFonts w:hint="eastAsia"/>
          <w:sz w:val="20"/>
        </w:rPr>
        <w:t>・各都道府県及び各市町村において、サービスの質向上のための体制を構築</w:t>
      </w:r>
    </w:p>
    <w:p>
      <w:pPr>
        <w:pStyle w:val="0"/>
        <w:spacing w:line="0" w:lineRule="atLeast"/>
        <w:ind w:left="876" w:leftChars="300" w:right="224" w:rightChars="100" w:hanging="204" w:hangingChars="100"/>
        <w:rPr>
          <w:rFonts w:hint="default"/>
          <w:sz w:val="20"/>
        </w:rPr>
      </w:pPr>
    </w:p>
    <w:p>
      <w:pPr>
        <w:pStyle w:val="0"/>
        <w:widowControl w:val="1"/>
        <w:jc w:val="left"/>
        <w:rPr>
          <w:rFonts w:hint="default" w:asciiTheme="majorEastAsia" w:hAnsiTheme="majorEastAsia" w:eastAsiaTheme="majorEastAsia"/>
          <w:sz w:val="24"/>
        </w:rPr>
      </w:pPr>
      <w:r>
        <w:rPr>
          <w:rFonts w:hint="default" w:asciiTheme="majorEastAsia" w:hAnsiTheme="majorEastAsia" w:eastAsiaTheme="majorEastAsia"/>
          <w:sz w:val="24"/>
        </w:rPr>
        <w:br w:type="page"/>
      </w:r>
    </w:p>
    <w:p>
      <w:pPr>
        <w:pStyle w:val="0"/>
        <w:widowControl w:val="1"/>
        <w:jc w:val="left"/>
        <w:rPr>
          <w:rFonts w:hint="default" w:ascii="Segoe UI Symbol" w:hAnsi="Segoe UI Symbol" w:eastAsia="HG丸ｺﾞｼｯｸM-PRO"/>
        </w:rPr>
      </w:pPr>
      <w:r>
        <w:rPr>
          <w:rFonts w:hint="eastAsia" w:ascii="Segoe UI Symbol" w:hAnsi="Segoe UI Symbol" w:eastAsia="HG丸ｺﾞｼｯｸM-PRO"/>
        </w:rPr>
        <w:t>【参考資料】第７期障害福祉計画・第３期障害児福祉計画の活動指標</w:t>
      </w:r>
    </w:p>
    <w:p>
      <w:pPr>
        <w:pStyle w:val="0"/>
        <w:spacing w:line="0" w:lineRule="atLeast"/>
        <w:ind w:left="164" w:hanging="164" w:hangingChars="100"/>
        <w:rPr>
          <w:rFonts w:hint="default" w:ascii="ＭＳ ゴシック" w:hAnsi="ＭＳ ゴシック" w:eastAsia="ＭＳ ゴシック"/>
          <w:spacing w:val="-2"/>
          <w:w w:val="90"/>
          <w:sz w:val="16"/>
          <w:u w:val="single" w:color="auto"/>
        </w:rPr>
      </w:pPr>
      <w:r>
        <w:rPr>
          <w:rFonts w:hint="default"/>
          <w:sz w:val="16"/>
        </w:rPr>
        <mc:AlternateContent>
          <mc:Choice Requires="wps">
            <w:drawing>
              <wp:anchor distT="0" distB="0" distL="114300" distR="114300" simplePos="0" relativeHeight="183" behindDoc="0" locked="0" layoutInCell="1" hidden="0" allowOverlap="1">
                <wp:simplePos x="0" y="0"/>
                <wp:positionH relativeFrom="column">
                  <wp:posOffset>130175</wp:posOffset>
                </wp:positionH>
                <wp:positionV relativeFrom="paragraph">
                  <wp:posOffset>54610</wp:posOffset>
                </wp:positionV>
                <wp:extent cx="5984875" cy="8711565"/>
                <wp:effectExtent l="635" t="635" r="29845" b="10795"/>
                <wp:wrapNone/>
                <wp:docPr id="1086" name="正方形/長方形 2"/>
                <a:graphic xmlns:a="http://schemas.openxmlformats.org/drawingml/2006/main">
                  <a:graphicData uri="http://schemas.microsoft.com/office/word/2010/wordprocessingShape">
                    <wps:wsp>
                      <wps:cNvPr id="1086" name="正方形/長方形 2"/>
                      <wps:cNvSpPr/>
                      <wps:spPr>
                        <a:xfrm>
                          <a:off x="0" y="0"/>
                          <a:ext cx="5984875" cy="8711565"/>
                        </a:xfrm>
                        <a:prstGeom prst="rect">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 style="mso-wrap-distance-right:9pt;mso-wrap-distance-bottom:0pt;margin-top:4.3pt;mso-position-vertical-relative:text;mso-position-horizontal-relative:text;position:absolute;height:685.95pt;mso-wrap-distance-top:0pt;width:471.25pt;mso-wrap-distance-left:9pt;margin-left:10.25pt;z-index:183;" o:spid="_x0000_s1086" o:allowincell="t" o:allowoverlap="t" filled="f" stroked="t" strokecolor="#548235 [2409]" strokeweight="1.5pt" o:spt="1">
                <v:fill/>
                <v:stroke linestyle="single" miterlimit="8" endcap="flat" dashstyle="solid" filltype="solid"/>
                <v:textbox style="layout-flow:horizontal;"/>
                <v:imagedata o:title=""/>
                <w10:wrap type="none" anchorx="text" anchory="text"/>
              </v:rect>
            </w:pict>
          </mc:Fallback>
        </mc:AlternateContent>
      </w:r>
    </w:p>
    <w:tbl>
      <w:tblPr>
        <w:tblStyle w:val="307"/>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tcMar>
              <w:top w:w="17" w:type="dxa"/>
              <w:bottom w:w="17" w:type="dxa"/>
            </w:tcMar>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①施設入所者の地域生活への移行等</w:t>
            </w:r>
          </w:p>
        </w:tc>
      </w:tr>
      <w:tr>
        <w:trPr/>
        <w:tc>
          <w:tcPr>
            <w:tcW w:w="997" w:type="dxa"/>
            <w:tcMar>
              <w:top w:w="17" w:type="dxa"/>
              <w:bottom w:w="17" w:type="dxa"/>
            </w:tcMar>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p>
          <w:p>
            <w:pPr>
              <w:pStyle w:val="0"/>
              <w:spacing w:line="0" w:lineRule="atLeast"/>
              <w:ind w:left="176" w:hanging="176" w:hangingChars="100"/>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 xml:space="preserve"> </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tcMar>
              <w:top w:w="17" w:type="dxa"/>
              <w:bottom w:w="17" w:type="dxa"/>
            </w:tcMar>
            <w:vAlign w:val="center"/>
          </w:tcPr>
          <w:p>
            <w:pPr>
              <w:pStyle w:val="0"/>
              <w:spacing w:line="0" w:lineRule="atLeast"/>
              <w:ind w:left="152" w:hanging="152" w:hangingChars="100"/>
              <w:rPr>
                <w:rFonts w:hint="default"/>
                <w:spacing w:val="-7"/>
                <w:w w:val="90"/>
                <w:sz w:val="18"/>
              </w:rPr>
            </w:pPr>
            <w:r>
              <w:rPr>
                <w:rFonts w:hint="eastAsia"/>
                <w:spacing w:val="-7"/>
                <w:w w:val="90"/>
                <w:sz w:val="18"/>
              </w:rPr>
              <w:t>○居宅介護の利用者数､利用時間数</w:t>
            </w:r>
            <w:r>
              <w:rPr>
                <w:rFonts w:hint="eastAsia"/>
                <w:spacing w:val="-7"/>
                <w:w w:val="70"/>
                <w:sz w:val="16"/>
              </w:rPr>
              <w:t>※</w:t>
            </w:r>
            <w:r>
              <w:rPr>
                <w:rFonts w:hint="eastAsia"/>
                <w:spacing w:val="-7"/>
                <w:w w:val="90"/>
                <w:sz w:val="18"/>
              </w:rPr>
              <w:t>　○重度訪問介護の利用者数、利用時間数</w:t>
            </w:r>
            <w:r>
              <w:rPr>
                <w:rFonts w:hint="eastAsia"/>
                <w:spacing w:val="-7"/>
                <w:w w:val="70"/>
                <w:sz w:val="16"/>
              </w:rPr>
              <w:t>※</w:t>
            </w:r>
            <w:r>
              <w:rPr>
                <w:rFonts w:hint="eastAsia"/>
                <w:spacing w:val="-7"/>
                <w:w w:val="90"/>
                <w:sz w:val="18"/>
              </w:rPr>
              <w:t>　○同行援護の利用者数､利用時間数</w:t>
            </w:r>
            <w:r>
              <w:rPr>
                <w:rFonts w:hint="eastAsia"/>
                <w:spacing w:val="-7"/>
                <w:w w:val="70"/>
                <w:sz w:val="16"/>
              </w:rPr>
              <w:t>※</w:t>
            </w:r>
          </w:p>
          <w:p>
            <w:pPr>
              <w:pStyle w:val="0"/>
              <w:spacing w:line="0" w:lineRule="atLeast"/>
              <w:ind w:left="152" w:hanging="152" w:hangingChars="100"/>
              <w:rPr>
                <w:rFonts w:hint="default"/>
                <w:spacing w:val="-7"/>
                <w:w w:val="90"/>
                <w:sz w:val="18"/>
              </w:rPr>
            </w:pPr>
            <w:r>
              <w:rPr>
                <w:rFonts w:hint="eastAsia"/>
                <w:spacing w:val="-7"/>
                <w:w w:val="90"/>
                <w:sz w:val="18"/>
              </w:rPr>
              <w:t>○行動援護の利用者数､利用時間数</w:t>
            </w:r>
            <w:r>
              <w:rPr>
                <w:rFonts w:hint="eastAsia"/>
                <w:spacing w:val="-7"/>
                <w:w w:val="70"/>
                <w:sz w:val="16"/>
              </w:rPr>
              <w:t>※</w:t>
            </w:r>
            <w:r>
              <w:rPr>
                <w:rFonts w:hint="eastAsia"/>
                <w:spacing w:val="-7"/>
                <w:w w:val="90"/>
                <w:sz w:val="18"/>
              </w:rPr>
              <w:t>　○重度障害者等包括支援の利用者数､利用単位数</w:t>
            </w:r>
            <w:r>
              <w:rPr>
                <w:rFonts w:hint="eastAsia"/>
                <w:spacing w:val="-7"/>
                <w:w w:val="70"/>
                <w:sz w:val="16"/>
              </w:rPr>
              <w:t>※</w:t>
            </w:r>
            <w:r>
              <w:rPr>
                <w:rFonts w:hint="eastAsia"/>
                <w:spacing w:val="-7"/>
                <w:w w:val="90"/>
                <w:sz w:val="18"/>
              </w:rPr>
              <w:t xml:space="preserve"> </w:t>
            </w:r>
            <w:r>
              <w:rPr>
                <w:rFonts w:hint="eastAsia"/>
                <w:spacing w:val="-7"/>
                <w:w w:val="85"/>
                <w:sz w:val="16"/>
              </w:rPr>
              <w:t>※</w:t>
            </w:r>
            <w:r>
              <w:rPr>
                <w:rFonts w:hint="eastAsia"/>
                <w:spacing w:val="-7"/>
                <w:w w:val="80"/>
                <w:sz w:val="16"/>
              </w:rPr>
              <w:t>個々の</w:t>
            </w:r>
            <w:r>
              <w:rPr>
                <w:rFonts w:hint="eastAsia"/>
                <w:spacing w:val="-7"/>
                <w:w w:val="70"/>
                <w:sz w:val="16"/>
              </w:rPr>
              <w:t>サービス</w:t>
            </w:r>
            <w:r>
              <w:rPr>
                <w:rFonts w:hint="eastAsia"/>
                <w:spacing w:val="-7"/>
                <w:w w:val="80"/>
                <w:sz w:val="16"/>
              </w:rPr>
              <w:t>としての指標は初めて</w:t>
            </w:r>
          </w:p>
          <w:p>
            <w:pPr>
              <w:pStyle w:val="0"/>
              <w:spacing w:line="0" w:lineRule="atLeast"/>
              <w:ind w:left="152" w:hanging="152" w:hangingChars="100"/>
              <w:rPr>
                <w:rFonts w:hint="default"/>
                <w:spacing w:val="-7"/>
                <w:w w:val="90"/>
                <w:sz w:val="18"/>
              </w:rPr>
            </w:pPr>
            <w:r>
              <w:rPr>
                <w:rFonts w:hint="eastAsia"/>
                <w:spacing w:val="-7"/>
                <w:w w:val="90"/>
                <w:sz w:val="18"/>
              </w:rPr>
              <w:t>○生活介護の利用者数､利用日数　　</w:t>
            </w:r>
            <w:r>
              <w:rPr>
                <w:rFonts w:hint="eastAsia"/>
                <w:spacing w:val="-7"/>
                <w:w w:val="90"/>
                <w:sz w:val="18"/>
              </w:rPr>
              <w:t xml:space="preserve"> </w:t>
            </w:r>
            <w:r>
              <w:rPr>
                <w:rFonts w:hint="eastAsia"/>
                <w:spacing w:val="-7"/>
                <w:w w:val="90"/>
                <w:sz w:val="18"/>
              </w:rPr>
              <w:t>○自立訓練</w:t>
            </w:r>
            <w:r>
              <w:rPr>
                <w:rFonts w:hint="default"/>
                <w:spacing w:val="-7"/>
                <w:w w:val="90"/>
                <w:sz w:val="18"/>
              </w:rPr>
              <w:t>(</w:t>
            </w:r>
            <w:r>
              <w:rPr>
                <w:rFonts w:hint="eastAsia"/>
                <w:spacing w:val="-7"/>
                <w:w w:val="90"/>
                <w:sz w:val="18"/>
              </w:rPr>
              <w:t>機能訓練・生活訓練</w:t>
            </w:r>
            <w:r>
              <w:rPr>
                <w:rFonts w:hint="default"/>
                <w:spacing w:val="-7"/>
                <w:w w:val="90"/>
                <w:sz w:val="18"/>
              </w:rPr>
              <w:t>)</w:t>
            </w:r>
            <w:r>
              <w:rPr>
                <w:rFonts w:hint="default"/>
                <w:spacing w:val="-7"/>
                <w:w w:val="90"/>
                <w:sz w:val="18"/>
              </w:rPr>
              <w:t>の</w:t>
            </w:r>
            <w:r>
              <w:rPr>
                <w:rFonts w:hint="eastAsia"/>
                <w:spacing w:val="-7"/>
                <w:w w:val="90"/>
                <w:sz w:val="18"/>
              </w:rPr>
              <w:t>利用者数､利用日数</w:t>
            </w:r>
          </w:p>
          <w:p>
            <w:pPr>
              <w:pStyle w:val="0"/>
              <w:spacing w:line="0" w:lineRule="atLeast"/>
              <w:ind w:left="152" w:hanging="152" w:hangingChars="100"/>
              <w:rPr>
                <w:rFonts w:hint="default"/>
                <w:spacing w:val="-7"/>
                <w:w w:val="90"/>
                <w:sz w:val="18"/>
              </w:rPr>
            </w:pPr>
            <w:r>
              <w:rPr>
                <w:rFonts w:hint="eastAsia"/>
                <w:spacing w:val="-7"/>
                <w:w w:val="90"/>
                <w:sz w:val="18"/>
              </w:rPr>
              <w:t>○就労選択支援の利用者数､利用日数【新設】　　　　</w:t>
            </w:r>
            <w:r>
              <w:rPr>
                <w:rFonts w:hint="eastAsia"/>
                <w:spacing w:val="-7"/>
                <w:w w:val="90"/>
                <w:sz w:val="18"/>
              </w:rPr>
              <w:t xml:space="preserve"> </w:t>
            </w:r>
            <w:r>
              <w:rPr>
                <w:rFonts w:hint="eastAsia"/>
                <w:spacing w:val="-7"/>
                <w:w w:val="90"/>
                <w:sz w:val="18"/>
              </w:rPr>
              <w:t>○就労移行支援の利用者数､利用日数</w:t>
            </w:r>
          </w:p>
          <w:p>
            <w:pPr>
              <w:pStyle w:val="0"/>
              <w:spacing w:line="0" w:lineRule="atLeast"/>
              <w:ind w:left="152" w:hanging="152" w:hangingChars="100"/>
              <w:rPr>
                <w:rFonts w:hint="default"/>
                <w:spacing w:val="-7"/>
                <w:w w:val="90"/>
                <w:sz w:val="18"/>
              </w:rPr>
            </w:pPr>
            <w:r>
              <w:rPr>
                <w:rFonts w:hint="eastAsia"/>
                <w:spacing w:val="-7"/>
                <w:w w:val="90"/>
                <w:sz w:val="18"/>
              </w:rPr>
              <w:t>○就労継続支援</w:t>
            </w:r>
            <w:r>
              <w:rPr>
                <w:rFonts w:hint="default"/>
                <w:spacing w:val="-7"/>
                <w:w w:val="90"/>
                <w:sz w:val="18"/>
              </w:rPr>
              <w:t>(</w:t>
            </w:r>
            <w:r>
              <w:rPr>
                <w:rFonts w:hint="eastAsia"/>
                <w:spacing w:val="-7"/>
                <w:w w:val="90"/>
                <w:sz w:val="18"/>
              </w:rPr>
              <w:t>Ａ型・Ｂ型</w:t>
            </w:r>
            <w:r>
              <w:rPr>
                <w:rFonts w:hint="default"/>
                <w:spacing w:val="-7"/>
                <w:w w:val="90"/>
                <w:sz w:val="18"/>
              </w:rPr>
              <w:t>)</w:t>
            </w:r>
            <w:r>
              <w:rPr>
                <w:rFonts w:hint="default"/>
                <w:spacing w:val="-7"/>
                <w:w w:val="90"/>
                <w:sz w:val="18"/>
              </w:rPr>
              <w:t>の</w:t>
            </w:r>
            <w:r>
              <w:rPr>
                <w:rFonts w:hint="eastAsia"/>
                <w:spacing w:val="-7"/>
                <w:w w:val="90"/>
                <w:sz w:val="18"/>
              </w:rPr>
              <w:t>利用者数、利用日数　　○就労定着支援の利用者数</w:t>
            </w:r>
          </w:p>
          <w:p>
            <w:pPr>
              <w:pStyle w:val="0"/>
              <w:spacing w:line="0" w:lineRule="atLeast"/>
              <w:ind w:left="152" w:hanging="152" w:hangingChars="100"/>
              <w:rPr>
                <w:rFonts w:hint="default"/>
                <w:spacing w:val="-7"/>
                <w:w w:val="90"/>
                <w:sz w:val="18"/>
              </w:rPr>
            </w:pPr>
            <w:r>
              <w:rPr>
                <w:rFonts w:hint="eastAsia"/>
                <w:spacing w:val="-7"/>
                <w:w w:val="90"/>
                <w:sz w:val="18"/>
              </w:rPr>
              <w:t>○短期入所</w:t>
            </w:r>
            <w:r>
              <w:rPr>
                <w:rFonts w:hint="default"/>
                <w:spacing w:val="-7"/>
                <w:w w:val="90"/>
                <w:sz w:val="18"/>
              </w:rPr>
              <w:t>(</w:t>
            </w:r>
            <w:r>
              <w:rPr>
                <w:rFonts w:hint="eastAsia"/>
                <w:spacing w:val="-7"/>
                <w:w w:val="90"/>
                <w:sz w:val="18"/>
              </w:rPr>
              <w:t>福祉型、医療型</w:t>
            </w:r>
            <w:r>
              <w:rPr>
                <w:rFonts w:hint="default"/>
                <w:spacing w:val="-7"/>
                <w:w w:val="90"/>
                <w:sz w:val="18"/>
              </w:rPr>
              <w:t>)</w:t>
            </w:r>
            <w:r>
              <w:rPr>
                <w:rFonts w:hint="eastAsia"/>
                <w:spacing w:val="-7"/>
                <w:w w:val="90"/>
                <w:sz w:val="18"/>
              </w:rPr>
              <w:t>の利用者数、利用日数</w:t>
            </w:r>
          </w:p>
          <w:p>
            <w:pPr>
              <w:pStyle w:val="0"/>
              <w:spacing w:line="0" w:lineRule="atLeast"/>
              <w:ind w:left="152" w:hanging="152" w:hangingChars="100"/>
              <w:rPr>
                <w:rFonts w:hint="default"/>
                <w:spacing w:val="-7"/>
                <w:w w:val="90"/>
                <w:sz w:val="18"/>
              </w:rPr>
            </w:pPr>
            <w:r>
              <w:rPr>
                <w:rFonts w:hint="eastAsia"/>
                <w:spacing w:val="-7"/>
                <w:w w:val="90"/>
                <w:sz w:val="18"/>
              </w:rPr>
              <w:t>○自立生活援助の利用者数　　○共同生活援助の利用者数</w:t>
            </w:r>
            <w:r>
              <w:rPr>
                <w:rFonts w:hint="eastAsia"/>
                <w:spacing w:val="-7"/>
                <w:w w:val="90"/>
                <w:sz w:val="18"/>
              </w:rPr>
              <w:t xml:space="preserve"> </w:t>
            </w:r>
            <w:r>
              <w:rPr>
                <w:rFonts w:hint="eastAsia"/>
                <w:spacing w:val="-7"/>
                <w:w w:val="80"/>
                <w:sz w:val="16"/>
              </w:rPr>
              <w:t>※重度障害者の利用者数を追加</w:t>
            </w:r>
          </w:p>
          <w:p>
            <w:pPr>
              <w:pStyle w:val="0"/>
              <w:spacing w:line="0" w:lineRule="atLeast"/>
              <w:ind w:left="152" w:hanging="152" w:hangingChars="100"/>
              <w:rPr>
                <w:rFonts w:hint="default"/>
                <w:spacing w:val="-7"/>
                <w:w w:val="90"/>
                <w:sz w:val="18"/>
              </w:rPr>
            </w:pPr>
            <w:r>
              <w:rPr>
                <w:rFonts w:hint="eastAsia"/>
                <w:spacing w:val="-7"/>
                <w:w w:val="90"/>
                <w:sz w:val="18"/>
              </w:rPr>
              <w:t>○計画相談支援の利用者数　　○地域移行支援の利用者数　　○地域定着支援の利用者数</w:t>
            </w:r>
          </w:p>
          <w:p>
            <w:pPr>
              <w:pStyle w:val="0"/>
              <w:spacing w:line="0" w:lineRule="atLeast"/>
              <w:ind w:left="152" w:hanging="152" w:hangingChars="100"/>
              <w:rPr>
                <w:rFonts w:hint="default"/>
                <w:spacing w:val="-7"/>
                <w:w w:val="90"/>
                <w:sz w:val="18"/>
              </w:rPr>
            </w:pPr>
            <w:r>
              <w:rPr>
                <w:rFonts w:hint="eastAsia"/>
                <w:spacing w:val="-7"/>
                <w:w w:val="90"/>
                <w:sz w:val="18"/>
              </w:rPr>
              <w:t>○施設入所支援の利用者数</w:t>
            </w:r>
            <w:r>
              <w:rPr>
                <w:rFonts w:hint="eastAsia"/>
                <w:spacing w:val="-7"/>
                <w:w w:val="90"/>
                <w:sz w:val="18"/>
              </w:rPr>
              <w:t xml:space="preserve"> </w:t>
            </w:r>
            <w:r>
              <w:rPr>
                <w:rFonts w:hint="eastAsia"/>
                <w:spacing w:val="-7"/>
                <w:w w:val="80"/>
                <w:sz w:val="16"/>
              </w:rPr>
              <w:t>※新たな入所希望者のニーズ・環境の確認</w:t>
            </w:r>
          </w:p>
        </w:tc>
      </w:tr>
    </w:tbl>
    <w:p>
      <w:pPr>
        <w:pStyle w:val="0"/>
        <w:spacing w:line="0" w:lineRule="atLeast"/>
        <w:ind w:left="762" w:leftChars="300" w:right="224" w:rightChars="100" w:hanging="90" w:hangingChars="100"/>
        <w:rPr>
          <w:rFonts w:hint="default"/>
          <w:spacing w:val="-2"/>
          <w:w w:val="90"/>
          <w:sz w:val="10"/>
        </w:rPr>
      </w:pPr>
    </w:p>
    <w:tbl>
      <w:tblPr>
        <w:tblStyle w:val="307"/>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tcMar>
              <w:top w:w="17" w:type="dxa"/>
              <w:bottom w:w="17" w:type="dxa"/>
            </w:tcMar>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②精神障害にも対応した地域包括ケアシステムの構築</w:t>
            </w:r>
          </w:p>
        </w:tc>
      </w:tr>
      <w:tr>
        <w:trPr/>
        <w:tc>
          <w:tcPr>
            <w:tcW w:w="997" w:type="dxa"/>
            <w:tcMar>
              <w:top w:w="17" w:type="dxa"/>
              <w:bottom w:w="17" w:type="dxa"/>
            </w:tcMar>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p>
          <w:p>
            <w:pPr>
              <w:pStyle w:val="0"/>
              <w:spacing w:line="0" w:lineRule="atLeast"/>
              <w:ind w:left="176" w:hanging="176" w:hangingChars="100"/>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 xml:space="preserve"> </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tcMar>
              <w:top w:w="17" w:type="dxa"/>
              <w:bottom w:w="17" w:type="dxa"/>
            </w:tcMar>
            <w:vAlign w:val="center"/>
          </w:tcPr>
          <w:p>
            <w:pPr>
              <w:pStyle w:val="0"/>
              <w:spacing w:line="0" w:lineRule="atLeast"/>
              <w:ind w:left="170" w:hanging="170" w:hangingChars="100"/>
              <w:rPr>
                <w:rFonts w:hint="default"/>
                <w:spacing w:val="-7"/>
                <w:sz w:val="18"/>
              </w:rPr>
            </w:pPr>
            <w:r>
              <w:rPr>
                <w:rFonts w:hint="eastAsia"/>
                <w:spacing w:val="-7"/>
                <w:sz w:val="18"/>
              </w:rPr>
              <w:t>○保健、医療・福祉関係者による協議の場の開催回数</w:t>
            </w:r>
          </w:p>
          <w:p>
            <w:pPr>
              <w:pStyle w:val="0"/>
              <w:spacing w:line="0" w:lineRule="atLeast"/>
              <w:ind w:left="170" w:hanging="170" w:hangingChars="100"/>
              <w:rPr>
                <w:rFonts w:hint="default"/>
                <w:spacing w:val="-7"/>
                <w:sz w:val="18"/>
              </w:rPr>
            </w:pPr>
            <w:r>
              <w:rPr>
                <w:rFonts w:hint="eastAsia"/>
                <w:spacing w:val="-7"/>
                <w:sz w:val="18"/>
              </w:rPr>
              <w:t>○保健、医療</w:t>
            </w:r>
            <w:r>
              <w:rPr>
                <w:rFonts w:hint="eastAsia"/>
                <w:spacing w:val="-7"/>
                <w:sz w:val="18"/>
              </w:rPr>
              <w:t>(</w:t>
            </w:r>
            <w:r>
              <w:rPr>
                <w:rFonts w:hint="eastAsia"/>
                <w:spacing w:val="-7"/>
                <w:sz w:val="18"/>
              </w:rPr>
              <w:t>精神科、精神科以外の医療機関別</w:t>
            </w:r>
            <w:r>
              <w:rPr>
                <w:rFonts w:hint="eastAsia"/>
                <w:spacing w:val="-7"/>
                <w:sz w:val="18"/>
              </w:rPr>
              <w:t>)</w:t>
            </w:r>
            <w:r>
              <w:rPr>
                <w:rFonts w:hint="eastAsia"/>
                <w:spacing w:val="-7"/>
                <w:sz w:val="18"/>
              </w:rPr>
              <w:t>、福祉、介護、当事者、家族等の関係者ごとの参加者数</w:t>
            </w:r>
          </w:p>
          <w:p>
            <w:pPr>
              <w:pStyle w:val="0"/>
              <w:spacing w:line="0" w:lineRule="atLeast"/>
              <w:ind w:left="170" w:hanging="170" w:hangingChars="100"/>
              <w:rPr>
                <w:rFonts w:hint="default"/>
                <w:spacing w:val="-7"/>
                <w:sz w:val="18"/>
              </w:rPr>
            </w:pPr>
            <w:r>
              <w:rPr>
                <w:rFonts w:hint="eastAsia"/>
                <w:spacing w:val="-7"/>
                <w:sz w:val="18"/>
              </w:rPr>
              <w:t>○保健、医療、福祉関係者による協議の場における目標設定及び評価の実施回数</w:t>
            </w:r>
          </w:p>
          <w:p>
            <w:pPr>
              <w:pStyle w:val="0"/>
              <w:spacing w:line="0" w:lineRule="atLeast"/>
              <w:ind w:left="170" w:hanging="170" w:hangingChars="100"/>
              <w:rPr>
                <w:rFonts w:hint="default"/>
                <w:spacing w:val="-7"/>
                <w:sz w:val="18"/>
              </w:rPr>
            </w:pPr>
            <w:r>
              <w:rPr>
                <w:rFonts w:hint="eastAsia"/>
                <w:spacing w:val="-7"/>
                <w:sz w:val="18"/>
              </w:rPr>
              <w:t>○</w:t>
            </w:r>
            <w:r>
              <w:rPr>
                <w:rFonts w:hint="eastAsia"/>
                <w:spacing w:val="-7"/>
                <w:w w:val="85"/>
                <w:sz w:val="18"/>
              </w:rPr>
              <w:t>精神障害者の地域移行支援の利用者数　</w:t>
            </w:r>
            <w:r>
              <w:rPr>
                <w:rFonts w:hint="eastAsia"/>
                <w:spacing w:val="-7"/>
                <w:sz w:val="18"/>
              </w:rPr>
              <w:t>○</w:t>
            </w:r>
            <w:r>
              <w:rPr>
                <w:rFonts w:hint="eastAsia"/>
                <w:spacing w:val="-7"/>
                <w:w w:val="85"/>
                <w:sz w:val="18"/>
              </w:rPr>
              <w:t>精神障害者の地域定着支援の利用者数</w:t>
            </w:r>
            <w:r>
              <w:rPr>
                <w:rFonts w:hint="eastAsia"/>
                <w:spacing w:val="-7"/>
                <w:sz w:val="18"/>
              </w:rPr>
              <w:t>　○</w:t>
            </w:r>
            <w:r>
              <w:rPr>
                <w:rFonts w:hint="eastAsia"/>
                <w:spacing w:val="-7"/>
                <w:w w:val="85"/>
                <w:sz w:val="18"/>
              </w:rPr>
              <w:t>精神障害者の共同生活援助の利用者数</w:t>
            </w:r>
          </w:p>
          <w:p>
            <w:pPr>
              <w:pStyle w:val="0"/>
              <w:spacing w:line="0" w:lineRule="atLeast"/>
              <w:ind w:left="170" w:hanging="170" w:hangingChars="100"/>
              <w:rPr>
                <w:rFonts w:hint="default"/>
                <w:spacing w:val="-7"/>
                <w:sz w:val="18"/>
              </w:rPr>
            </w:pPr>
            <w:r>
              <w:rPr>
                <w:rFonts w:hint="eastAsia"/>
                <w:spacing w:val="-7"/>
                <w:sz w:val="18"/>
              </w:rPr>
              <w:t>○精神障害者の自立生活援助の利用者数　○精神障害者の自立訓練（生活訓練）【新設】</w:t>
            </w:r>
          </w:p>
        </w:tc>
      </w:tr>
      <w:tr>
        <w:trPr/>
        <w:tc>
          <w:tcPr>
            <w:tcW w:w="997" w:type="dxa"/>
            <w:tcMar>
              <w:top w:w="17" w:type="dxa"/>
              <w:bottom w:w="17" w:type="dxa"/>
            </w:tcMar>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r>
              <w:rPr>
                <w:rFonts w:hint="default" w:ascii="ＭＳ ゴシック" w:hAnsi="ＭＳ ゴシック" w:eastAsia="ＭＳ ゴシック"/>
                <w:spacing w:val="-4"/>
                <w:w w:val="90"/>
                <w:sz w:val="20"/>
              </w:rPr>
              <w:t>)</w:t>
            </w:r>
          </w:p>
        </w:tc>
        <w:tc>
          <w:tcPr>
            <w:tcW w:w="8217" w:type="dxa"/>
            <w:tcMar>
              <w:top w:w="17" w:type="dxa"/>
              <w:bottom w:w="17" w:type="dxa"/>
            </w:tcMar>
            <w:vAlign w:val="center"/>
          </w:tcPr>
          <w:p>
            <w:pPr>
              <w:pStyle w:val="0"/>
              <w:spacing w:line="0" w:lineRule="atLeast"/>
              <w:ind w:left="184" w:hanging="184" w:hangingChars="100"/>
              <w:rPr>
                <w:rFonts w:hint="default"/>
                <w:sz w:val="18"/>
              </w:rPr>
            </w:pPr>
            <w:r>
              <w:rPr>
                <w:rFonts w:hint="eastAsia"/>
                <w:sz w:val="18"/>
              </w:rPr>
              <w:t>○精神病床からの退院後の行き先別の退院患者数</w:t>
            </w:r>
          </w:p>
        </w:tc>
      </w:tr>
    </w:tbl>
    <w:p>
      <w:pPr>
        <w:pStyle w:val="0"/>
        <w:spacing w:line="0" w:lineRule="atLeast"/>
        <w:ind w:left="762" w:leftChars="300" w:right="224" w:rightChars="100" w:hanging="90" w:hangingChars="100"/>
        <w:rPr>
          <w:rFonts w:hint="default"/>
          <w:spacing w:val="-2"/>
          <w:w w:val="90"/>
          <w:sz w:val="10"/>
        </w:rPr>
      </w:pPr>
    </w:p>
    <w:tbl>
      <w:tblPr>
        <w:tblStyle w:val="307"/>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③地域生活支援の充実</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p>
          <w:p>
            <w:pPr>
              <w:pStyle w:val="0"/>
              <w:spacing w:line="0" w:lineRule="atLeast"/>
              <w:ind w:left="176" w:hanging="176" w:hangingChars="100"/>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 xml:space="preserve"> </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84" w:hanging="184" w:hangingChars="100"/>
              <w:rPr>
                <w:rFonts w:hint="default"/>
                <w:sz w:val="18"/>
              </w:rPr>
            </w:pPr>
            <w:r>
              <w:rPr>
                <w:rFonts w:hint="eastAsia"/>
                <w:sz w:val="18"/>
              </w:rPr>
              <w:t>○地域生活支援拠点等の設置箇所数とコーディネーターの配置人数、地域生活支援拠点等における機能の充実に向けた支援の実績等を踏まえた検証及び検討の実施回数</w:t>
            </w:r>
          </w:p>
        </w:tc>
      </w:tr>
    </w:tbl>
    <w:p>
      <w:pPr>
        <w:pStyle w:val="0"/>
        <w:spacing w:line="0" w:lineRule="atLeast"/>
        <w:ind w:left="762" w:leftChars="300" w:right="224" w:rightChars="100" w:hanging="90" w:hangingChars="100"/>
        <w:rPr>
          <w:rFonts w:hint="default"/>
          <w:spacing w:val="-2"/>
          <w:w w:val="90"/>
          <w:sz w:val="10"/>
        </w:rPr>
      </w:pPr>
    </w:p>
    <w:tbl>
      <w:tblPr>
        <w:tblStyle w:val="307"/>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④福祉施設から一般就労への移行等</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2"/>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70" w:hanging="170" w:hangingChars="100"/>
              <w:rPr>
                <w:rFonts w:hint="default"/>
                <w:spacing w:val="-7"/>
                <w:sz w:val="18"/>
              </w:rPr>
            </w:pPr>
            <w:r>
              <w:rPr>
                <w:rFonts w:hint="eastAsia"/>
                <w:spacing w:val="-7"/>
                <w:sz w:val="18"/>
              </w:rPr>
              <w:t>○福祉施設から公共職業安定所に誘導した福祉施設利用者数</w:t>
            </w:r>
          </w:p>
          <w:p>
            <w:pPr>
              <w:pStyle w:val="0"/>
              <w:spacing w:line="0" w:lineRule="atLeast"/>
              <w:ind w:left="170" w:hanging="170" w:hangingChars="100"/>
              <w:rPr>
                <w:rFonts w:hint="default"/>
                <w:spacing w:val="-7"/>
                <w:sz w:val="18"/>
              </w:rPr>
            </w:pPr>
            <w:r>
              <w:rPr>
                <w:rFonts w:hint="eastAsia"/>
                <w:spacing w:val="-7"/>
                <w:sz w:val="18"/>
              </w:rPr>
              <w:t>○福祉施設から障害者就業・生活支援センターに誘導した福祉施設利用者数</w:t>
            </w:r>
          </w:p>
          <w:p>
            <w:pPr>
              <w:pStyle w:val="0"/>
              <w:spacing w:line="0" w:lineRule="atLeast"/>
              <w:ind w:left="170" w:hanging="170" w:hangingChars="100"/>
              <w:rPr>
                <w:rFonts w:hint="default"/>
                <w:spacing w:val="-7"/>
                <w:sz w:val="18"/>
              </w:rPr>
            </w:pPr>
            <w:r>
              <w:rPr>
                <w:rFonts w:hint="eastAsia"/>
                <w:spacing w:val="-7"/>
                <w:sz w:val="18"/>
              </w:rPr>
              <w:t>○</w:t>
            </w:r>
            <w:r>
              <w:rPr>
                <w:rFonts w:hint="eastAsia"/>
                <w:spacing w:val="-7"/>
                <w:w w:val="94"/>
                <w:sz w:val="18"/>
              </w:rPr>
              <w:t>福祉施設利用者のうち公共職業安定所の支援を受けて就職した者の数　</w:t>
            </w:r>
            <w:r>
              <w:rPr>
                <w:rFonts w:hint="default"/>
                <w:spacing w:val="-7"/>
                <w:w w:val="94"/>
                <w:sz w:val="18"/>
              </w:rPr>
              <w:t xml:space="preserve"> </w:t>
            </w:r>
            <w:r>
              <w:rPr>
                <w:rFonts w:hint="eastAsia"/>
                <w:spacing w:val="-7"/>
                <w:sz w:val="18"/>
              </w:rPr>
              <w:t>○</w:t>
            </w:r>
            <w:r>
              <w:rPr>
                <w:rFonts w:hint="eastAsia"/>
                <w:spacing w:val="-7"/>
                <w:w w:val="94"/>
                <w:sz w:val="18"/>
              </w:rPr>
              <w:t>障害者に対する職業訓練の受講者数</w:t>
            </w:r>
          </w:p>
        </w:tc>
      </w:tr>
    </w:tbl>
    <w:p>
      <w:pPr>
        <w:pStyle w:val="0"/>
        <w:spacing w:line="0" w:lineRule="atLeast"/>
        <w:ind w:left="762" w:leftChars="300" w:right="224" w:rightChars="100" w:hanging="90" w:hangingChars="100"/>
        <w:rPr>
          <w:rFonts w:hint="default"/>
          <w:spacing w:val="-2"/>
          <w:w w:val="90"/>
          <w:sz w:val="10"/>
        </w:rPr>
      </w:pPr>
    </w:p>
    <w:tbl>
      <w:tblPr>
        <w:tblStyle w:val="307"/>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⑤発達障害者等に対する支援</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p>
          <w:p>
            <w:pPr>
              <w:pStyle w:val="0"/>
              <w:spacing w:line="220" w:lineRule="exact"/>
              <w:textAlignment w:val="center"/>
              <w:rPr>
                <w:rFonts w:hint="default" w:ascii="ＭＳ ゴシック" w:hAnsi="ＭＳ ゴシック" w:eastAsia="ＭＳ ゴシック"/>
                <w:spacing w:val="-12"/>
                <w:w w:val="68"/>
                <w:sz w:val="20"/>
              </w:rPr>
            </w:pPr>
            <w:r>
              <w:rPr>
                <w:rFonts w:hint="default" w:ascii="ＭＳ ゴシック" w:hAnsi="ＭＳ ゴシック" w:eastAsia="ＭＳ ゴシック"/>
                <w:spacing w:val="-4"/>
                <w:w w:val="90"/>
                <w:sz w:val="20"/>
              </w:rPr>
              <w:t xml:space="preserve"> </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70" w:hanging="170" w:hangingChars="100"/>
              <w:rPr>
                <w:rFonts w:hint="default"/>
                <w:spacing w:val="-7"/>
                <w:sz w:val="18"/>
              </w:rPr>
            </w:pPr>
            <w:r>
              <w:rPr>
                <w:rFonts w:hint="eastAsia"/>
                <w:spacing w:val="-7"/>
                <w:sz w:val="18"/>
              </w:rPr>
              <w:t>○発達障害者地域支援協議会の開催回数　　　　　○発達障害者支援センターによる相談支援の件数</w:t>
            </w:r>
          </w:p>
          <w:p>
            <w:pPr>
              <w:pStyle w:val="0"/>
              <w:spacing w:line="0" w:lineRule="atLeast"/>
              <w:ind w:left="170" w:hanging="170" w:hangingChars="100"/>
              <w:rPr>
                <w:rFonts w:hint="default"/>
                <w:spacing w:val="-7"/>
                <w:sz w:val="18"/>
              </w:rPr>
            </w:pPr>
            <w:r>
              <w:rPr>
                <w:rFonts w:hint="eastAsia"/>
                <w:spacing w:val="-7"/>
                <w:sz w:val="18"/>
              </w:rPr>
              <w:t>○発達障害者支援センター及び発達障害者地域支援マネジャーの関係機関への助言件数</w:t>
            </w:r>
          </w:p>
          <w:p>
            <w:pPr>
              <w:pStyle w:val="0"/>
              <w:spacing w:line="0" w:lineRule="atLeast"/>
              <w:ind w:left="170" w:hanging="170" w:hangingChars="100"/>
              <w:rPr>
                <w:rFonts w:hint="default"/>
                <w:spacing w:val="-7"/>
                <w:sz w:val="18"/>
              </w:rPr>
            </w:pPr>
            <w:r>
              <w:rPr>
                <w:rFonts w:hint="eastAsia"/>
                <w:spacing w:val="-7"/>
                <w:sz w:val="18"/>
              </w:rPr>
              <w:t>○発達障害者支援センター及び発達障害者地域支援マネジャーの外部機関や地域住民への研修、啓発の件数</w:t>
            </w:r>
          </w:p>
          <w:p>
            <w:pPr>
              <w:pStyle w:val="0"/>
              <w:spacing w:line="0" w:lineRule="atLeast"/>
              <w:ind w:left="170" w:hanging="170" w:hangingChars="100"/>
              <w:rPr>
                <w:rFonts w:hint="default"/>
                <w:spacing w:val="-7"/>
                <w:sz w:val="18"/>
              </w:rPr>
            </w:pPr>
            <w:r>
              <w:rPr>
                <w:rFonts w:hint="eastAsia"/>
                <w:spacing w:val="-7"/>
                <w:sz w:val="18"/>
              </w:rPr>
              <w:t>○ペアレントトレーニングやペアレントプログラム等の支援プログラム等の実施者数</w:t>
            </w:r>
          </w:p>
          <w:p>
            <w:pPr>
              <w:pStyle w:val="0"/>
              <w:spacing w:line="0" w:lineRule="atLeast"/>
              <w:ind w:left="170" w:hanging="170" w:hangingChars="100"/>
              <w:rPr>
                <w:rFonts w:hint="default"/>
                <w:spacing w:val="-7"/>
                <w:sz w:val="18"/>
              </w:rPr>
            </w:pPr>
            <w:r>
              <w:rPr>
                <w:rFonts w:hint="eastAsia"/>
                <w:spacing w:val="-7"/>
                <w:sz w:val="18"/>
              </w:rPr>
              <w:t>○ペアレントメンターの人数　　　　　　　　　　○ピアサポートの活動への参加人数</w:t>
            </w:r>
          </w:p>
        </w:tc>
      </w:tr>
    </w:tbl>
    <w:p>
      <w:pPr>
        <w:pStyle w:val="0"/>
        <w:spacing w:line="0" w:lineRule="atLeast"/>
        <w:ind w:left="762" w:leftChars="300" w:right="224" w:rightChars="100" w:hanging="90" w:hangingChars="100"/>
        <w:rPr>
          <w:rFonts w:hint="default"/>
          <w:spacing w:val="-2"/>
          <w:w w:val="90"/>
          <w:sz w:val="10"/>
        </w:rPr>
      </w:pPr>
    </w:p>
    <w:tbl>
      <w:tblPr>
        <w:tblStyle w:val="307"/>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⑥障害児支援の提供体制の整備等</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p>
          <w:p>
            <w:pPr>
              <w:pStyle w:val="0"/>
              <w:spacing w:line="220" w:lineRule="exact"/>
              <w:textAlignment w:val="center"/>
              <w:rPr>
                <w:rFonts w:hint="default" w:ascii="ＭＳ ゴシック" w:hAnsi="ＭＳ ゴシック" w:eastAsia="ＭＳ ゴシック"/>
                <w:spacing w:val="-2"/>
                <w:w w:val="90"/>
                <w:sz w:val="20"/>
              </w:rPr>
            </w:pPr>
            <w:r>
              <w:rPr>
                <w:rFonts w:hint="default" w:ascii="ＭＳ ゴシック" w:hAnsi="ＭＳ ゴシック" w:eastAsia="ＭＳ ゴシック"/>
                <w:spacing w:val="-4"/>
                <w:w w:val="90"/>
                <w:sz w:val="20"/>
              </w:rPr>
              <w:t xml:space="preserve"> </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70" w:hanging="170" w:hangingChars="100"/>
              <w:rPr>
                <w:rFonts w:hint="default"/>
                <w:spacing w:val="-7"/>
                <w:sz w:val="18"/>
              </w:rPr>
            </w:pPr>
            <w:r>
              <w:rPr>
                <w:rFonts w:hint="eastAsia"/>
                <w:spacing w:val="-7"/>
                <w:sz w:val="18"/>
              </w:rPr>
              <w:t>○児童発達支援の利用児童数、利用日数　　　　○放課後等デイサービスの利用児童数、利用日数</w:t>
            </w:r>
          </w:p>
          <w:p>
            <w:pPr>
              <w:pStyle w:val="0"/>
              <w:spacing w:line="0" w:lineRule="atLeast"/>
              <w:ind w:left="170" w:hanging="170" w:hangingChars="100"/>
              <w:rPr>
                <w:rFonts w:hint="default"/>
                <w:spacing w:val="-7"/>
                <w:sz w:val="18"/>
              </w:rPr>
            </w:pPr>
            <w:r>
              <w:rPr>
                <w:rFonts w:hint="eastAsia"/>
                <w:spacing w:val="-7"/>
                <w:sz w:val="18"/>
              </w:rPr>
              <w:t>○保育所等訪問支援の利用児童数、利用日数　　○訪問型児童発達支援の利用児童数、利用日数</w:t>
            </w:r>
          </w:p>
          <w:p>
            <w:pPr>
              <w:pStyle w:val="0"/>
              <w:spacing w:line="0" w:lineRule="atLeast"/>
              <w:ind w:left="170" w:hanging="170" w:hangingChars="100"/>
              <w:rPr>
                <w:rFonts w:hint="default"/>
                <w:spacing w:val="-7"/>
                <w:sz w:val="18"/>
              </w:rPr>
            </w:pPr>
            <w:r>
              <w:rPr>
                <w:rFonts w:hint="eastAsia"/>
                <w:spacing w:val="-7"/>
                <w:sz w:val="18"/>
              </w:rPr>
              <w:t>○障害児相談支援の利用児童数</w:t>
            </w:r>
          </w:p>
          <w:p>
            <w:pPr>
              <w:pStyle w:val="0"/>
              <w:spacing w:line="0" w:lineRule="atLeast"/>
              <w:ind w:left="170" w:hanging="170" w:hangingChars="100"/>
              <w:rPr>
                <w:rFonts w:hint="default"/>
                <w:spacing w:val="-7"/>
                <w:sz w:val="18"/>
              </w:rPr>
            </w:pPr>
            <w:r>
              <w:rPr>
                <w:rFonts w:hint="eastAsia"/>
                <w:spacing w:val="-7"/>
                <w:sz w:val="18"/>
              </w:rPr>
              <w:t>○医療的ケア児等に対する関連分野の支援を調整するコーディネーターの配置人数</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84" w:hanging="184" w:hangingChars="100"/>
              <w:rPr>
                <w:rFonts w:hint="default"/>
                <w:sz w:val="18"/>
              </w:rPr>
            </w:pPr>
            <w:r>
              <w:rPr>
                <w:rFonts w:hint="eastAsia"/>
                <w:sz w:val="18"/>
              </w:rPr>
              <w:t>○福祉型障害児入所施設の利用児童数　　　　　　○医療型障害児入所施設の利用児童数</w:t>
            </w:r>
          </w:p>
          <w:p>
            <w:pPr>
              <w:pStyle w:val="0"/>
              <w:spacing w:line="0" w:lineRule="atLeast"/>
              <w:ind w:left="184" w:hanging="184" w:hangingChars="100"/>
              <w:rPr>
                <w:rFonts w:hint="default"/>
                <w:sz w:val="18"/>
              </w:rPr>
            </w:pPr>
            <w:r>
              <w:rPr>
                <w:rFonts w:hint="eastAsia"/>
                <w:sz w:val="18"/>
              </w:rPr>
              <w:t>○医療的ケア児等の支援を総合調整するコーディネーターの配置人数【新設】</w:t>
            </w:r>
          </w:p>
        </w:tc>
      </w:tr>
    </w:tbl>
    <w:p>
      <w:pPr>
        <w:pStyle w:val="0"/>
        <w:spacing w:line="0" w:lineRule="atLeast"/>
        <w:ind w:left="762" w:leftChars="300" w:right="224" w:rightChars="100" w:hanging="90" w:hangingChars="100"/>
        <w:rPr>
          <w:rFonts w:hint="default"/>
          <w:spacing w:val="-2"/>
          <w:w w:val="90"/>
          <w:sz w:val="10"/>
        </w:rPr>
      </w:pPr>
    </w:p>
    <w:tbl>
      <w:tblPr>
        <w:tblStyle w:val="307"/>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⑦相談支援体制の充実・強化等</w:t>
            </w:r>
          </w:p>
        </w:tc>
      </w:tr>
      <w:tr>
        <w:trPr/>
        <w:tc>
          <w:tcPr>
            <w:tcW w:w="997" w:type="dxa"/>
            <w:vAlign w:val="top"/>
          </w:tcPr>
          <w:p>
            <w:pPr>
              <w:pStyle w:val="0"/>
              <w:spacing w:line="0" w:lineRule="atLeast"/>
              <w:ind w:left="176" w:hanging="176" w:hangingChars="100"/>
              <w:rPr>
                <w:rFonts w:hint="default" w:ascii="ＭＳ ゴシック" w:hAnsi="ＭＳ ゴシック" w:eastAsia="ＭＳ ゴシック"/>
                <w:spacing w:val="-2"/>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80" w:hanging="180" w:hangingChars="100"/>
              <w:rPr>
                <w:rFonts w:hint="default"/>
                <w:spacing w:val="-2"/>
                <w:sz w:val="18"/>
              </w:rPr>
            </w:pPr>
            <w:r>
              <w:rPr>
                <w:rFonts w:hint="eastAsia"/>
                <w:spacing w:val="-2"/>
                <w:sz w:val="18"/>
              </w:rPr>
              <w:t>○基幹相談支援センターの設置【新設】</w:t>
            </w:r>
          </w:p>
          <w:p>
            <w:pPr>
              <w:pStyle w:val="0"/>
              <w:spacing w:line="0" w:lineRule="atLeast"/>
              <w:ind w:left="180" w:hanging="180" w:hangingChars="100"/>
              <w:rPr>
                <w:rFonts w:hint="default"/>
                <w:spacing w:val="-2"/>
                <w:sz w:val="18"/>
              </w:rPr>
            </w:pPr>
            <w:r>
              <w:rPr>
                <w:rFonts w:hint="eastAsia"/>
                <w:spacing w:val="-2"/>
                <w:sz w:val="18"/>
              </w:rPr>
              <w:t>○基幹相談支援センターによる地域の相談支援事業者に対する訪問等による専門的な指導・助言件数</w:t>
            </w:r>
          </w:p>
          <w:p>
            <w:pPr>
              <w:pStyle w:val="0"/>
              <w:spacing w:line="0" w:lineRule="atLeast"/>
              <w:ind w:left="180" w:hanging="180" w:hangingChars="100"/>
              <w:rPr>
                <w:rFonts w:hint="default"/>
                <w:spacing w:val="-2"/>
                <w:sz w:val="18"/>
              </w:rPr>
            </w:pPr>
            <w:r>
              <w:rPr>
                <w:rFonts w:hint="eastAsia"/>
                <w:spacing w:val="-2"/>
                <w:sz w:val="18"/>
              </w:rPr>
              <w:t>○基幹相談支援センターによる地域の相談支援事業者の人材育成の支援件数</w:t>
            </w:r>
          </w:p>
          <w:p>
            <w:pPr>
              <w:pStyle w:val="0"/>
              <w:spacing w:line="0" w:lineRule="atLeast"/>
              <w:ind w:left="180" w:hanging="180" w:hangingChars="100"/>
              <w:rPr>
                <w:rFonts w:hint="default"/>
                <w:spacing w:val="-2"/>
                <w:sz w:val="18"/>
              </w:rPr>
            </w:pPr>
            <w:r>
              <w:rPr>
                <w:rFonts w:hint="eastAsia"/>
                <w:spacing w:val="-2"/>
                <w:sz w:val="18"/>
              </w:rPr>
              <w:t>○基幹相談支援センターによる地域の相談機関との連携強化の取組の実施回数</w:t>
            </w:r>
          </w:p>
          <w:p>
            <w:pPr>
              <w:pStyle w:val="0"/>
              <w:spacing w:line="0" w:lineRule="atLeast"/>
              <w:ind w:left="180" w:hanging="180" w:hangingChars="100"/>
              <w:rPr>
                <w:rFonts w:hint="default"/>
                <w:spacing w:val="-2"/>
                <w:sz w:val="18"/>
              </w:rPr>
            </w:pPr>
            <w:r>
              <w:rPr>
                <w:rFonts w:hint="eastAsia"/>
                <w:spacing w:val="-2"/>
                <w:sz w:val="18"/>
              </w:rPr>
              <w:t>○協議会における個別事例の検討を通じた地域のサービスの開発・改善【新設】</w:t>
            </w:r>
          </w:p>
        </w:tc>
      </w:tr>
    </w:tbl>
    <w:p>
      <w:pPr>
        <w:pStyle w:val="0"/>
        <w:spacing w:line="0" w:lineRule="atLeast"/>
        <w:ind w:left="762" w:leftChars="300" w:right="224" w:rightChars="100" w:hanging="90" w:hangingChars="100"/>
        <w:rPr>
          <w:rFonts w:hint="default"/>
          <w:spacing w:val="-2"/>
          <w:w w:val="90"/>
          <w:sz w:val="10"/>
        </w:rPr>
      </w:pPr>
    </w:p>
    <w:tbl>
      <w:tblPr>
        <w:tblStyle w:val="307"/>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⑧障害福祉サービス等の質を向上させるための取組に係る体制の構築</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70" w:hanging="170" w:hangingChars="100"/>
              <w:rPr>
                <w:rFonts w:hint="default"/>
                <w:spacing w:val="-7"/>
                <w:sz w:val="18"/>
              </w:rPr>
            </w:pPr>
            <w:r>
              <w:rPr>
                <w:rFonts w:hint="eastAsia"/>
                <w:spacing w:val="-7"/>
                <w:sz w:val="18"/>
              </w:rPr>
              <w:t>○</w:t>
            </w:r>
            <w:r>
              <w:rPr>
                <w:rFonts w:hint="eastAsia"/>
                <w:spacing w:val="-7"/>
                <w:w w:val="90"/>
                <w:sz w:val="18"/>
              </w:rPr>
              <w:t>都道府県が実施する障害福祉サービス等に係る研修の参加や都道府県が市町村職員に対して実施する研修の参加人数</w:t>
            </w:r>
          </w:p>
          <w:p>
            <w:pPr>
              <w:pStyle w:val="0"/>
              <w:spacing w:line="0" w:lineRule="atLeast"/>
              <w:ind w:left="170" w:hanging="170" w:hangingChars="100"/>
              <w:rPr>
                <w:rFonts w:hint="default"/>
                <w:spacing w:val="-7"/>
                <w:sz w:val="18"/>
              </w:rPr>
            </w:pPr>
            <w:r>
              <w:rPr>
                <w:rFonts w:hint="eastAsia"/>
                <w:spacing w:val="-7"/>
                <w:sz w:val="18"/>
              </w:rPr>
              <w:t>○障害者自立支援審査支払等システム等での審査結果を分析してその結果を活用し、事業所や関係自治体等と共有する体制の有無及びそれに基づく実施回数</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p>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 xml:space="preserve"> </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70" w:hanging="170" w:hangingChars="100"/>
              <w:rPr>
                <w:rFonts w:hint="default"/>
                <w:spacing w:val="-7"/>
                <w:sz w:val="18"/>
              </w:rPr>
            </w:pPr>
            <w:r>
              <w:rPr>
                <w:rFonts w:hint="eastAsia"/>
                <w:spacing w:val="-7"/>
                <w:sz w:val="18"/>
              </w:rPr>
              <w:t>○都道府県等が実施する指定障害福祉サービス事業者及び指定障害児通所支援事業者等に対する指導監査の適正な実施とその結果の関係自治体との共有する体制の有無及びそれに基づく共有回数</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70" w:hanging="170" w:hangingChars="100"/>
              <w:rPr>
                <w:rFonts w:hint="default"/>
                <w:spacing w:val="-7"/>
                <w:sz w:val="18"/>
              </w:rPr>
            </w:pPr>
            <w:r>
              <w:rPr>
                <w:rFonts w:hint="eastAsia"/>
                <w:spacing w:val="-7"/>
                <w:sz w:val="18"/>
              </w:rPr>
              <w:t>○相談支援専門員研修及びサービス管理責任者・児童発達支援管理責任者研修の修了者数の見込み【新設】</w:t>
            </w:r>
          </w:p>
          <w:p>
            <w:pPr>
              <w:pStyle w:val="0"/>
              <w:spacing w:line="0" w:lineRule="atLeast"/>
              <w:ind w:left="170" w:hanging="170" w:hangingChars="100"/>
              <w:rPr>
                <w:rFonts w:hint="default"/>
                <w:spacing w:val="-7"/>
                <w:sz w:val="18"/>
              </w:rPr>
            </w:pPr>
            <w:r>
              <w:rPr>
                <w:rFonts w:hint="eastAsia"/>
                <w:spacing w:val="-7"/>
                <w:sz w:val="18"/>
              </w:rPr>
              <w:t>○相談支援専門員及びサービス管理責任者・児童発達支援管理責任者への意思決定支援ガイドライン等を活用した研修の実施回数及び修了者数の見込み【新設】</w:t>
            </w:r>
          </w:p>
        </w:tc>
      </w:tr>
    </w:tbl>
    <w:p>
      <w:pPr>
        <w:pStyle w:val="19"/>
        <w:spacing w:line="200" w:lineRule="exact"/>
        <w:ind w:left="336" w:firstLine="214"/>
        <w:rPr>
          <w:rFonts w:hint="default"/>
        </w:rPr>
      </w:pPr>
    </w:p>
    <w:p>
      <w:pPr>
        <w:pStyle w:val="0"/>
        <w:widowControl w:val="1"/>
        <w:spacing w:line="20" w:lineRule="exact"/>
        <w:jc w:val="left"/>
        <w:rPr>
          <w:rFonts w:hint="eastAsia" w:ascii="HGｺﾞｼｯｸM" w:hAnsi="HGｺﾞｼｯｸM" w:eastAsia="ＭＳ ゴシック"/>
          <w:sz w:val="26"/>
        </w:rPr>
      </w:pPr>
      <w:bookmarkEnd w:id="8"/>
      <w:bookmarkStart w:id="12" w:name="_Toc505592278"/>
      <w:r>
        <w:rPr>
          <w:rFonts w:hint="default"/>
        </w:rPr>
        <w:br w:type="page"/>
      </w:r>
    </w:p>
    <w:p>
      <w:pPr>
        <w:pStyle w:val="80"/>
        <w:spacing w:after="92" w:afterLines="0" w:afterAutospacing="0"/>
        <w:rPr>
          <w:rFonts w:hint="default"/>
        </w:rPr>
      </w:pPr>
      <w:bookmarkEnd w:id="12"/>
      <w:bookmarkStart w:id="13" w:name="_Toc162263656"/>
      <w:r>
        <w:rPr>
          <w:rFonts w:hint="eastAsia"/>
        </w:rPr>
        <w:t>５．計画の期間</w:t>
      </w:r>
      <w:bookmarkEnd w:id="13"/>
    </w:p>
    <w:p>
      <w:pPr>
        <w:pStyle w:val="19"/>
        <w:ind w:left="336" w:firstLine="214"/>
        <w:rPr>
          <w:rFonts w:hint="default"/>
          <w:spacing w:val="-3"/>
        </w:rPr>
      </w:pPr>
      <w:r>
        <w:rPr>
          <w:rFonts w:hint="eastAsia"/>
        </w:rPr>
        <w:t>障がい福祉計画及び障がい児福祉計画は、基本指針で３年を１期とすることが定められているため、本計画の期間は、令和６年度から令和８年度までの３年間とし、令和８年度に見直しを行います。</w:t>
      </w:r>
      <w:r>
        <w:rPr>
          <w:rFonts w:hint="eastAsia"/>
          <w:spacing w:val="-3"/>
        </w:rPr>
        <w:t>また、障がい者計画についても、</w:t>
      </w:r>
      <w:r>
        <w:rPr>
          <w:rFonts w:hint="eastAsia"/>
        </w:rPr>
        <w:t>障がい福祉計画、障がい児福祉計画との整合性を図る観点から、計画期間並びに</w:t>
      </w:r>
      <w:r>
        <w:rPr>
          <w:rFonts w:hint="eastAsia"/>
        </w:rPr>
        <mc:AlternateContent>
          <mc:Choice Requires="wpg">
            <w:drawing>
              <wp:anchor distT="0" distB="0" distL="114300" distR="114300" simplePos="0" relativeHeight="9" behindDoc="0" locked="1" layoutInCell="1" hidden="0" allowOverlap="1">
                <wp:simplePos x="0" y="0"/>
                <wp:positionH relativeFrom="column">
                  <wp:posOffset>2333625</wp:posOffset>
                </wp:positionH>
                <wp:positionV relativeFrom="paragraph">
                  <wp:posOffset>2069465</wp:posOffset>
                </wp:positionV>
                <wp:extent cx="760730" cy="255270"/>
                <wp:effectExtent l="635" t="0" r="29845" b="635"/>
                <wp:wrapNone/>
                <wp:docPr id="1087" name="Group 807"/>
                <a:graphic xmlns:a="http://schemas.openxmlformats.org/drawingml/2006/main">
                  <a:graphicData uri="http://schemas.microsoft.com/office/word/2010/wordprocessingGroup">
                    <wpg:wgp>
                      <wpg:cNvGrpSpPr/>
                      <wpg:grpSpPr>
                        <a:xfrm>
                          <a:off x="0" y="0"/>
                          <a:ext cx="760730" cy="255270"/>
                          <a:chOff x="1508" y="4235"/>
                          <a:chExt cx="1288" cy="402"/>
                        </a:xfrm>
                      </wpg:grpSpPr>
                      <wps:wsp>
                        <wps:cNvPr id="1088" name="Oval 593"/>
                        <wps:cNvSpPr>
                          <a:spLocks noChangeArrowheads="1"/>
                        </wps:cNvSpPr>
                        <wps:spPr>
                          <a:xfrm>
                            <a:off x="1508" y="4243"/>
                            <a:ext cx="1288" cy="350"/>
                          </a:xfrm>
                          <a:prstGeom prst="ellipse">
                            <a:avLst/>
                          </a:prstGeom>
                          <a:solidFill>
                            <a:srgbClr val="FFFFFF"/>
                          </a:solidFill>
                          <a:ln w="9525">
                            <a:solidFill>
                              <a:srgbClr val="000000"/>
                            </a:solidFill>
                            <a:prstDash val="dash"/>
                            <a:round/>
                            <a:headEnd/>
                            <a:tailEnd/>
                          </a:ln>
                        </wps:spPr>
                        <wps:bodyPr/>
                      </wps:wsp>
                      <wps:wsp>
                        <wps:cNvPr id="1089" name="Text Box 594"/>
                        <wps:cNvSpPr txBox="1">
                          <a:spLocks noChangeArrowheads="1"/>
                        </wps:cNvSpPr>
                        <wps:spPr>
                          <a:xfrm>
                            <a:off x="1640" y="4235"/>
                            <a:ext cx="1004" cy="402"/>
                          </a:xfrm>
                          <a:prstGeom prst="rect">
                            <a:avLst/>
                          </a:prstGeom>
                          <a:noFill/>
                          <a:ln>
                            <a:noFill/>
                          </a:ln>
                        </wps:spPr>
                        <wps:txbx>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見直し</w:t>
                              </w:r>
                            </w:p>
                          </w:txbxContent>
                        </wps:txbx>
                        <wps:bodyPr rot="0" vertOverflow="overflow" horzOverflow="overflow" wrap="square" lIns="74295" tIns="8890" rIns="74295" bIns="8890" anchor="t" anchorCtr="0" upright="1"/>
                      </wps:wsp>
                    </wpg:wgp>
                  </a:graphicData>
                </a:graphic>
              </wp:anchor>
            </w:drawing>
          </mc:Choice>
          <mc:Fallback>
            <w:pict>
              <v:group id="Group 807" style="mso-wrap-distance-right:9pt;mso-wrap-distance-bottom:0pt;margin-top:162.94pt;mso-position-vertical-relative:text;mso-position-horizontal-relative:text;position:absolute;height:20.100000000000001pt;mso-wrap-distance-top:0pt;width:59.9pt;mso-wrap-distance-left:9pt;margin-left:183.75pt;z-index:9;" coordsize="1288,402" coordorigin="1508,4235" o:spid="_x0000_s1087" o:allowincell="t" o:allowoverlap="t">
                <v:oval id="Oval 593" style="height:350;width:1288;top:4243;left:1508;position:absolute;" o:spid="_x0000_s1088" filled="t" fillcolor="#ffffff" stroked="t" strokecolor="#000000" strokeweight="0.75pt" o:spt="3">
                  <v:fill/>
                  <v:stroke dashstyle="dash" filltype="solid"/>
                  <v:textbox style="layout-flow:horizontal;"/>
                  <v:imagedata o:title=""/>
                  <w10:wrap type="none" anchorx="text" anchory="text"/>
                  <w10:anchorlock/>
                </v:oval>
                <v:shapetype id="_x0000_t202" coordsize="21600,21600" o:spt="202" path="m,l,21600r21600,l21600,xe">
                  <v:stroke joinstyle="miter"/>
                  <v:path gradientshapeok="t" o:connecttype="rect"/>
                </v:shapetype>
                <v:shape id="Text Box 594" style="height:402;width:1004;top:4235;left:1640;position:absolute;" o:spid="_x0000_s1089" filled="f" stroked="f" o:spt="202" type="#_x0000_t202">
                  <v:fill/>
                  <v:textbox style="layout-flow:horizontal;" inset="2.0637499999999998mm,0.24694444444444438mm,2.0637499999999998mm,0.24694444444444438mm">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見直し</w:t>
                        </w:r>
                      </w:p>
                    </w:txbxContent>
                  </v:textbox>
                  <v:imagedata o:title=""/>
                  <w10:wrap type="none" anchorx="text" anchory="text"/>
                  <w10:anchorlock/>
                </v:shape>
                <w10:wrap type="none" anchorx="text" anchory="text"/>
                <w10:anchorlock/>
              </v:group>
            </w:pict>
          </mc:Fallback>
        </mc:AlternateContent>
      </w:r>
      <w:r>
        <w:rPr>
          <w:rFonts w:hint="eastAsia"/>
        </w:rPr>
        <mc:AlternateContent>
          <mc:Choice Requires="wpg">
            <w:drawing>
              <wp:anchor distT="0" distB="0" distL="114300" distR="114300" simplePos="0" relativeHeight="12" behindDoc="0" locked="1" layoutInCell="1" hidden="0" allowOverlap="1">
                <wp:simplePos x="0" y="0"/>
                <wp:positionH relativeFrom="column">
                  <wp:posOffset>5263515</wp:posOffset>
                </wp:positionH>
                <wp:positionV relativeFrom="paragraph">
                  <wp:posOffset>2372995</wp:posOffset>
                </wp:positionV>
                <wp:extent cx="760730" cy="255270"/>
                <wp:effectExtent l="635" t="0" r="29845" b="635"/>
                <wp:wrapNone/>
                <wp:docPr id="1090" name="Group 807"/>
                <a:graphic xmlns:a="http://schemas.openxmlformats.org/drawingml/2006/main">
                  <a:graphicData uri="http://schemas.microsoft.com/office/word/2010/wordprocessingGroup">
                    <wpg:wgp>
                      <wpg:cNvGrpSpPr/>
                      <wpg:grpSpPr>
                        <a:xfrm>
                          <a:off x="0" y="0"/>
                          <a:ext cx="760730" cy="255270"/>
                          <a:chOff x="1508" y="4235"/>
                          <a:chExt cx="1288" cy="402"/>
                        </a:xfrm>
                      </wpg:grpSpPr>
                      <wps:wsp>
                        <wps:cNvPr id="1091" name="Oval 593"/>
                        <wps:cNvSpPr>
                          <a:spLocks noChangeArrowheads="1"/>
                        </wps:cNvSpPr>
                        <wps:spPr>
                          <a:xfrm>
                            <a:off x="1508" y="4243"/>
                            <a:ext cx="1288" cy="350"/>
                          </a:xfrm>
                          <a:prstGeom prst="ellipse">
                            <a:avLst/>
                          </a:prstGeom>
                          <a:solidFill>
                            <a:srgbClr val="FFFFFF"/>
                          </a:solidFill>
                          <a:ln w="9525">
                            <a:solidFill>
                              <a:srgbClr val="000000"/>
                            </a:solidFill>
                            <a:prstDash val="dash"/>
                            <a:round/>
                            <a:headEnd/>
                            <a:tailEnd/>
                          </a:ln>
                        </wps:spPr>
                        <wps:bodyPr/>
                      </wps:wsp>
                      <wps:wsp>
                        <wps:cNvPr id="1092" name="Text Box 594"/>
                        <wps:cNvSpPr txBox="1">
                          <a:spLocks noChangeArrowheads="1"/>
                        </wps:cNvSpPr>
                        <wps:spPr>
                          <a:xfrm>
                            <a:off x="1640" y="4235"/>
                            <a:ext cx="1004" cy="402"/>
                          </a:xfrm>
                          <a:prstGeom prst="rect">
                            <a:avLst/>
                          </a:prstGeom>
                          <a:noFill/>
                          <a:ln>
                            <a:noFill/>
                          </a:ln>
                        </wps:spPr>
                        <wps:txbx>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見直し</w:t>
                              </w:r>
                            </w:p>
                          </w:txbxContent>
                        </wps:txbx>
                        <wps:bodyPr rot="0" vertOverflow="overflow" horzOverflow="overflow" wrap="square" lIns="74295" tIns="8890" rIns="74295" bIns="8890" anchor="t" anchorCtr="0" upright="1"/>
                      </wps:wsp>
                    </wpg:wgp>
                  </a:graphicData>
                </a:graphic>
              </wp:anchor>
            </w:drawing>
          </mc:Choice>
          <mc:Fallback>
            <w:pict>
              <v:group id="Group 807" style="mso-wrap-distance-right:9pt;mso-wrap-distance-bottom:0pt;margin-top:186.85pt;mso-position-vertical-relative:text;mso-position-horizontal-relative:text;position:absolute;height:20.100000000000001pt;mso-wrap-distance-top:0pt;width:59.9pt;mso-wrap-distance-left:9pt;margin-left:414.45pt;z-index:12;" coordsize="1288,402" coordorigin="1508,4235" o:spid="_x0000_s1090" o:allowincell="t" o:allowoverlap="t">
                <v:oval id="Oval 593" style="height:350;width:1288;top:4243;left:1508;position:absolute;" o:spid="_x0000_s1091" filled="t" fillcolor="#ffffff" stroked="t" strokecolor="#000000" strokeweight="0.75pt" o:spt="3">
                  <v:fill/>
                  <v:stroke dashstyle="dash" filltype="solid"/>
                  <v:textbox style="layout-flow:horizontal;"/>
                  <v:imagedata o:title=""/>
                  <w10:wrap type="none" anchorx="text" anchory="text"/>
                  <w10:anchorlock/>
                </v:oval>
                <v:shapetype id="_x0000_t202" coordsize="21600,21600" o:spt="202" path="m,l,21600r21600,l21600,xe">
                  <v:stroke joinstyle="miter"/>
                  <v:path gradientshapeok="t" o:connecttype="rect"/>
                </v:shapetype>
                <v:shape id="Text Box 594" style="height:402;width:1004;top:4235;left:1640;position:absolute;" o:spid="_x0000_s1092" filled="f" stroked="f" o:spt="202" type="#_x0000_t202">
                  <v:fill/>
                  <v:textbox style="layout-flow:horizontal;" inset="2.0637499999999998mm,0.24694444444444438mm,2.0637499999999998mm,0.24694444444444438mm">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見直し</w:t>
                        </w:r>
                      </w:p>
                    </w:txbxContent>
                  </v:textbox>
                  <v:imagedata o:title=""/>
                  <w10:wrap type="none" anchorx="text" anchory="text"/>
                  <w10:anchorlock/>
                </v:shape>
                <w10:wrap type="none" anchorx="text" anchory="text"/>
                <w10:anchorlock/>
              </v:group>
            </w:pict>
          </mc:Fallback>
        </mc:AlternateContent>
      </w:r>
      <w:r>
        <w:rPr>
          <w:rFonts w:hint="eastAsia"/>
        </w:rPr>
        <w:t>見直しの時期を同じくします</w:t>
      </w:r>
      <w:r>
        <w:rPr>
          <w:rFonts w:hint="eastAsia"/>
          <w:spacing w:val="-3"/>
        </w:rPr>
        <w:t>。</w:t>
      </w:r>
    </w:p>
    <w:p>
      <w:pPr>
        <w:pStyle w:val="0"/>
        <w:spacing w:line="0" w:lineRule="atLeast"/>
        <w:rPr>
          <w:rFonts w:hint="default"/>
          <w:sz w:val="10"/>
        </w:rPr>
      </w:pPr>
    </w:p>
    <w:tbl>
      <w:tblPr>
        <w:tblStyle w:val="11"/>
        <w:tblW w:w="9176" w:type="dxa"/>
        <w:tblInd w:w="458" w:type="dxa"/>
        <w:tblBorders>
          <w:top w:val="single" w:color="auto" w:sz="4" w:space="0"/>
          <w:left w:val="single" w:color="auto" w:sz="4" w:space="0"/>
          <w:bottom w:val="single" w:color="auto" w:sz="4" w:space="0"/>
          <w:right w:val="single" w:color="auto" w:sz="4" w:space="0"/>
          <w:insideH w:val="single" w:color="auto" w:sz="4" w:space="0"/>
          <w:insideV w:val="dashed" w:color="auto" w:sz="4" w:space="0"/>
        </w:tblBorders>
        <w:tblLayout w:type="fixed"/>
        <w:tblLook w:firstRow="1" w:lastRow="1" w:firstColumn="1" w:lastColumn="1" w:noHBand="0" w:noVBand="0" w:val="01E0"/>
      </w:tblPr>
      <w:tblGrid>
        <w:gridCol w:w="1529"/>
        <w:gridCol w:w="1529"/>
        <w:gridCol w:w="1530"/>
        <w:gridCol w:w="1529"/>
        <w:gridCol w:w="1529"/>
        <w:gridCol w:w="1530"/>
      </w:tblGrid>
      <w:tr>
        <w:trPr/>
        <w:tc>
          <w:tcPr>
            <w:tcW w:w="1529" w:type="dxa"/>
            <w:shd w:val="clear" w:color="auto" w:fill="auto"/>
            <w:tcMar>
              <w:top w:w="28" w:type="dxa"/>
              <w:bottom w:w="28" w:type="dxa"/>
            </w:tcMar>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令和６年度</w:t>
            </w:r>
          </w:p>
        </w:tc>
        <w:tc>
          <w:tcPr>
            <w:tcW w:w="1529" w:type="dxa"/>
            <w:shd w:val="clear" w:color="auto" w:fill="auto"/>
            <w:tcMar>
              <w:top w:w="28" w:type="dxa"/>
              <w:bottom w:w="28" w:type="dxa"/>
            </w:tcMar>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令和７年度</w:t>
            </w:r>
          </w:p>
        </w:tc>
        <w:tc>
          <w:tcPr>
            <w:tcW w:w="1530" w:type="dxa"/>
            <w:shd w:val="clear" w:color="auto" w:fill="auto"/>
            <w:tcMar>
              <w:top w:w="28" w:type="dxa"/>
              <w:bottom w:w="28" w:type="dxa"/>
            </w:tcMar>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令和８年度</w:t>
            </w:r>
          </w:p>
        </w:tc>
        <w:tc>
          <w:tcPr>
            <w:tcW w:w="1529" w:type="dxa"/>
            <w:shd w:val="clear" w:color="auto" w:fill="auto"/>
            <w:tcMar>
              <w:top w:w="28" w:type="dxa"/>
              <w:bottom w:w="28" w:type="dxa"/>
            </w:tcMar>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令和９年度</w:t>
            </w:r>
          </w:p>
        </w:tc>
        <w:tc>
          <w:tcPr>
            <w:tcW w:w="1529" w:type="dxa"/>
            <w:shd w:val="clear" w:color="auto" w:fill="auto"/>
            <w:tcMar>
              <w:top w:w="28" w:type="dxa"/>
              <w:bottom w:w="28" w:type="dxa"/>
            </w:tcMar>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令和</w:t>
            </w:r>
            <w:r>
              <w:rPr>
                <w:rFonts w:hint="eastAsia" w:asciiTheme="majorEastAsia" w:hAnsiTheme="majorEastAsia" w:eastAsiaTheme="majorEastAsia"/>
                <w:sz w:val="20"/>
              </w:rPr>
              <w:t>10</w:t>
            </w:r>
            <w:r>
              <w:rPr>
                <w:rFonts w:hint="eastAsia" w:asciiTheme="majorEastAsia" w:hAnsiTheme="majorEastAsia" w:eastAsiaTheme="majorEastAsia"/>
                <w:sz w:val="20"/>
              </w:rPr>
              <w:t>年度</w:t>
            </w:r>
          </w:p>
        </w:tc>
        <w:tc>
          <w:tcPr>
            <w:tcW w:w="1530" w:type="dxa"/>
            <w:shd w:val="clear" w:color="auto" w:fill="auto"/>
            <w:tcMar>
              <w:top w:w="28" w:type="dxa"/>
              <w:bottom w:w="28" w:type="dxa"/>
            </w:tcMar>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令和</w:t>
            </w:r>
            <w:r>
              <w:rPr>
                <w:rFonts w:hint="eastAsia" w:asciiTheme="majorEastAsia" w:hAnsiTheme="majorEastAsia" w:eastAsiaTheme="majorEastAsia"/>
                <w:sz w:val="20"/>
              </w:rPr>
              <w:t>11</w:t>
            </w:r>
            <w:r>
              <w:rPr>
                <w:rFonts w:hint="eastAsia" w:asciiTheme="majorEastAsia" w:hAnsiTheme="majorEastAsia" w:eastAsiaTheme="majorEastAsia"/>
                <w:sz w:val="20"/>
              </w:rPr>
              <w:t>年度</w:t>
            </w:r>
          </w:p>
        </w:tc>
      </w:tr>
      <w:tr>
        <w:trPr>
          <w:trHeight w:val="2253" w:hRule="atLeast"/>
        </w:trPr>
        <w:tc>
          <w:tcPr>
            <w:tcW w:w="1529" w:type="dxa"/>
            <w:shd w:val="clear" w:color="auto" w:fill="auto"/>
            <w:vAlign w:val="center"/>
          </w:tcPr>
          <w:p>
            <w:pPr>
              <w:pStyle w:val="0"/>
              <w:spacing w:line="0" w:lineRule="atLeast"/>
              <w:jc w:val="center"/>
              <w:rPr>
                <w:rFonts w:hint="default" w:asciiTheme="majorEastAsia" w:hAnsiTheme="majorEastAsia" w:eastAsiaTheme="majorEastAsia"/>
                <w:sz w:val="20"/>
              </w:rPr>
            </w:pPr>
          </w:p>
        </w:tc>
        <w:tc>
          <w:tcPr>
            <w:tcW w:w="1529" w:type="dxa"/>
            <w:shd w:val="clear" w:color="auto" w:fill="auto"/>
            <w:vAlign w:val="center"/>
          </w:tcPr>
          <w:p>
            <w:pPr>
              <w:pStyle w:val="0"/>
              <w:spacing w:line="0" w:lineRule="atLeast"/>
              <w:jc w:val="center"/>
              <w:rPr>
                <w:rFonts w:hint="default" w:asciiTheme="majorEastAsia" w:hAnsiTheme="majorEastAsia" w:eastAsiaTheme="majorEastAsia"/>
                <w:sz w:val="20"/>
              </w:rPr>
            </w:pPr>
          </w:p>
        </w:tc>
        <w:tc>
          <w:tcPr>
            <w:tcW w:w="1530" w:type="dxa"/>
            <w:shd w:val="clear" w:color="auto" w:fill="auto"/>
            <w:vAlign w:val="center"/>
          </w:tcPr>
          <w:p>
            <w:pPr>
              <w:pStyle w:val="0"/>
              <w:spacing w:line="0" w:lineRule="atLeast"/>
              <w:jc w:val="center"/>
              <w:rPr>
                <w:rFonts w:hint="default" w:asciiTheme="majorEastAsia" w:hAnsiTheme="majorEastAsia" w:eastAsiaTheme="majorEastAsia"/>
                <w:sz w:val="20"/>
              </w:rPr>
            </w:pPr>
          </w:p>
        </w:tc>
        <w:tc>
          <w:tcPr>
            <w:tcW w:w="1529" w:type="dxa"/>
            <w:shd w:val="clear" w:color="auto" w:fill="auto"/>
            <w:vAlign w:val="center"/>
          </w:tcPr>
          <w:p>
            <w:pPr>
              <w:pStyle w:val="0"/>
              <w:spacing w:line="0" w:lineRule="atLeast"/>
              <w:jc w:val="center"/>
              <w:rPr>
                <w:rFonts w:hint="default" w:asciiTheme="majorEastAsia" w:hAnsiTheme="majorEastAsia" w:eastAsiaTheme="majorEastAsia"/>
                <w:sz w:val="20"/>
              </w:rPr>
            </w:pPr>
          </w:p>
        </w:tc>
        <w:tc>
          <w:tcPr>
            <w:tcW w:w="1529" w:type="dxa"/>
            <w:shd w:val="clear" w:color="auto" w:fill="auto"/>
            <w:vAlign w:val="center"/>
          </w:tcPr>
          <w:p>
            <w:pPr>
              <w:pStyle w:val="0"/>
              <w:spacing w:line="0" w:lineRule="atLeast"/>
              <w:jc w:val="center"/>
              <w:rPr>
                <w:rFonts w:hint="default" w:asciiTheme="majorEastAsia" w:hAnsiTheme="majorEastAsia" w:eastAsiaTheme="majorEastAsia"/>
                <w:sz w:val="20"/>
              </w:rPr>
            </w:pPr>
          </w:p>
        </w:tc>
        <w:tc>
          <w:tcPr>
            <w:tcW w:w="1530" w:type="dxa"/>
            <w:shd w:val="clear" w:color="auto" w:fill="auto"/>
            <w:vAlign w:val="center"/>
          </w:tcPr>
          <w:p>
            <w:pPr>
              <w:pStyle w:val="0"/>
              <w:spacing w:line="0" w:lineRule="atLeast"/>
              <w:jc w:val="center"/>
              <w:rPr>
                <w:rFonts w:hint="default" w:asciiTheme="majorEastAsia" w:hAnsiTheme="majorEastAsia" w:eastAsiaTheme="majorEastAsia"/>
                <w:sz w:val="20"/>
              </w:rPr>
            </w:pPr>
          </w:p>
        </w:tc>
      </w:tr>
    </w:tbl>
    <w:p>
      <w:pPr>
        <w:pStyle w:val="0"/>
        <w:spacing w:line="0" w:lineRule="atLeast"/>
        <w:rPr>
          <w:rFonts w:hint="default"/>
          <w:sz w:val="6"/>
        </w:rPr>
      </w:pPr>
      <w:r>
        <w:rPr>
          <w:rFonts w:hint="default"/>
        </w:rPr>
        <mc:AlternateContent>
          <mc:Choice Requires="wps">
            <w:drawing>
              <wp:anchor distT="0" distB="0" distL="114300" distR="114300" simplePos="0" relativeHeight="15" behindDoc="0" locked="1" layoutInCell="1" hidden="0" allowOverlap="1">
                <wp:simplePos x="0" y="0"/>
                <wp:positionH relativeFrom="column">
                  <wp:posOffset>3230880</wp:posOffset>
                </wp:positionH>
                <wp:positionV relativeFrom="paragraph">
                  <wp:posOffset>-1043940</wp:posOffset>
                </wp:positionV>
                <wp:extent cx="2875915" cy="684530"/>
                <wp:effectExtent l="635" t="1270" r="29845" b="11430"/>
                <wp:wrapNone/>
                <wp:docPr id="1093" name="AutoShape 596"/>
                <a:graphic xmlns:a="http://schemas.openxmlformats.org/drawingml/2006/main">
                  <a:graphicData uri="http://schemas.microsoft.com/office/word/2010/wordprocessingShape">
                    <wps:wsp>
                      <wps:cNvPr id="1093" name="AutoShape 596"/>
                      <wps:cNvSpPr>
                        <a:spLocks noChangeArrowheads="1"/>
                      </wps:cNvSpPr>
                      <wps:spPr>
                        <a:xfrm>
                          <a:off x="0" y="0"/>
                          <a:ext cx="2875915" cy="684530"/>
                        </a:xfrm>
                        <a:prstGeom prst="leftRightArrow">
                          <a:avLst>
                            <a:gd name="adj1" fmla="val 68087"/>
                            <a:gd name="adj2" fmla="val 29066"/>
                          </a:avLst>
                        </a:prstGeom>
                        <a:solidFill>
                          <a:schemeClr val="bg1"/>
                        </a:solidFill>
                        <a:ln w="19050">
                          <a:solidFill>
                            <a:srgbClr val="000000"/>
                          </a:solidFill>
                          <a:miter lim="800000"/>
                          <a:headEnd/>
                          <a:tailEnd/>
                        </a:ln>
                        <a:effectLst/>
                      </wps:spPr>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96" style="mso-wrap-distance-right:9pt;mso-wrap-distance-bottom:0pt;margin-top:-82.2pt;mso-position-vertical-relative:text;mso-position-horizontal-relative:text;position:absolute;height:53.9pt;mso-wrap-distance-top:0pt;width:226.45pt;mso-wrap-distance-left:9pt;margin-left:254.4pt;z-index:15;" o:spid="_x0000_s1093" o:allowincell="t" o:allowoverlap="t" filled="t" fillcolor="#ffffff [3212]" stroked="t" strokecolor="#000000" strokeweight="1.5pt" o:spt="69" type="#_x0000_t69" adj="6278,3447">
                <v:fill/>
                <v:stroke miterlimit="8" filltype="solid"/>
                <v:textbox style="layout-flow:horizontal;"/>
                <v:imagedata o:title=""/>
                <w10:wrap type="none" anchorx="text" anchory="text"/>
                <w10:anchorlock/>
              </v:shape>
            </w:pict>
          </mc:Fallback>
        </mc:AlternateContent>
      </w:r>
    </w:p>
    <w:p>
      <w:pPr>
        <w:pStyle w:val="19"/>
        <w:ind w:left="336" w:firstLine="214"/>
        <w:rPr>
          <w:rFonts w:hint="default"/>
        </w:rPr>
      </w:pPr>
      <w:r>
        <w:rPr>
          <w:rFonts w:hint="default"/>
        </w:rPr>
        <mc:AlternateContent>
          <mc:Choice Requires="wps">
            <w:drawing>
              <wp:anchor distT="0" distB="0" distL="114300" distR="114300" simplePos="0" relativeHeight="16" behindDoc="0" locked="1" layoutInCell="1" hidden="0" allowOverlap="1">
                <wp:simplePos x="0" y="0"/>
                <wp:positionH relativeFrom="column">
                  <wp:posOffset>3341370</wp:posOffset>
                </wp:positionH>
                <wp:positionV relativeFrom="paragraph">
                  <wp:posOffset>-959485</wp:posOffset>
                </wp:positionV>
                <wp:extent cx="2551430" cy="421005"/>
                <wp:effectExtent l="0" t="0" r="635" b="635"/>
                <wp:wrapNone/>
                <wp:docPr id="1094" name="Text Box 597"/>
                <a:graphic xmlns:a="http://schemas.openxmlformats.org/drawingml/2006/main">
                  <a:graphicData uri="http://schemas.microsoft.com/office/word/2010/wordprocessingShape">
                    <wps:wsp>
                      <wps:cNvPr id="1094" name="Text Box 597"/>
                      <wps:cNvSpPr txBox="1">
                        <a:spLocks noChangeArrowheads="1"/>
                      </wps:cNvSpPr>
                      <wps:spPr>
                        <a:xfrm>
                          <a:off x="0" y="0"/>
                          <a:ext cx="2551430" cy="421005"/>
                        </a:xfrm>
                        <a:prstGeom prst="rect">
                          <a:avLst/>
                        </a:prstGeom>
                        <a:noFill/>
                        <a:ln>
                          <a:noFill/>
                        </a:ln>
                      </wps:spPr>
                      <wps:txbx>
                        <w:txbxContent>
                          <w:p>
                            <w:pPr>
                              <w:pStyle w:val="0"/>
                              <w:spacing w:line="300" w:lineRule="exact"/>
                              <w:jc w:val="center"/>
                              <w:rPr>
                                <w:rFonts w:hint="default" w:ascii="ＭＳ ゴシック" w:hAnsi="ＭＳ ゴシック" w:eastAsia="ＭＳ ゴシック"/>
                                <w:spacing w:val="-6"/>
                                <w:w w:val="80"/>
                              </w:rPr>
                            </w:pPr>
                            <w:r>
                              <w:rPr>
                                <w:rFonts w:hint="eastAsia" w:ascii="ＭＳ ゴシック" w:hAnsi="ＭＳ ゴシック" w:eastAsia="ＭＳ ゴシック"/>
                                <w:spacing w:val="-6"/>
                                <w:w w:val="80"/>
                              </w:rPr>
                              <w:t>第７</w:t>
                            </w:r>
                            <w:r>
                              <w:rPr>
                                <w:rFonts w:hint="default" w:ascii="ＭＳ ゴシック" w:hAnsi="ＭＳ ゴシック" w:eastAsia="ＭＳ ゴシック"/>
                                <w:spacing w:val="-6"/>
                                <w:w w:val="80"/>
                              </w:rPr>
                              <w:t>次南風原町</w:t>
                            </w:r>
                            <w:r>
                              <w:rPr>
                                <w:rFonts w:hint="eastAsia" w:ascii="ＭＳ ゴシック" w:hAnsi="ＭＳ ゴシック" w:eastAsia="ＭＳ ゴシック"/>
                                <w:spacing w:val="-6"/>
                                <w:w w:val="80"/>
                              </w:rPr>
                              <w:t>障がい者計画及び</w:t>
                            </w:r>
                          </w:p>
                          <w:p>
                            <w:pPr>
                              <w:pStyle w:val="0"/>
                              <w:spacing w:line="300" w:lineRule="exact"/>
                              <w:jc w:val="center"/>
                              <w:rPr>
                                <w:rFonts w:hint="default"/>
                              </w:rPr>
                            </w:pPr>
                            <w:r>
                              <w:rPr>
                                <w:rFonts w:hint="eastAsia" w:ascii="ＭＳ ゴシック" w:hAnsi="ＭＳ ゴシック" w:eastAsia="ＭＳ ゴシック"/>
                                <w:spacing w:val="-6"/>
                                <w:w w:val="80"/>
                              </w:rPr>
                              <w:t>第８期障がい福祉計画・第４期障がい児福祉計画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597" style="mso-wrap-distance-right:9pt;mso-wrap-distance-bottom:0pt;margin-top:-75.55pt;mso-position-vertical-relative:text;mso-position-horizontal-relative:text;v-text-anchor:top;position:absolute;height:33.15pt;mso-wrap-distance-top:0pt;width:200.9pt;mso-wrap-distance-left:9pt;margin-left:263.10000000000002pt;z-index:16;" o:spid="_x0000_s1094" o:allowincell="t" o:allowoverlap="t" filled="f" stroked="f" o:spt="202" type="#_x0000_t202">
                <v:fill/>
                <v:textbox style="layout-flow:horizontal;" inset="2.0637499999999998mm,0.24694444444444438mm,2.0637499999999998mm,0.24694444444444438mm">
                  <w:txbxContent>
                    <w:p>
                      <w:pPr>
                        <w:pStyle w:val="0"/>
                        <w:spacing w:line="300" w:lineRule="exact"/>
                        <w:jc w:val="center"/>
                        <w:rPr>
                          <w:rFonts w:hint="default" w:ascii="ＭＳ ゴシック" w:hAnsi="ＭＳ ゴシック" w:eastAsia="ＭＳ ゴシック"/>
                          <w:spacing w:val="-6"/>
                          <w:w w:val="80"/>
                        </w:rPr>
                      </w:pPr>
                      <w:r>
                        <w:rPr>
                          <w:rFonts w:hint="eastAsia" w:ascii="ＭＳ ゴシック" w:hAnsi="ＭＳ ゴシック" w:eastAsia="ＭＳ ゴシック"/>
                          <w:spacing w:val="-6"/>
                          <w:w w:val="80"/>
                        </w:rPr>
                        <w:t>第７</w:t>
                      </w:r>
                      <w:r>
                        <w:rPr>
                          <w:rFonts w:hint="default" w:ascii="ＭＳ ゴシック" w:hAnsi="ＭＳ ゴシック" w:eastAsia="ＭＳ ゴシック"/>
                          <w:spacing w:val="-6"/>
                          <w:w w:val="80"/>
                        </w:rPr>
                        <w:t>次南風原町</w:t>
                      </w:r>
                      <w:r>
                        <w:rPr>
                          <w:rFonts w:hint="eastAsia" w:ascii="ＭＳ ゴシック" w:hAnsi="ＭＳ ゴシック" w:eastAsia="ＭＳ ゴシック"/>
                          <w:spacing w:val="-6"/>
                          <w:w w:val="80"/>
                        </w:rPr>
                        <w:t>障がい者計画及び</w:t>
                      </w:r>
                    </w:p>
                    <w:p>
                      <w:pPr>
                        <w:pStyle w:val="0"/>
                        <w:spacing w:line="300" w:lineRule="exact"/>
                        <w:jc w:val="center"/>
                        <w:rPr>
                          <w:rFonts w:hint="default"/>
                        </w:rPr>
                      </w:pPr>
                      <w:r>
                        <w:rPr>
                          <w:rFonts w:hint="eastAsia" w:ascii="ＭＳ ゴシック" w:hAnsi="ＭＳ ゴシック" w:eastAsia="ＭＳ ゴシック"/>
                          <w:spacing w:val="-6"/>
                          <w:w w:val="80"/>
                        </w:rPr>
                        <w:t>第８期障がい福祉計画・第４期障がい児福祉計画</w:t>
                      </w:r>
                    </w:p>
                  </w:txbxContent>
                </v:textbox>
                <v:imagedata o:title=""/>
                <w10:wrap type="none" anchorx="text" anchory="text"/>
                <w10:anchorlock/>
              </v:shape>
            </w:pict>
          </mc:Fallback>
        </mc:AlternateContent>
      </w:r>
      <w:r>
        <w:rPr>
          <w:rFonts w:hint="default"/>
        </w:rPr>
        <mc:AlternateContent>
          <mc:Choice Requires="wps">
            <w:drawing>
              <wp:anchor distT="0" distB="0" distL="114300" distR="114300" simplePos="0" relativeHeight="17" behindDoc="0" locked="1" layoutInCell="1" hidden="0" allowOverlap="1">
                <wp:simplePos x="0" y="0"/>
                <wp:positionH relativeFrom="column">
                  <wp:posOffset>309880</wp:posOffset>
                </wp:positionH>
                <wp:positionV relativeFrom="paragraph">
                  <wp:posOffset>-1441450</wp:posOffset>
                </wp:positionV>
                <wp:extent cx="2875915" cy="684530"/>
                <wp:effectExtent l="635" t="1270" r="29845" b="11430"/>
                <wp:wrapNone/>
                <wp:docPr id="1095" name="AutoShape 596"/>
                <a:graphic xmlns:a="http://schemas.openxmlformats.org/drawingml/2006/main">
                  <a:graphicData uri="http://schemas.microsoft.com/office/word/2010/wordprocessingShape">
                    <wps:wsp>
                      <wps:cNvPr id="1095" name="AutoShape 596"/>
                      <wps:cNvSpPr>
                        <a:spLocks noChangeArrowheads="1"/>
                      </wps:cNvSpPr>
                      <wps:spPr>
                        <a:xfrm>
                          <a:off x="0" y="0"/>
                          <a:ext cx="2875915" cy="684530"/>
                        </a:xfrm>
                        <a:prstGeom prst="leftRightArrow">
                          <a:avLst>
                            <a:gd name="adj1" fmla="val 68087"/>
                            <a:gd name="adj2" fmla="val 29066"/>
                          </a:avLst>
                        </a:prstGeom>
                        <a:solidFill>
                          <a:schemeClr val="bg1">
                            <a:lumMod val="85000"/>
                          </a:schemeClr>
                        </a:solidFill>
                        <a:ln w="19050">
                          <a:solidFill>
                            <a:srgbClr val="000000"/>
                          </a:solidFill>
                          <a:miter lim="800000"/>
                          <a:headEnd/>
                          <a:tailEnd/>
                        </a:ln>
                        <a:effectLst/>
                      </wps:spPr>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96" style="mso-wrap-distance-right:9pt;mso-wrap-distance-bottom:0pt;margin-top:-113.5pt;mso-position-vertical-relative:text;mso-position-horizontal-relative:text;position:absolute;height:53.9pt;mso-wrap-distance-top:0pt;width:226.45pt;mso-wrap-distance-left:9pt;margin-left:24.4pt;z-index:17;" o:spid="_x0000_s1095" o:allowincell="t" o:allowoverlap="t" filled="t" fillcolor="#d9d9d9 [2732]" stroked="t" strokecolor="#000000" strokeweight="1.5pt" o:spt="69" type="#_x0000_t69" adj="6278,3447">
                <v:fill/>
                <v:stroke miterlimit="8" filltype="solid"/>
                <v:textbox style="layout-flow:horizontal;"/>
                <v:imagedata o:title=""/>
                <w10:wrap type="none" anchorx="text" anchory="text"/>
                <w10:anchorlock/>
              </v:shape>
            </w:pict>
          </mc:Fallback>
        </mc:AlternateContent>
      </w:r>
      <w:r>
        <w:rPr>
          <w:rFonts w:hint="default"/>
        </w:rPr>
        <mc:AlternateContent>
          <mc:Choice Requires="wps">
            <w:drawing>
              <wp:anchor distT="0" distB="0" distL="114300" distR="114300" simplePos="0" relativeHeight="18" behindDoc="0" locked="1" layoutInCell="1" hidden="0" allowOverlap="1">
                <wp:simplePos x="0" y="0"/>
                <wp:positionH relativeFrom="column">
                  <wp:posOffset>448945</wp:posOffset>
                </wp:positionH>
                <wp:positionV relativeFrom="paragraph">
                  <wp:posOffset>-1314450</wp:posOffset>
                </wp:positionV>
                <wp:extent cx="2551430" cy="421005"/>
                <wp:effectExtent l="0" t="0" r="635" b="635"/>
                <wp:wrapNone/>
                <wp:docPr id="1096" name="Text Box 597"/>
                <a:graphic xmlns:a="http://schemas.openxmlformats.org/drawingml/2006/main">
                  <a:graphicData uri="http://schemas.microsoft.com/office/word/2010/wordprocessingShape">
                    <wps:wsp>
                      <wps:cNvPr id="1096" name="Text Box 597"/>
                      <wps:cNvSpPr txBox="1">
                        <a:spLocks noChangeArrowheads="1"/>
                      </wps:cNvSpPr>
                      <wps:spPr>
                        <a:xfrm>
                          <a:off x="0" y="0"/>
                          <a:ext cx="2551430" cy="421005"/>
                        </a:xfrm>
                        <a:prstGeom prst="rect">
                          <a:avLst/>
                        </a:prstGeom>
                        <a:noFill/>
                        <a:ln>
                          <a:noFill/>
                        </a:ln>
                      </wps:spPr>
                      <wps:txbx>
                        <w:txbxContent>
                          <w:p>
                            <w:pPr>
                              <w:pStyle w:val="0"/>
                              <w:spacing w:line="300" w:lineRule="exact"/>
                              <w:jc w:val="center"/>
                              <w:rPr>
                                <w:rFonts w:hint="default" w:ascii="ＭＳ ゴシック" w:hAnsi="ＭＳ ゴシック" w:eastAsia="ＭＳ ゴシック"/>
                                <w:spacing w:val="-6"/>
                                <w:w w:val="80"/>
                              </w:rPr>
                            </w:pPr>
                            <w:r>
                              <w:rPr>
                                <w:rFonts w:hint="eastAsia" w:ascii="ＭＳ ゴシック" w:hAnsi="ＭＳ ゴシック" w:eastAsia="ＭＳ ゴシック"/>
                                <w:spacing w:val="-6"/>
                                <w:w w:val="80"/>
                              </w:rPr>
                              <w:t>第６</w:t>
                            </w:r>
                            <w:r>
                              <w:rPr>
                                <w:rFonts w:hint="default" w:ascii="ＭＳ ゴシック" w:hAnsi="ＭＳ ゴシック" w:eastAsia="ＭＳ ゴシック"/>
                                <w:spacing w:val="-6"/>
                                <w:w w:val="80"/>
                              </w:rPr>
                              <w:t>次南風原町</w:t>
                            </w:r>
                            <w:r>
                              <w:rPr>
                                <w:rFonts w:hint="eastAsia" w:ascii="ＭＳ ゴシック" w:hAnsi="ＭＳ ゴシック" w:eastAsia="ＭＳ ゴシック"/>
                                <w:spacing w:val="-6"/>
                                <w:w w:val="80"/>
                              </w:rPr>
                              <w:t>障がい者計画及び</w:t>
                            </w:r>
                          </w:p>
                          <w:p>
                            <w:pPr>
                              <w:pStyle w:val="0"/>
                              <w:spacing w:line="300" w:lineRule="exact"/>
                              <w:jc w:val="center"/>
                              <w:rPr>
                                <w:rFonts w:hint="default"/>
                              </w:rPr>
                            </w:pPr>
                            <w:r>
                              <w:rPr>
                                <w:rFonts w:hint="eastAsia" w:ascii="ＭＳ ゴシック" w:hAnsi="ＭＳ ゴシック" w:eastAsia="ＭＳ ゴシック"/>
                                <w:spacing w:val="-6"/>
                                <w:w w:val="80"/>
                              </w:rPr>
                              <w:t>第７期障がい福祉計画・第３期障がい児福祉計画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597" style="mso-wrap-distance-right:9pt;mso-wrap-distance-bottom:0pt;margin-top:-103.5pt;mso-position-vertical-relative:text;mso-position-horizontal-relative:text;v-text-anchor:top;position:absolute;height:33.15pt;mso-wrap-distance-top:0pt;width:200.9pt;mso-wrap-distance-left:9pt;margin-left:35.35pt;z-index:18;" o:spid="_x0000_s1096" o:allowincell="t" o:allowoverlap="t" filled="f" stroked="f" o:spt="202" type="#_x0000_t202">
                <v:fill/>
                <v:textbox style="layout-flow:horizontal;" inset="2.0637499999999998mm,0.24694444444444438mm,2.0637499999999998mm,0.24694444444444438mm">
                  <w:txbxContent>
                    <w:p>
                      <w:pPr>
                        <w:pStyle w:val="0"/>
                        <w:spacing w:line="300" w:lineRule="exact"/>
                        <w:jc w:val="center"/>
                        <w:rPr>
                          <w:rFonts w:hint="default" w:ascii="ＭＳ ゴシック" w:hAnsi="ＭＳ ゴシック" w:eastAsia="ＭＳ ゴシック"/>
                          <w:spacing w:val="-6"/>
                          <w:w w:val="80"/>
                        </w:rPr>
                      </w:pPr>
                      <w:r>
                        <w:rPr>
                          <w:rFonts w:hint="eastAsia" w:ascii="ＭＳ ゴシック" w:hAnsi="ＭＳ ゴシック" w:eastAsia="ＭＳ ゴシック"/>
                          <w:spacing w:val="-6"/>
                          <w:w w:val="80"/>
                        </w:rPr>
                        <w:t>第６</w:t>
                      </w:r>
                      <w:r>
                        <w:rPr>
                          <w:rFonts w:hint="default" w:ascii="ＭＳ ゴシック" w:hAnsi="ＭＳ ゴシック" w:eastAsia="ＭＳ ゴシック"/>
                          <w:spacing w:val="-6"/>
                          <w:w w:val="80"/>
                        </w:rPr>
                        <w:t>次南風原町</w:t>
                      </w:r>
                      <w:r>
                        <w:rPr>
                          <w:rFonts w:hint="eastAsia" w:ascii="ＭＳ ゴシック" w:hAnsi="ＭＳ ゴシック" w:eastAsia="ＭＳ ゴシック"/>
                          <w:spacing w:val="-6"/>
                          <w:w w:val="80"/>
                        </w:rPr>
                        <w:t>障がい者計画及び</w:t>
                      </w:r>
                    </w:p>
                    <w:p>
                      <w:pPr>
                        <w:pStyle w:val="0"/>
                        <w:spacing w:line="300" w:lineRule="exact"/>
                        <w:jc w:val="center"/>
                        <w:rPr>
                          <w:rFonts w:hint="default"/>
                        </w:rPr>
                      </w:pPr>
                      <w:r>
                        <w:rPr>
                          <w:rFonts w:hint="eastAsia" w:ascii="ＭＳ ゴシック" w:hAnsi="ＭＳ ゴシック" w:eastAsia="ＭＳ ゴシック"/>
                          <w:spacing w:val="-6"/>
                          <w:w w:val="80"/>
                        </w:rPr>
                        <w:t>第７期障がい福祉計画・第３期障がい児福祉計画</w:t>
                      </w:r>
                    </w:p>
                  </w:txbxContent>
                </v:textbox>
                <v:imagedata o:title=""/>
                <w10:wrap type="none" anchorx="text" anchory="text"/>
                <w10:anchorlock/>
              </v:shape>
            </w:pict>
          </mc:Fallback>
        </mc:AlternateContent>
      </w:r>
    </w:p>
    <w:p>
      <w:pPr>
        <w:pStyle w:val="19"/>
        <w:ind w:left="336" w:firstLine="214"/>
        <w:rPr>
          <w:rFonts w:hint="default"/>
        </w:rPr>
      </w:pPr>
    </w:p>
    <w:p>
      <w:pPr>
        <w:pStyle w:val="80"/>
        <w:spacing w:after="92" w:afterLines="0" w:afterAutospacing="0"/>
        <w:rPr>
          <w:rFonts w:hint="default"/>
        </w:rPr>
      </w:pPr>
      <w:bookmarkStart w:id="14" w:name="_Toc162263657"/>
      <w:r>
        <w:rPr>
          <w:rFonts w:hint="eastAsia"/>
        </w:rPr>
        <w:t>６．計画の策定体制</w:t>
      </w:r>
      <w:bookmarkEnd w:id="14"/>
    </w:p>
    <w:p>
      <w:pPr>
        <w:pStyle w:val="19"/>
        <w:ind w:left="336" w:firstLine="214"/>
        <w:rPr>
          <w:rFonts w:hint="default"/>
        </w:rPr>
      </w:pPr>
      <w:r>
        <w:rPr>
          <w:rFonts w:hint="eastAsia"/>
        </w:rPr>
        <w:t>本計画の策定にあたり、事務局</w:t>
      </w:r>
      <w:r>
        <w:rPr>
          <w:rFonts w:hint="eastAsia"/>
        </w:rPr>
        <w:t>(</w:t>
      </w:r>
      <w:r>
        <w:rPr>
          <w:rFonts w:hint="eastAsia"/>
        </w:rPr>
        <w:t>保健福祉課</w:t>
      </w:r>
      <w:r>
        <w:rPr>
          <w:rFonts w:hint="eastAsia"/>
        </w:rPr>
        <w:t>)</w:t>
      </w:r>
      <w:r>
        <w:rPr>
          <w:rFonts w:hint="eastAsia"/>
        </w:rPr>
        <w:t>において、アンケート調査により障がい児・者の生活の様子やニーズ等を把握するとともに、関係課における事業の実施状況や課題等の把握及び町の実情を踏まえた上で、計画案を作成しました。</w:t>
      </w:r>
    </w:p>
    <w:p>
      <w:pPr>
        <w:pStyle w:val="19"/>
        <w:ind w:left="336" w:firstLine="214"/>
        <w:rPr>
          <w:rFonts w:hint="default"/>
        </w:rPr>
      </w:pPr>
      <w:r>
        <w:rPr>
          <w:rFonts w:hint="eastAsia"/>
        </w:rPr>
        <w:t>また、有識者をはじめ関係機関、福祉施設、関係団体の代表者及び障がい者代表によって構成される｢南風原町障がい者計画策定委員会｣を設置し、計画案に対する審議を行い、委員会の意見、提言等を踏まえて本計画を策定しました。</w:t>
      </w:r>
    </w:p>
    <w:p>
      <w:pPr>
        <w:pStyle w:val="19"/>
        <w:ind w:left="336" w:firstLine="214"/>
        <w:rPr>
          <w:rFonts w:hint="default"/>
        </w:rPr>
      </w:pPr>
    </w:p>
    <w:p>
      <w:pPr>
        <w:pStyle w:val="19"/>
        <w:ind w:left="336" w:firstLine="214"/>
        <w:rPr>
          <w:rFonts w:hint="default"/>
        </w:rPr>
      </w:pPr>
    </w:p>
    <w:p>
      <w:pPr>
        <w:pStyle w:val="19"/>
        <w:ind w:left="336" w:firstLine="214"/>
        <w:rPr>
          <w:rFonts w:hint="default"/>
        </w:rPr>
      </w:pPr>
      <w:r>
        <w:rPr>
          <w:rFonts w:hint="default"/>
        </w:rPr>
        <mc:AlternateContent>
          <mc:Choice Requires="wpg">
            <w:drawing>
              <wp:anchor distT="0" distB="0" distL="114300" distR="114300" simplePos="0" relativeHeight="19" behindDoc="0" locked="1" layoutInCell="1" hidden="0" allowOverlap="1">
                <wp:simplePos x="0" y="0"/>
                <wp:positionH relativeFrom="column">
                  <wp:posOffset>194310</wp:posOffset>
                </wp:positionH>
                <wp:positionV relativeFrom="paragraph">
                  <wp:posOffset>-138430</wp:posOffset>
                </wp:positionV>
                <wp:extent cx="5915025" cy="2643505"/>
                <wp:effectExtent l="635" t="635" r="29845" b="10795"/>
                <wp:wrapNone/>
                <wp:docPr id="1097" name="グループ化 1032"/>
                <a:graphic xmlns:a="http://schemas.openxmlformats.org/drawingml/2006/main">
                  <a:graphicData uri="http://schemas.microsoft.com/office/word/2010/wordprocessingGroup">
                    <wpg:wgp>
                      <wpg:cNvGrpSpPr/>
                      <wpg:grpSpPr>
                        <a:xfrm>
                          <a:off x="0" y="0"/>
                          <a:ext cx="5915025" cy="2643505"/>
                          <a:chOff x="1440" y="11269"/>
                          <a:chExt cx="9315" cy="4163"/>
                        </a:xfrm>
                      </wpg:grpSpPr>
                      <wpg:grpSp>
                        <wpg:cNvGrpSpPr/>
                        <wpg:grpSpPr>
                          <a:xfrm>
                            <a:off x="2625" y="11269"/>
                            <a:ext cx="7155" cy="1048"/>
                            <a:chOff x="2625" y="11269"/>
                            <a:chExt cx="7155" cy="1048"/>
                          </a:xfrm>
                        </wpg:grpSpPr>
                        <wps:wsp>
                          <wps:cNvPr id="1099" name="AutoShape 121"/>
                          <wps:cNvSpPr>
                            <a:spLocks noChangeArrowheads="1"/>
                          </wps:cNvSpPr>
                          <wps:spPr>
                            <a:xfrm>
                              <a:off x="2625" y="11269"/>
                              <a:ext cx="7155" cy="1048"/>
                            </a:xfrm>
                            <a:prstGeom prst="roundRect">
                              <a:avLst>
                                <a:gd name="adj" fmla="val 19560"/>
                              </a:avLst>
                            </a:prstGeom>
                            <a:solidFill>
                              <a:srgbClr val="FFFFFF"/>
                            </a:solidFill>
                            <a:ln w="19050">
                              <a:solidFill>
                                <a:srgbClr val="000000"/>
                              </a:solidFill>
                              <a:round/>
                              <a:headEnd/>
                              <a:tailEnd/>
                            </a:ln>
                          </wps:spPr>
                          <wps:bodyPr/>
                        </wps:wsp>
                        <wps:wsp>
                          <wps:cNvPr id="1100" name="AutoShape 122"/>
                          <wps:cNvSpPr>
                            <a:spLocks noChangeArrowheads="1"/>
                          </wps:cNvSpPr>
                          <wps:spPr>
                            <a:xfrm>
                              <a:off x="2700" y="11374"/>
                              <a:ext cx="6990" cy="839"/>
                            </a:xfrm>
                            <a:prstGeom prst="roundRect">
                              <a:avLst>
                                <a:gd name="adj" fmla="val 16667"/>
                              </a:avLst>
                            </a:prstGeom>
                            <a:solidFill>
                              <a:srgbClr val="FFFFFF"/>
                            </a:solidFill>
                            <a:ln w="9525" algn="ctr">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sz w:val="6"/>
                                  </w:rPr>
                                </w:pP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南風原町障がい者計画策定委員会</w:t>
                                </w: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（計画の審議）</w:t>
                                </w:r>
                              </w:p>
                            </w:txbxContent>
                          </wps:txbx>
                          <wps:bodyPr rot="0" vertOverflow="overflow" horzOverflow="overflow" wrap="square" lIns="74295" tIns="0" rIns="74295" bIns="8890" anchor="t" anchorCtr="0" upright="1"/>
                        </wps:wsp>
                      </wpg:grpSp>
                      <wps:wsp>
                        <wps:cNvPr id="1101" name="AutoShape 123"/>
                        <wps:cNvSpPr>
                          <a:spLocks noChangeArrowheads="1"/>
                        </wps:cNvSpPr>
                        <wps:spPr>
                          <a:xfrm rot="5400000">
                            <a:off x="5930" y="12320"/>
                            <a:ext cx="336" cy="368"/>
                          </a:xfrm>
                          <a:prstGeom prst="leftRightArrow">
                            <a:avLst>
                              <a:gd name="adj1" fmla="val 42056"/>
                              <a:gd name="adj2" fmla="val 36606"/>
                            </a:avLst>
                          </a:prstGeom>
                          <a:solidFill>
                            <a:srgbClr val="FFFFFF"/>
                          </a:solidFill>
                          <a:ln w="9525">
                            <a:solidFill>
                              <a:srgbClr val="000000"/>
                            </a:solidFill>
                            <a:miter lim="800000"/>
                            <a:headEnd/>
                            <a:tailEnd/>
                          </a:ln>
                        </wps:spPr>
                        <wps:bodyPr/>
                      </wps:wsp>
                      <wpg:grpSp>
                        <wpg:cNvGrpSpPr/>
                        <wpg:grpSpPr>
                          <a:xfrm>
                            <a:off x="4950" y="12684"/>
                            <a:ext cx="2296" cy="732"/>
                            <a:chOff x="4950" y="12834"/>
                            <a:chExt cx="2296" cy="732"/>
                          </a:xfrm>
                        </wpg:grpSpPr>
                        <wps:wsp>
                          <wps:cNvPr id="1103" name="Rectangle 125"/>
                          <wps:cNvSpPr>
                            <a:spLocks noChangeArrowheads="1"/>
                          </wps:cNvSpPr>
                          <wps:spPr>
                            <a:xfrm>
                              <a:off x="4950" y="12834"/>
                              <a:ext cx="2296" cy="732"/>
                            </a:xfrm>
                            <a:prstGeom prst="rect">
                              <a:avLst/>
                            </a:prstGeom>
                            <a:solidFill>
                              <a:srgbClr val="FFFFFF"/>
                            </a:solidFill>
                            <a:ln w="9525">
                              <a:solidFill>
                                <a:srgbClr val="000000"/>
                              </a:solidFill>
                              <a:miter lim="800000"/>
                              <a:headEnd/>
                              <a:tailEnd/>
                            </a:ln>
                          </wps:spPr>
                          <wps:bodyPr/>
                        </wps:wsp>
                        <wps:wsp>
                          <wps:cNvPr id="1104" name="Line 126"/>
                          <wps:cNvSpPr/>
                          <wps:spPr>
                            <a:xfrm>
                              <a:off x="6835" y="13200"/>
                              <a:ext cx="411" cy="366"/>
                            </a:xfrm>
                            <a:prstGeom prst="line">
                              <a:avLst/>
                            </a:prstGeom>
                            <a:noFill/>
                            <a:ln w="9525">
                              <a:solidFill>
                                <a:srgbClr val="000000"/>
                              </a:solidFill>
                              <a:round/>
                              <a:headEnd/>
                              <a:tailEnd/>
                            </a:ln>
                          </wps:spPr>
                          <wps:bodyPr/>
                        </wps:wsp>
                        <wps:wsp>
                          <wps:cNvPr id="1105" name="Line 127"/>
                          <wps:cNvSpPr/>
                          <wps:spPr>
                            <a:xfrm flipV="1">
                              <a:off x="4950" y="13173"/>
                              <a:ext cx="448" cy="393"/>
                            </a:xfrm>
                            <a:prstGeom prst="line">
                              <a:avLst/>
                            </a:prstGeom>
                            <a:noFill/>
                            <a:ln w="9525">
                              <a:solidFill>
                                <a:srgbClr val="000000"/>
                              </a:solidFill>
                              <a:round/>
                              <a:headEnd/>
                              <a:tailEnd/>
                            </a:ln>
                          </wps:spPr>
                          <wps:bodyPr/>
                        </wps:wsp>
                        <wps:wsp>
                          <wps:cNvPr id="1106" name="Line 128"/>
                          <wps:cNvSpPr/>
                          <wps:spPr>
                            <a:xfrm flipV="1">
                              <a:off x="6732" y="12834"/>
                              <a:ext cx="514" cy="430"/>
                            </a:xfrm>
                            <a:prstGeom prst="line">
                              <a:avLst/>
                            </a:prstGeom>
                            <a:noFill/>
                            <a:ln w="9525">
                              <a:solidFill>
                                <a:srgbClr val="000000"/>
                              </a:solidFill>
                              <a:round/>
                              <a:headEnd/>
                              <a:tailEnd/>
                            </a:ln>
                          </wps:spPr>
                          <wps:bodyPr/>
                        </wps:wsp>
                        <wps:wsp>
                          <wps:cNvPr id="1107" name="Line 129"/>
                          <wps:cNvSpPr/>
                          <wps:spPr>
                            <a:xfrm>
                              <a:off x="4950" y="12834"/>
                              <a:ext cx="346" cy="323"/>
                            </a:xfrm>
                            <a:prstGeom prst="line">
                              <a:avLst/>
                            </a:prstGeom>
                            <a:noFill/>
                            <a:ln w="9525">
                              <a:solidFill>
                                <a:srgbClr val="000000"/>
                              </a:solidFill>
                              <a:round/>
                              <a:headEnd/>
                              <a:tailEnd/>
                            </a:ln>
                          </wps:spPr>
                          <wps:bodyPr/>
                        </wps:wsp>
                        <wps:wsp>
                          <wps:cNvPr id="1108" name="AutoShape 130"/>
                          <wps:cNvSpPr>
                            <a:spLocks noChangeArrowheads="1"/>
                          </wps:cNvSpPr>
                          <wps:spPr>
                            <a:xfrm>
                              <a:off x="5099" y="12966"/>
                              <a:ext cx="1998" cy="468"/>
                            </a:xfrm>
                            <a:prstGeom prst="roundRect">
                              <a:avLst>
                                <a:gd name="adj" fmla="val 0"/>
                              </a:avLst>
                            </a:prstGeom>
                            <a:solidFill>
                              <a:schemeClr val="bg1">
                                <a:lumMod val="85000"/>
                              </a:schemeClr>
                            </a:solidFill>
                            <a:ln w="19050" algn="ctr">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sz w:val="6"/>
                                  </w:rPr>
                                </w:pP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本　計　画</w:t>
                                </w:r>
                              </w:p>
                            </w:txbxContent>
                          </wps:txbx>
                          <wps:bodyPr rot="0" vertOverflow="overflow" horzOverflow="overflow" wrap="square" lIns="74295" tIns="0" rIns="74295" bIns="8890" anchor="t" anchorCtr="0" upright="1"/>
                        </wps:wsp>
                      </wpg:grpSp>
                      <wpg:grpSp>
                        <wpg:cNvGrpSpPr/>
                        <wpg:grpSpPr>
                          <a:xfrm>
                            <a:off x="1440" y="13768"/>
                            <a:ext cx="9315" cy="1664"/>
                            <a:chOff x="1440" y="13768"/>
                            <a:chExt cx="9315" cy="1664"/>
                          </a:xfrm>
                        </wpg:grpSpPr>
                        <wps:wsp>
                          <wps:cNvPr id="1110" name="AutoShape 132"/>
                          <wps:cNvSpPr>
                            <a:spLocks noChangeArrowheads="1"/>
                          </wps:cNvSpPr>
                          <wps:spPr>
                            <a:xfrm>
                              <a:off x="1440" y="13768"/>
                              <a:ext cx="9315" cy="1664"/>
                            </a:xfrm>
                            <a:prstGeom prst="roundRect">
                              <a:avLst>
                                <a:gd name="adj" fmla="val 10949"/>
                              </a:avLst>
                            </a:prstGeom>
                            <a:solidFill>
                              <a:schemeClr val="bg1">
                                <a:lumMod val="85000"/>
                              </a:schemeClr>
                            </a:solidFill>
                            <a:ln w="9525">
                              <a:solidFill>
                                <a:srgbClr val="000000"/>
                              </a:solidFill>
                              <a:round/>
                              <a:headEnd/>
                              <a:tailEnd/>
                            </a:ln>
                          </wps:spPr>
                          <wps:bodyPr/>
                        </wps:wsp>
                        <wpg:grpSp>
                          <wpg:cNvGrpSpPr/>
                          <wpg:grpSpPr>
                            <a:xfrm>
                              <a:off x="1632" y="14000"/>
                              <a:ext cx="2502" cy="1200"/>
                              <a:chOff x="1752" y="8030"/>
                              <a:chExt cx="2502" cy="1200"/>
                            </a:xfrm>
                          </wpg:grpSpPr>
                          <wps:wsp>
                            <wps:cNvPr id="1112" name="AutoShape 134"/>
                            <wps:cNvSpPr>
                              <a:spLocks noChangeArrowheads="1"/>
                            </wps:cNvSpPr>
                            <wps:spPr>
                              <a:xfrm>
                                <a:off x="1752" y="8030"/>
                                <a:ext cx="2502" cy="1200"/>
                              </a:xfrm>
                              <a:prstGeom prst="roundRect">
                                <a:avLst>
                                  <a:gd name="adj" fmla="val 15167"/>
                                </a:avLst>
                              </a:prstGeom>
                              <a:solidFill>
                                <a:srgbClr val="FFFFFF"/>
                              </a:solidFill>
                              <a:ln w="9525">
                                <a:solidFill>
                                  <a:srgbClr val="000000"/>
                                </a:solidFill>
                                <a:round/>
                                <a:headEnd/>
                                <a:tailEnd/>
                              </a:ln>
                              <a:effectLst/>
                            </wps:spPr>
                            <wps:bodyPr/>
                          </wps:wsp>
                          <wps:wsp>
                            <wps:cNvPr id="1113" name="Text Box 135"/>
                            <wps:cNvSpPr txBox="1">
                              <a:spLocks noChangeArrowheads="1"/>
                            </wps:cNvSpPr>
                            <wps:spPr>
                              <a:xfrm>
                                <a:off x="1869" y="8507"/>
                                <a:ext cx="2270" cy="645"/>
                              </a:xfrm>
                              <a:prstGeom prst="rect">
                                <a:avLst/>
                              </a:prstGeom>
                              <a:noFill/>
                              <a:ln>
                                <a:noFill/>
                              </a:ln>
                              <a:effectLst/>
                            </wps:spPr>
                            <wps:txbx>
                              <w:txbxContent>
                                <w:p>
                                  <w:pPr>
                                    <w:pStyle w:val="0"/>
                                    <w:spacing w:line="280" w:lineRule="exact"/>
                                    <w:rPr>
                                      <w:rFonts w:hint="default" w:ascii="ＭＳ ゴシック" w:hAnsi="ＭＳ ゴシック" w:eastAsia="ＭＳ ゴシック"/>
                                      <w:sz w:val="20"/>
                                    </w:rPr>
                                  </w:pPr>
                                  <w:r>
                                    <w:rPr>
                                      <w:rFonts w:hint="eastAsia" w:ascii="ＭＳ ゴシック" w:hAnsi="ＭＳ ゴシック" w:eastAsia="ＭＳ ゴシック"/>
                                      <w:sz w:val="20"/>
                                    </w:rPr>
                                    <w:t>（障がい児・者</w:t>
                                  </w:r>
                                </w:p>
                                <w:p>
                                  <w:pPr>
                                    <w:pStyle w:val="0"/>
                                    <w:spacing w:line="280" w:lineRule="exact"/>
                                    <w:ind w:firstLine="204" w:firstLineChars="100"/>
                                    <w:rPr>
                                      <w:rFonts w:hint="default"/>
                                      <w:sz w:val="20"/>
                                    </w:rPr>
                                  </w:pPr>
                                  <w:r>
                                    <w:rPr>
                                      <w:rFonts w:hint="eastAsia" w:ascii="ＭＳ ゴシック" w:hAnsi="ＭＳ ゴシック" w:eastAsia="ＭＳ ゴシック"/>
                                      <w:sz w:val="20"/>
                                    </w:rPr>
                                    <w:t>生活実態、意向調査）</w:t>
                                  </w:r>
                                </w:p>
                              </w:txbxContent>
                            </wps:txbx>
                            <wps:bodyPr rot="0" vertOverflow="overflow" horzOverflow="overflow" wrap="square" lIns="16560" tIns="8890" rIns="16560" bIns="8890" anchor="t" anchorCtr="0" upright="1"/>
                          </wps:wsp>
                          <wps:wsp>
                            <wps:cNvPr id="1114" name="Text Box 136"/>
                            <wps:cNvSpPr txBox="1">
                              <a:spLocks noChangeArrowheads="1"/>
                            </wps:cNvSpPr>
                            <wps:spPr>
                              <a:xfrm>
                                <a:off x="1861" y="8102"/>
                                <a:ext cx="2285" cy="360"/>
                              </a:xfrm>
                              <a:prstGeom prst="rect">
                                <a:avLst/>
                              </a:prstGeom>
                              <a:noFill/>
                              <a:ln>
                                <a:noFill/>
                              </a:ln>
                              <a:effectLst/>
                            </wps:spPr>
                            <wps:txbx>
                              <w:txbxContent>
                                <w:p>
                                  <w:pPr>
                                    <w:pStyle w:val="0"/>
                                    <w:jc w:val="center"/>
                                    <w:rPr>
                                      <w:rFonts w:hint="default" w:eastAsia="ＭＳ ゴシック"/>
                                    </w:rPr>
                                  </w:pPr>
                                  <w:r>
                                    <w:rPr>
                                      <w:rFonts w:hint="default" w:eastAsia="ＭＳ ゴシック"/>
                                    </w:rPr>
                                    <w:t>アンケート調査</w:t>
                                  </w:r>
                                </w:p>
                              </w:txbxContent>
                            </wps:txbx>
                            <wps:bodyPr rot="0" vertOverflow="overflow" horzOverflow="overflow" wrap="square" lIns="74295" tIns="8890" rIns="74295" bIns="8890" anchor="t" anchorCtr="0" upright="1"/>
                          </wps:wsp>
                        </wpg:grpSp>
                        <wpg:grpSp>
                          <wpg:cNvGrpSpPr/>
                          <wpg:grpSpPr>
                            <a:xfrm>
                              <a:off x="8071" y="14075"/>
                              <a:ext cx="2483" cy="1050"/>
                              <a:chOff x="7681" y="8090"/>
                              <a:chExt cx="2483" cy="1050"/>
                            </a:xfrm>
                          </wpg:grpSpPr>
                          <wps:wsp>
                            <wps:cNvPr id="1116" name="AutoShape 138"/>
                            <wps:cNvSpPr>
                              <a:spLocks noChangeArrowheads="1"/>
                            </wps:cNvSpPr>
                            <wps:spPr>
                              <a:xfrm>
                                <a:off x="7707" y="8090"/>
                                <a:ext cx="2457" cy="1050"/>
                              </a:xfrm>
                              <a:prstGeom prst="roundRect">
                                <a:avLst>
                                  <a:gd name="adj" fmla="val 10139"/>
                                </a:avLst>
                              </a:prstGeom>
                              <a:solidFill>
                                <a:srgbClr val="FFFFFF"/>
                              </a:solidFill>
                              <a:ln w="9525">
                                <a:solidFill>
                                  <a:srgbClr val="000000"/>
                                </a:solidFill>
                                <a:round/>
                                <a:headEnd/>
                                <a:tailEnd/>
                              </a:ln>
                              <a:effectLst/>
                            </wps:spPr>
                            <wps:bodyPr/>
                          </wps:wsp>
                          <wps:wsp>
                            <wps:cNvPr id="1117" name="Text Box 139"/>
                            <wps:cNvSpPr txBox="1">
                              <a:spLocks noChangeArrowheads="1"/>
                            </wps:cNvSpPr>
                            <wps:spPr>
                              <a:xfrm>
                                <a:off x="7681" y="8207"/>
                                <a:ext cx="2450" cy="870"/>
                              </a:xfrm>
                              <a:prstGeom prst="rect">
                                <a:avLst/>
                              </a:prstGeom>
                              <a:noFill/>
                              <a:ln>
                                <a:noFill/>
                              </a:ln>
                              <a:effectLst/>
                            </wps:spPr>
                            <wps:txbx>
                              <w:txbxContent>
                                <w:p>
                                  <w:pPr>
                                    <w:pStyle w:val="0"/>
                                    <w:rPr>
                                      <w:rFonts w:hint="default" w:eastAsia="ＭＳ ゴシック"/>
                                    </w:rPr>
                                  </w:pPr>
                                  <w:r>
                                    <w:rPr>
                                      <w:rFonts w:hint="default" w:eastAsia="ＭＳ ゴシック"/>
                                    </w:rPr>
                                    <w:t>・関係課</w:t>
                                  </w:r>
                                </w:p>
                                <w:p>
                                  <w:pPr>
                                    <w:pStyle w:val="0"/>
                                    <w:rPr>
                                      <w:rFonts w:hint="default" w:eastAsia="ＭＳ ゴシック"/>
                                    </w:rPr>
                                  </w:pPr>
                                  <w:r>
                                    <w:rPr>
                                      <w:rFonts w:hint="eastAsia" w:eastAsia="ＭＳ ゴシック"/>
                                    </w:rPr>
                                    <w:t>・町社会福祉協議会</w:t>
                                  </w:r>
                                </w:p>
                              </w:txbxContent>
                            </wps:txbx>
                            <wps:bodyPr rot="0" vertOverflow="overflow" horzOverflow="overflow" wrap="square" lIns="74295" tIns="8890" rIns="74295" bIns="8890" anchor="t" anchorCtr="0" upright="1"/>
                          </wps:wsp>
                        </wpg:grpSp>
                        <wpg:grpSp>
                          <wpg:cNvGrpSpPr/>
                          <wpg:grpSpPr>
                            <a:xfrm>
                              <a:off x="4514" y="13918"/>
                              <a:ext cx="3192" cy="1365"/>
                              <a:chOff x="4514" y="14061"/>
                              <a:chExt cx="3192" cy="1365"/>
                            </a:xfrm>
                          </wpg:grpSpPr>
                          <wps:wsp>
                            <wps:cNvPr id="1119" name="AutoShape 141"/>
                            <wps:cNvSpPr>
                              <a:spLocks noChangeArrowheads="1"/>
                            </wps:cNvSpPr>
                            <wps:spPr>
                              <a:xfrm>
                                <a:off x="4514" y="14061"/>
                                <a:ext cx="3192" cy="1365"/>
                              </a:xfrm>
                              <a:prstGeom prst="roundRect">
                                <a:avLst>
                                  <a:gd name="adj" fmla="val 13407"/>
                                </a:avLst>
                              </a:prstGeom>
                              <a:solidFill>
                                <a:srgbClr val="FFFFFF"/>
                              </a:solidFill>
                              <a:ln w="9525">
                                <a:solidFill>
                                  <a:srgbClr val="000000"/>
                                </a:solidFill>
                                <a:round/>
                                <a:headEnd/>
                                <a:tailEnd/>
                              </a:ln>
                              <a:effectLst/>
                            </wps:spPr>
                            <wps:bodyPr/>
                          </wps:wsp>
                          <wps:wsp>
                            <wps:cNvPr id="1120" name="Text Box 142"/>
                            <wps:cNvSpPr txBox="1">
                              <a:spLocks noChangeArrowheads="1"/>
                            </wps:cNvSpPr>
                            <wps:spPr>
                              <a:xfrm>
                                <a:off x="4556" y="14554"/>
                                <a:ext cx="3110" cy="855"/>
                              </a:xfrm>
                              <a:prstGeom prst="rect">
                                <a:avLst/>
                              </a:prstGeom>
                              <a:noFill/>
                              <a:ln>
                                <a:noFill/>
                              </a:ln>
                              <a:effectLst/>
                            </wps:spPr>
                            <wps:txbx>
                              <w:txbxContent>
                                <w:p>
                                  <w:pPr>
                                    <w:pStyle w:val="0"/>
                                    <w:spacing w:line="260" w:lineRule="exact"/>
                                    <w:rPr>
                                      <w:rFonts w:hint="default" w:ascii="ＭＳ ゴシック" w:hAnsi="ＭＳ ゴシック" w:eastAsia="ＭＳ ゴシック"/>
                                      <w:sz w:val="20"/>
                                    </w:rPr>
                                  </w:pPr>
                                  <w:r>
                                    <w:rPr>
                                      <w:rFonts w:hint="default" w:ascii="ＭＳ ゴシック" w:hAnsi="ＭＳ ゴシック" w:eastAsia="ＭＳ ゴシック"/>
                                      <w:sz w:val="20"/>
                                    </w:rPr>
                                    <w:t>・アンケート調査</w:t>
                                  </w:r>
                                </w:p>
                                <w:p>
                                  <w:pPr>
                                    <w:pStyle w:val="0"/>
                                    <w:spacing w:line="260" w:lineRule="exact"/>
                                    <w:rPr>
                                      <w:rFonts w:hint="default" w:ascii="ＭＳ ゴシック" w:hAnsi="ＭＳ ゴシック" w:eastAsia="ＭＳ ゴシック"/>
                                      <w:sz w:val="20"/>
                                    </w:rPr>
                                  </w:pPr>
                                  <w:r>
                                    <w:rPr>
                                      <w:rFonts w:hint="eastAsia" w:ascii="ＭＳ ゴシック" w:hAnsi="ＭＳ ゴシック" w:eastAsia="ＭＳ ゴシック"/>
                                      <w:sz w:val="20"/>
                                    </w:rPr>
                                    <w:t>・施策の現状と課題の把握</w:t>
                                  </w:r>
                                </w:p>
                                <w:p>
                                  <w:pPr>
                                    <w:pStyle w:val="0"/>
                                    <w:spacing w:line="260" w:lineRule="exact"/>
                                    <w:rPr>
                                      <w:rFonts w:hint="default" w:ascii="ＭＳ ゴシック" w:hAnsi="ＭＳ ゴシック" w:eastAsia="ＭＳ ゴシック"/>
                                      <w:sz w:val="20"/>
                                    </w:rPr>
                                  </w:pPr>
                                  <w:r>
                                    <w:rPr>
                                      <w:rFonts w:hint="eastAsia" w:ascii="ＭＳ ゴシック" w:hAnsi="ＭＳ ゴシック" w:eastAsia="ＭＳ ゴシック"/>
                                      <w:sz w:val="20"/>
                                    </w:rPr>
                                    <w:t>・計画案の作成</w:t>
                                  </w:r>
                                </w:p>
                              </w:txbxContent>
                            </wps:txbx>
                            <wps:bodyPr rot="0" vertOverflow="overflow" horzOverflow="overflow" wrap="square" lIns="74295" tIns="8890" rIns="74295" bIns="8890" anchor="t" anchorCtr="0" upright="1"/>
                          </wps:wsp>
                          <wps:wsp>
                            <wps:cNvPr id="1121" name="Text Box 143"/>
                            <wps:cNvSpPr txBox="1">
                              <a:spLocks noChangeArrowheads="1"/>
                            </wps:cNvSpPr>
                            <wps:spPr>
                              <a:xfrm>
                                <a:off x="4848" y="14133"/>
                                <a:ext cx="2524" cy="360"/>
                              </a:xfrm>
                              <a:prstGeom prst="rect">
                                <a:avLst/>
                              </a:prstGeom>
                              <a:noFill/>
                              <a:ln>
                                <a:noFill/>
                              </a:ln>
                              <a:effectLst/>
                            </wps:spPr>
                            <wps:txbx>
                              <w:txbxContent>
                                <w:p>
                                  <w:pPr>
                                    <w:pStyle w:val="0"/>
                                    <w:jc w:val="center"/>
                                    <w:rPr>
                                      <w:rFonts w:hint="default" w:eastAsia="ＭＳ ゴシック"/>
                                    </w:rPr>
                                  </w:pPr>
                                  <w:r>
                                    <w:rPr>
                                      <w:rFonts w:hint="default" w:eastAsia="ＭＳ ゴシック"/>
                                    </w:rPr>
                                    <w:t>事務局（保健福祉課</w:t>
                                  </w:r>
                                  <w:r>
                                    <w:rPr>
                                      <w:rFonts w:hint="eastAsia" w:eastAsia="ＭＳ ゴシック"/>
                                    </w:rPr>
                                    <w:t>）</w:t>
                                  </w:r>
                                </w:p>
                              </w:txbxContent>
                            </wps:txbx>
                            <wps:bodyPr rot="0" vertOverflow="overflow" horzOverflow="overflow" wrap="square" lIns="74295" tIns="8890" rIns="74295" bIns="8890" anchor="t" anchorCtr="0" upright="1"/>
                          </wps:wsp>
                          <wps:wsp>
                            <wps:cNvPr id="1122" name="Line 144"/>
                            <wps:cNvSpPr/>
                            <wps:spPr>
                              <a:xfrm>
                                <a:off x="4514" y="14536"/>
                                <a:ext cx="3192" cy="0"/>
                              </a:xfrm>
                              <a:prstGeom prst="line">
                                <a:avLst/>
                              </a:prstGeom>
                              <a:noFill/>
                              <a:ln w="9525">
                                <a:solidFill>
                                  <a:srgbClr val="000000"/>
                                </a:solidFill>
                                <a:round/>
                                <a:headEnd/>
                                <a:tailEnd/>
                              </a:ln>
                            </wps:spPr>
                            <wps:bodyPr/>
                          </wps:wsp>
                        </wpg:grpSp>
                        <wps:wsp>
                          <wps:cNvPr id="1123" name="AutoShape 145"/>
                          <wps:cNvSpPr>
                            <a:spLocks noChangeArrowheads="1"/>
                          </wps:cNvSpPr>
                          <wps:spPr>
                            <a:xfrm>
                              <a:off x="7713" y="14405"/>
                              <a:ext cx="366" cy="390"/>
                            </a:xfrm>
                            <a:prstGeom prst="leftRightArrow">
                              <a:avLst>
                                <a:gd name="adj1" fmla="val 42056"/>
                                <a:gd name="adj2" fmla="val 32306"/>
                              </a:avLst>
                            </a:prstGeom>
                            <a:solidFill>
                              <a:srgbClr val="FFFFFF"/>
                            </a:solidFill>
                            <a:ln w="9525">
                              <a:solidFill>
                                <a:srgbClr val="000000"/>
                              </a:solidFill>
                              <a:miter lim="800000"/>
                              <a:headEnd/>
                              <a:tailEnd/>
                            </a:ln>
                          </wps:spPr>
                          <wps:bodyPr/>
                        </wps:wsp>
                        <wps:wsp>
                          <wps:cNvPr id="1124" name="AutoShape 146"/>
                          <wps:cNvSpPr>
                            <a:spLocks noChangeArrowheads="1"/>
                          </wps:cNvSpPr>
                          <wps:spPr>
                            <a:xfrm>
                              <a:off x="4141" y="14406"/>
                              <a:ext cx="366" cy="390"/>
                            </a:xfrm>
                            <a:prstGeom prst="leftRightArrow">
                              <a:avLst>
                                <a:gd name="adj1" fmla="val 42056"/>
                                <a:gd name="adj2" fmla="val 32306"/>
                              </a:avLst>
                            </a:prstGeom>
                            <a:solidFill>
                              <a:srgbClr val="FFFFFF"/>
                            </a:solidFill>
                            <a:ln w="9525">
                              <a:solidFill>
                                <a:srgbClr val="000000"/>
                              </a:solidFill>
                              <a:miter lim="800000"/>
                              <a:headEnd/>
                              <a:tailEnd/>
                            </a:ln>
                          </wps:spPr>
                          <wps:bodyPr/>
                        </wps:wsp>
                      </wpg:grpSp>
                      <wps:wsp>
                        <wps:cNvPr id="1125" name="AutoShape 147"/>
                        <wps:cNvSpPr>
                          <a:spLocks noChangeArrowheads="1"/>
                        </wps:cNvSpPr>
                        <wps:spPr>
                          <a:xfrm rot="5400000">
                            <a:off x="5930" y="13408"/>
                            <a:ext cx="336" cy="368"/>
                          </a:xfrm>
                          <a:prstGeom prst="leftRightArrow">
                            <a:avLst>
                              <a:gd name="adj1" fmla="val 42056"/>
                              <a:gd name="adj2" fmla="val 36606"/>
                            </a:avLst>
                          </a:prstGeom>
                          <a:solidFill>
                            <a:srgbClr val="FFFFFF"/>
                          </a:solidFill>
                          <a:ln w="9525">
                            <a:solidFill>
                              <a:srgbClr val="000000"/>
                            </a:solidFill>
                            <a:miter lim="800000"/>
                            <a:headEnd/>
                            <a:tailEnd/>
                          </a:ln>
                        </wps:spPr>
                        <wps:bodyPr/>
                      </wps:wsp>
                    </wpg:wgp>
                  </a:graphicData>
                </a:graphic>
              </wp:anchor>
            </w:drawing>
          </mc:Choice>
          <mc:Fallback>
            <w:pict>
              <v:group id="グループ化 1032" style="mso-wrap-distance-right:9pt;mso-wrap-distance-bottom:0pt;margin-top:-10.9pt;mso-position-vertical-relative:text;mso-position-horizontal-relative:text;position:absolute;height:208.15pt;mso-wrap-distance-top:0pt;width:465.75pt;mso-wrap-distance-left:9pt;margin-left:15.3pt;z-index:19;" coordsize="9315,4163" coordorigin="1440,11269" o:spid="_x0000_s1097" o:allowincell="t" o:allowoverlap="t">
                <v:group id="グループ化 438061934" style="height:1048;width:7155;top:11269;left:2625;position:absolute;" coordsize="7155,1048" coordorigin="2625,11269" o:spid="_x0000_s1098">
                  <v:roundrect id="AutoShape 121" style="height:1048;width:7155;top:11269;left:2625;position:absolute;" o:spid="_x0000_s1099" filled="t" fillcolor="#ffffff" stroked="t" strokecolor="#000000" strokeweight="1.5pt" o:spt="2" arcsize="12819f">
                    <v:fill/>
                    <v:stroke filltype="solid"/>
                    <v:textbox style="layout-flow:horizontal;"/>
                    <v:imagedata o:title=""/>
                    <w10:wrap type="none" anchorx="text" anchory="text"/>
                    <w10:anchorlock/>
                  </v:roundrect>
                  <v:roundrect id="AutoShape 122" style="height:839;width:6990;top:11374;left:2700;position:absolute;" o:spid="_x0000_s1100" filled="t" fillcolor="#ffffff" stroked="t" strokecolor="#000000" strokeweight="0.75pt" o:spt="2" arcsize="10923f">
                    <v:fill/>
                    <v:stroke filltype="solid"/>
                    <v:textbox style="layout-flow:horizontal;" inset="2.0637499999999998mm,0mm,2.0637499999999998mm,0.24694444444444438mm">
                      <w:txbxContent>
                        <w:p>
                          <w:pPr>
                            <w:pStyle w:val="0"/>
                            <w:spacing w:line="0" w:lineRule="atLeast"/>
                            <w:jc w:val="center"/>
                            <w:rPr>
                              <w:rFonts w:hint="default" w:ascii="ＭＳ ゴシック" w:hAnsi="ＭＳ ゴシック" w:eastAsia="ＭＳ ゴシック"/>
                              <w:sz w:val="6"/>
                            </w:rPr>
                          </w:pP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南風原町障がい者計画策定委員会</w:t>
                          </w: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（計画の審議）</w:t>
                          </w:r>
                        </w:p>
                      </w:txbxContent>
                    </v:textbox>
                    <v:imagedata o:title=""/>
                    <w10:wrap type="none" anchorx="text" anchory="text"/>
                    <w10:anchorlock/>
                  </v:roundrect>
                  <w10:wrap type="none" anchorx="text" anchory="text"/>
                  <w10:anchorlock/>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23" style="height:368;width:336;top:12320;left:5930;position:absolute;rotation:90;" o:spid="_x0000_s1101" filled="t" fillcolor="#ffffff" stroked="t" strokecolor="#000000" strokeweight="0.75pt" o:spt="69" type="#_x0000_t69" adj="7907,6258">
                  <v:fill/>
                  <v:stroke miterlimit="8" filltype="solid"/>
                  <v:textbox style="layout-flow:horizontal;"/>
                  <v:imagedata o:title=""/>
                  <w10:wrap type="none" anchorx="text" anchory="text"/>
                  <w10:anchorlock/>
                </v:shape>
                <v:group id="グループ化 989627142" style="height:732;width:2296;top:12684;left:4950;position:absolute;" coordsize="2296,732" coordorigin="4950,12834" o:spid="_x0000_s1102">
                  <v:rect id="Rectangle 125" style="height:732;width:2296;top:12834;left:4950;position:absolute;" o:spid="_x0000_s1103" filled="t" fillcolor="#ffffff" stroked="t" strokecolor="#000000" strokeweight="0.75pt" o:spt="1">
                    <v:fill/>
                    <v:stroke miterlimit="8" filltype="solid"/>
                    <v:textbox style="layout-flow:horizontal;"/>
                    <v:imagedata o:title=""/>
                    <w10:wrap type="none" anchorx="text" anchory="text"/>
                    <w10:anchorlock/>
                  </v:rect>
                  <v:line id="Line 126" style="height:366;width:411;top:13200;left:6835;position:absolute;" o:spid="_x0000_s1104" filled="f" stroked="t" strokecolor="#000000" strokeweight="0.75pt" o:spt="20" from="6835,13200" to="7246,13566">
                    <v:fill/>
                    <v:stroke filltype="solid"/>
                    <v:textbox style="layout-flow:horizontal;"/>
                    <v:imagedata o:title=""/>
                    <w10:wrap type="none" anchorx="text" anchory="text"/>
                    <w10:anchorlock/>
                  </v:line>
                  <v:line id="Line 127" style="height:393;width:448;flip:y;top:13173;left:4950;position:absolute;" o:spid="_x0000_s1105" filled="f" stroked="t" strokecolor="#000000" strokeweight="0.75pt" o:spt="20" from="4950,13173" to="5398,13566">
                    <v:fill/>
                    <v:stroke filltype="solid"/>
                    <v:textbox style="layout-flow:horizontal;"/>
                    <v:imagedata o:title=""/>
                    <w10:wrap type="none" anchorx="text" anchory="text"/>
                    <w10:anchorlock/>
                  </v:line>
                  <v:line id="Line 128" style="height:430;width:514;flip:y;top:12834;left:6732;position:absolute;" o:spid="_x0000_s1106" filled="f" stroked="t" strokecolor="#000000" strokeweight="0.75pt" o:spt="20" from="6732,12834" to="7246,13264">
                    <v:fill/>
                    <v:stroke filltype="solid"/>
                    <v:textbox style="layout-flow:horizontal;"/>
                    <v:imagedata o:title=""/>
                    <w10:wrap type="none" anchorx="text" anchory="text"/>
                    <w10:anchorlock/>
                  </v:line>
                  <v:line id="Line 129" style="height:323;width:346;top:12834;left:4950;position:absolute;" o:spid="_x0000_s1107" filled="f" stroked="t" strokecolor="#000000" strokeweight="0.75pt" o:spt="20" from="4950,12834" to="5296,13157">
                    <v:fill/>
                    <v:stroke filltype="solid"/>
                    <v:textbox style="layout-flow:horizontal;"/>
                    <v:imagedata o:title=""/>
                    <w10:wrap type="none" anchorx="text" anchory="text"/>
                    <w10:anchorlock/>
                  </v:line>
                  <v:roundrect id="AutoShape 130" style="height:468;width:1998;top:12966;left:5099;position:absolute;" o:spid="_x0000_s1108" filled="t" fillcolor="#d9d9d9 [2732]" stroked="t" strokecolor="#000000" strokeweight="1.5pt" o:spt="2" arcsize="0f">
                    <v:fill/>
                    <v:stroke filltype="solid"/>
                    <v:textbox style="layout-flow:horizontal;" inset="2.0637499999999998mm,0mm,2.0637499999999998mm,0.24694444444444438mm">
                      <w:txbxContent>
                        <w:p>
                          <w:pPr>
                            <w:pStyle w:val="0"/>
                            <w:spacing w:line="0" w:lineRule="atLeast"/>
                            <w:jc w:val="center"/>
                            <w:rPr>
                              <w:rFonts w:hint="default" w:ascii="ＭＳ ゴシック" w:hAnsi="ＭＳ ゴシック" w:eastAsia="ＭＳ ゴシック"/>
                              <w:sz w:val="6"/>
                            </w:rPr>
                          </w:pP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本　計　画</w:t>
                          </w:r>
                        </w:p>
                      </w:txbxContent>
                    </v:textbox>
                    <v:imagedata o:title=""/>
                    <w10:wrap type="none" anchorx="text" anchory="text"/>
                    <w10:anchorlock/>
                  </v:roundrect>
                  <w10:wrap type="none" anchorx="text" anchory="text"/>
                  <w10:anchorlock/>
                </v:group>
                <v:group id="グループ化 243163605" style="height:1664;width:9315;top:13768;left:1440;position:absolute;" coordsize="9315,1664" coordorigin="1440,13768" o:spid="_x0000_s1109">
                  <v:roundrect id="AutoShape 132" style="height:1664;width:9315;top:13768;left:1440;position:absolute;" o:spid="_x0000_s1110" filled="t" fillcolor="#d9d9d9 [2732]" stroked="t" strokecolor="#000000" strokeweight="0.75pt" o:spt="2" arcsize="7176f">
                    <v:fill/>
                    <v:stroke filltype="solid"/>
                    <v:textbox style="layout-flow:horizontal;"/>
                    <v:imagedata o:title=""/>
                    <w10:wrap type="none" anchorx="text" anchory="text"/>
                    <w10:anchorlock/>
                  </v:roundrect>
                  <v:group id="グループ化 324461076" style="height:1200;width:2502;top:14000;left:1632;position:absolute;" coordsize="2502,1200" coordorigin="1752,8030" o:spid="_x0000_s1111">
                    <v:roundrect id="AutoShape 134" style="height:1200;width:2502;top:8030;left:1752;position:absolute;" o:spid="_x0000_s1112" filled="t" fillcolor="#ffffff" stroked="t" strokecolor="#000000" strokeweight="0.75pt" o:spt="2" arcsize="9940f">
                      <v:fill/>
                      <v:stroke filltype="solid"/>
                      <v:textbox style="layout-flow:horizontal;"/>
                      <v:imagedata o:title=""/>
                      <w10:wrap type="none" anchorx="text" anchory="text"/>
                      <w10:anchorlock/>
                    </v:roundrect>
                    <v:shapetype id="_x0000_t202" coordsize="21600,21600" o:spt="202" path="m,l,21600r21600,l21600,xe">
                      <v:stroke joinstyle="miter"/>
                      <v:path gradientshapeok="t" o:connecttype="rect"/>
                    </v:shapetype>
                    <v:shape id="Text Box 135" style="height:645;width:2270;top:8507;left:1869;position:absolute;" o:spid="_x0000_s1113" filled="f" stroked="f" o:spt="202" type="#_x0000_t202">
                      <v:fill/>
                      <v:textbox style="layout-flow:horizontal;" inset="0.45999999999999991mm,0.24694444444444438mm,0.45999999999999991mm,0.24694444444444438mm">
                        <w:txbxContent>
                          <w:p>
                            <w:pPr>
                              <w:pStyle w:val="0"/>
                              <w:spacing w:line="280" w:lineRule="exact"/>
                              <w:rPr>
                                <w:rFonts w:hint="default" w:ascii="ＭＳ ゴシック" w:hAnsi="ＭＳ ゴシック" w:eastAsia="ＭＳ ゴシック"/>
                                <w:sz w:val="20"/>
                              </w:rPr>
                            </w:pPr>
                            <w:r>
                              <w:rPr>
                                <w:rFonts w:hint="eastAsia" w:ascii="ＭＳ ゴシック" w:hAnsi="ＭＳ ゴシック" w:eastAsia="ＭＳ ゴシック"/>
                                <w:sz w:val="20"/>
                              </w:rPr>
                              <w:t>（障がい児・者</w:t>
                            </w:r>
                          </w:p>
                          <w:p>
                            <w:pPr>
                              <w:pStyle w:val="0"/>
                              <w:spacing w:line="280" w:lineRule="exact"/>
                              <w:ind w:firstLine="204" w:firstLineChars="100"/>
                              <w:rPr>
                                <w:rFonts w:hint="default"/>
                                <w:sz w:val="20"/>
                              </w:rPr>
                            </w:pPr>
                            <w:r>
                              <w:rPr>
                                <w:rFonts w:hint="eastAsia" w:ascii="ＭＳ ゴシック" w:hAnsi="ＭＳ ゴシック" w:eastAsia="ＭＳ ゴシック"/>
                                <w:sz w:val="20"/>
                              </w:rPr>
                              <w:t>生活実態、意向調査）</w:t>
                            </w:r>
                          </w:p>
                        </w:txbxContent>
                      </v:textbox>
                      <v:imagedata o:title=""/>
                      <w10:wrap type="none" anchorx="text" anchory="text"/>
                      <w10:anchorlock/>
                    </v:shape>
                    <v:shape id="Text Box 136" style="height:360;width:2285;top:8102;left:1861;position:absolute;" o:spid="_x0000_s1114" filled="f" stroked="f" o:spt="202" type="#_x0000_t202">
                      <v:fill/>
                      <v:textbox style="layout-flow:horizontal;" inset="2.0637499999999998mm,0.24694444444444438mm,2.0637499999999998mm,0.24694444444444438mm">
                        <w:txbxContent>
                          <w:p>
                            <w:pPr>
                              <w:pStyle w:val="0"/>
                              <w:jc w:val="center"/>
                              <w:rPr>
                                <w:rFonts w:hint="default" w:eastAsia="ＭＳ ゴシック"/>
                              </w:rPr>
                            </w:pPr>
                            <w:r>
                              <w:rPr>
                                <w:rFonts w:hint="default" w:eastAsia="ＭＳ ゴシック"/>
                              </w:rPr>
                              <w:t>アンケート調査</w:t>
                            </w:r>
                          </w:p>
                        </w:txbxContent>
                      </v:textbox>
                      <v:imagedata o:title=""/>
                      <w10:wrap type="none" anchorx="text" anchory="text"/>
                      <w10:anchorlock/>
                    </v:shape>
                    <w10:wrap type="none" anchorx="text" anchory="text"/>
                    <w10:anchorlock/>
                  </v:group>
                  <v:group id="グループ化 1568338726" style="height:1050;width:2483;top:14075;left:8071;position:absolute;" coordsize="2483,1050" coordorigin="7681,8090" o:spid="_x0000_s1115">
                    <v:roundrect id="AutoShape 138" style="height:1050;width:2457;top:8090;left:7707;position:absolute;" o:spid="_x0000_s1116" filled="t" fillcolor="#ffffff" stroked="t" strokecolor="#000000" strokeweight="0.75pt" o:spt="2" arcsize="6645f">
                      <v:fill/>
                      <v:stroke filltype="solid"/>
                      <v:textbox style="layout-flow:horizontal;"/>
                      <v:imagedata o:title=""/>
                      <w10:wrap type="none" anchorx="text" anchory="text"/>
                      <w10:anchorlock/>
                    </v:roundrect>
                    <v:shape id="Text Box 139" style="height:870;width:2450;top:8207;left:7681;position:absolute;" o:spid="_x0000_s1117" filled="f" stroked="f" o:spt="202" type="#_x0000_t202">
                      <v:fill/>
                      <v:textbox style="layout-flow:horizontal;" inset="2.0637499999999998mm,0.24694444444444438mm,2.0637499999999998mm,0.24694444444444438mm">
                        <w:txbxContent>
                          <w:p>
                            <w:pPr>
                              <w:pStyle w:val="0"/>
                              <w:rPr>
                                <w:rFonts w:hint="default" w:eastAsia="ＭＳ ゴシック"/>
                              </w:rPr>
                            </w:pPr>
                            <w:r>
                              <w:rPr>
                                <w:rFonts w:hint="default" w:eastAsia="ＭＳ ゴシック"/>
                              </w:rPr>
                              <w:t>・関係課</w:t>
                            </w:r>
                          </w:p>
                          <w:p>
                            <w:pPr>
                              <w:pStyle w:val="0"/>
                              <w:rPr>
                                <w:rFonts w:hint="default" w:eastAsia="ＭＳ ゴシック"/>
                              </w:rPr>
                            </w:pPr>
                            <w:r>
                              <w:rPr>
                                <w:rFonts w:hint="eastAsia" w:eastAsia="ＭＳ ゴシック"/>
                              </w:rPr>
                              <w:t>・町社会福祉協議会</w:t>
                            </w:r>
                          </w:p>
                        </w:txbxContent>
                      </v:textbox>
                      <v:imagedata o:title=""/>
                      <w10:wrap type="none" anchorx="text" anchory="text"/>
                      <w10:anchorlock/>
                    </v:shape>
                    <w10:wrap type="none" anchorx="text" anchory="text"/>
                    <w10:anchorlock/>
                  </v:group>
                  <v:group id="グループ化 682064820" style="height:1365;width:3192;top:13918;left:4514;position:absolute;" coordsize="3192,1365" coordorigin="4514,14061" o:spid="_x0000_s1118">
                    <v:roundrect id="AutoShape 141" style="height:1365;width:3192;top:14061;left:4514;position:absolute;" o:spid="_x0000_s1119" filled="t" fillcolor="#ffffff" stroked="t" strokecolor="#000000" strokeweight="0.75pt" o:spt="2" arcsize="8787f">
                      <v:fill/>
                      <v:stroke filltype="solid"/>
                      <v:textbox style="layout-flow:horizontal;"/>
                      <v:imagedata o:title=""/>
                      <w10:wrap type="none" anchorx="text" anchory="text"/>
                      <w10:anchorlock/>
                    </v:roundrect>
                    <v:shape id="Text Box 142" style="height:855;width:3110;top:14554;left:4556;position:absolute;" o:spid="_x0000_s1120" filled="f" stroked="f" o:spt="202" type="#_x0000_t202">
                      <v:fill/>
                      <v:textbox style="layout-flow:horizontal;" inset="2.0637499999999998mm,0.24694444444444438mm,2.0637499999999998mm,0.24694444444444438mm">
                        <w:txbxContent>
                          <w:p>
                            <w:pPr>
                              <w:pStyle w:val="0"/>
                              <w:spacing w:line="260" w:lineRule="exact"/>
                              <w:rPr>
                                <w:rFonts w:hint="default" w:ascii="ＭＳ ゴシック" w:hAnsi="ＭＳ ゴシック" w:eastAsia="ＭＳ ゴシック"/>
                                <w:sz w:val="20"/>
                              </w:rPr>
                            </w:pPr>
                            <w:r>
                              <w:rPr>
                                <w:rFonts w:hint="default" w:ascii="ＭＳ ゴシック" w:hAnsi="ＭＳ ゴシック" w:eastAsia="ＭＳ ゴシック"/>
                                <w:sz w:val="20"/>
                              </w:rPr>
                              <w:t>・アンケート調査</w:t>
                            </w:r>
                          </w:p>
                          <w:p>
                            <w:pPr>
                              <w:pStyle w:val="0"/>
                              <w:spacing w:line="260" w:lineRule="exact"/>
                              <w:rPr>
                                <w:rFonts w:hint="default" w:ascii="ＭＳ ゴシック" w:hAnsi="ＭＳ ゴシック" w:eastAsia="ＭＳ ゴシック"/>
                                <w:sz w:val="20"/>
                              </w:rPr>
                            </w:pPr>
                            <w:r>
                              <w:rPr>
                                <w:rFonts w:hint="eastAsia" w:ascii="ＭＳ ゴシック" w:hAnsi="ＭＳ ゴシック" w:eastAsia="ＭＳ ゴシック"/>
                                <w:sz w:val="20"/>
                              </w:rPr>
                              <w:t>・施策の現状と課題の把握</w:t>
                            </w:r>
                          </w:p>
                          <w:p>
                            <w:pPr>
                              <w:pStyle w:val="0"/>
                              <w:spacing w:line="260" w:lineRule="exact"/>
                              <w:rPr>
                                <w:rFonts w:hint="default" w:ascii="ＭＳ ゴシック" w:hAnsi="ＭＳ ゴシック" w:eastAsia="ＭＳ ゴシック"/>
                                <w:sz w:val="20"/>
                              </w:rPr>
                            </w:pPr>
                            <w:r>
                              <w:rPr>
                                <w:rFonts w:hint="eastAsia" w:ascii="ＭＳ ゴシック" w:hAnsi="ＭＳ ゴシック" w:eastAsia="ＭＳ ゴシック"/>
                                <w:sz w:val="20"/>
                              </w:rPr>
                              <w:t>・計画案の作成</w:t>
                            </w:r>
                          </w:p>
                        </w:txbxContent>
                      </v:textbox>
                      <v:imagedata o:title=""/>
                      <w10:wrap type="none" anchorx="text" anchory="text"/>
                      <w10:anchorlock/>
                    </v:shape>
                    <v:shape id="Text Box 143" style="height:360;width:2524;top:14133;left:4848;position:absolute;" o:spid="_x0000_s1121" filled="f" stroked="f" o:spt="202" type="#_x0000_t202">
                      <v:fill/>
                      <v:textbox style="layout-flow:horizontal;" inset="2.0637499999999998mm,0.24694444444444438mm,2.0637499999999998mm,0.24694444444444438mm">
                        <w:txbxContent>
                          <w:p>
                            <w:pPr>
                              <w:pStyle w:val="0"/>
                              <w:jc w:val="center"/>
                              <w:rPr>
                                <w:rFonts w:hint="default" w:eastAsia="ＭＳ ゴシック"/>
                              </w:rPr>
                            </w:pPr>
                            <w:r>
                              <w:rPr>
                                <w:rFonts w:hint="default" w:eastAsia="ＭＳ ゴシック"/>
                              </w:rPr>
                              <w:t>事務局（保健福祉課</w:t>
                            </w:r>
                            <w:r>
                              <w:rPr>
                                <w:rFonts w:hint="eastAsia" w:eastAsia="ＭＳ ゴシック"/>
                              </w:rPr>
                              <w:t>）</w:t>
                            </w:r>
                          </w:p>
                        </w:txbxContent>
                      </v:textbox>
                      <v:imagedata o:title=""/>
                      <w10:wrap type="none" anchorx="text" anchory="text"/>
                      <w10:anchorlock/>
                    </v:shape>
                    <v:line id="Line 144" style="height:0;width:3192;top:14536;left:4514;position:absolute;" o:spid="_x0000_s1122" filled="f" stroked="t" strokecolor="#000000" strokeweight="0.75pt" o:spt="20" from="4514,14536" to="7706,14536">
                      <v:fill/>
                      <v:stroke filltype="solid"/>
                      <v:textbox style="layout-flow:horizontal;"/>
                      <v:imagedata o:title=""/>
                      <w10:wrap type="none" anchorx="text" anchory="text"/>
                      <w10:anchorlock/>
                    </v:line>
                    <w10:wrap type="none" anchorx="text" anchory="text"/>
                    <w10:anchorlock/>
                  </v:group>
                  <v:shape id="AutoShape 145" style="height:390;width:366;top:14405;left:7713;position:absolute;" o:spid="_x0000_s1123" filled="t" fillcolor="#ffffff" stroked="t" strokecolor="#000000" strokeweight="0.75pt" o:spt="69" type="#_x0000_t69" adj="6978,6258">
                    <v:fill/>
                    <v:stroke miterlimit="8" filltype="solid"/>
                    <v:textbox style="layout-flow:horizontal;"/>
                    <v:imagedata o:title=""/>
                    <w10:wrap type="none" anchorx="text" anchory="text"/>
                    <w10:anchorlock/>
                  </v:shape>
                  <v:shape id="AutoShape 146" style="height:390;width:366;top:14406;left:4141;position:absolute;" o:spid="_x0000_s1124" filled="t" fillcolor="#ffffff" stroked="t" strokecolor="#000000" strokeweight="0.75pt" o:spt="69" type="#_x0000_t69" adj="6978,6258">
                    <v:fill/>
                    <v:stroke miterlimit="8" filltype="solid"/>
                    <v:textbox style="layout-flow:horizontal;"/>
                    <v:imagedata o:title=""/>
                    <w10:wrap type="none" anchorx="text" anchory="text"/>
                    <w10:anchorlock/>
                  </v:shape>
                  <w10:wrap type="none" anchorx="text" anchory="text"/>
                  <w10:anchorlock/>
                </v:group>
                <v:shape id="AutoShape 147" style="height:368;width:336;top:13408;left:5930;position:absolute;rotation:90;" o:spid="_x0000_s1125" filled="t" fillcolor="#ffffff" stroked="t" strokecolor="#000000" strokeweight="0.75pt" o:spt="69" type="#_x0000_t69" adj="7907,6258">
                  <v:fill/>
                  <v:stroke miterlimit="8" filltype="solid"/>
                  <v:textbox style="layout-flow:horizontal;"/>
                  <v:imagedata o:title=""/>
                  <w10:wrap type="none" anchorx="text" anchory="text"/>
                  <w10:anchorlock/>
                </v:shape>
                <w10:wrap type="none" anchorx="text" anchory="text"/>
                <w10:anchorlock/>
              </v:group>
            </w:pict>
          </mc:Fallback>
        </mc:AlternateContent>
      </w: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19"/>
        <w:ind w:left="336" w:firstLine="214"/>
        <w:rPr>
          <w:rFonts w:hint="default"/>
        </w:rPr>
      </w:pPr>
    </w:p>
    <w:p>
      <w:pPr>
        <w:pStyle w:val="0"/>
        <w:widowControl w:val="1"/>
        <w:jc w:val="left"/>
        <w:rPr>
          <w:rFonts w:hint="default"/>
        </w:rPr>
      </w:pPr>
      <w:r>
        <w:rPr>
          <w:rFonts w:hint="default"/>
        </w:rPr>
        <w:br w:type="page"/>
      </w:r>
    </w:p>
    <w:p>
      <w:pPr>
        <w:pStyle w:val="22"/>
        <w:spacing w:after="296" w:afterLines="0" w:afterAutospacing="0"/>
        <w:rPr>
          <w:rFonts w:hint="default"/>
        </w:rPr>
      </w:pPr>
      <w:bookmarkEnd w:id="9"/>
      <w:bookmarkStart w:id="15" w:name="_Toc162263658"/>
      <w:bookmarkStart w:id="16" w:name="_Toc505592281"/>
      <w:r>
        <w:rPr>
          <w:rFonts w:hint="default"/>
        </w:rPr>
        <w:t>第２章　</w:t>
      </w:r>
      <w:r>
        <w:rPr>
          <w:rFonts w:hint="eastAsia"/>
        </w:rPr>
        <w:t>障害福祉を取り巻く現状</w:t>
      </w:r>
      <w:bookmarkEnd w:id="15"/>
    </w:p>
    <w:p>
      <w:pPr>
        <w:pStyle w:val="80"/>
        <w:spacing w:after="92" w:afterLines="0" w:afterAutospacing="0"/>
        <w:rPr>
          <w:rFonts w:hint="default"/>
        </w:rPr>
      </w:pPr>
      <w:bookmarkStart w:id="17" w:name="_Toc162263659"/>
      <w:r>
        <w:rPr>
          <w:rFonts w:hint="eastAsia"/>
        </w:rPr>
        <w:t>１．障がい者の概況</w:t>
      </w:r>
      <w:bookmarkEnd w:id="17"/>
    </w:p>
    <w:p>
      <w:pPr>
        <w:pStyle w:val="60"/>
        <w:spacing w:after="74" w:afterLines="0" w:afterAutospacing="0"/>
        <w:ind w:left="112"/>
        <w:rPr>
          <w:rFonts w:hint="default"/>
          <w:u w:val="single" w:color="auto"/>
        </w:rPr>
      </w:pPr>
      <w:r>
        <w:rPr>
          <w:rFonts w:hint="eastAsia"/>
        </w:rPr>
        <w:t>（１）</w:t>
      </w:r>
      <w:r>
        <w:rPr>
          <w:rFonts w:hint="eastAsia"/>
          <w:u w:val="single" w:color="auto"/>
        </w:rPr>
        <w:t>障害者手帳の交付状況</w:t>
      </w:r>
    </w:p>
    <w:p>
      <w:pPr>
        <w:pStyle w:val="61"/>
        <w:ind w:left="448" w:firstLine="214" w:firstLineChars="100"/>
        <w:rPr>
          <w:rFonts w:hint="default"/>
        </w:rPr>
      </w:pPr>
      <w:r>
        <w:rPr>
          <w:rFonts w:hint="eastAsia"/>
        </w:rPr>
        <w:t>障害者手帳交付者の総数は年々増えてきており、平成</w:t>
      </w:r>
      <w:r>
        <w:rPr>
          <w:rFonts w:hint="eastAsia"/>
        </w:rPr>
        <w:t>30</w:t>
      </w:r>
      <w:r>
        <w:rPr>
          <w:rFonts w:hint="eastAsia"/>
        </w:rPr>
        <w:t>年度の</w:t>
      </w:r>
      <w:r>
        <w:rPr>
          <w:rFonts w:hint="default"/>
        </w:rPr>
        <w:t>2,</w:t>
      </w:r>
      <w:r>
        <w:rPr>
          <w:rFonts w:hint="eastAsia"/>
        </w:rPr>
        <w:t>317</w:t>
      </w:r>
      <w:r>
        <w:rPr>
          <w:rFonts w:hint="eastAsia"/>
        </w:rPr>
        <w:t>人に対し令和４年度では</w:t>
      </w:r>
      <w:r>
        <w:rPr>
          <w:rFonts w:hint="default"/>
        </w:rPr>
        <w:t>2,626</w:t>
      </w:r>
      <w:r>
        <w:rPr>
          <w:rFonts w:hint="eastAsia"/>
        </w:rPr>
        <w:t>人と、この４年間で</w:t>
      </w:r>
      <w:r>
        <w:rPr>
          <w:rFonts w:hint="eastAsia"/>
        </w:rPr>
        <w:t>309</w:t>
      </w:r>
      <w:r>
        <w:rPr>
          <w:rFonts w:hint="eastAsia"/>
        </w:rPr>
        <w:t>人の増、伸び率は</w:t>
      </w:r>
      <w:r>
        <w:rPr>
          <w:rFonts w:hint="eastAsia"/>
        </w:rPr>
        <w:t>13.3</w:t>
      </w:r>
      <w:r>
        <w:rPr>
          <w:rFonts w:hint="eastAsia"/>
        </w:rPr>
        <w:t>％となります。</w:t>
      </w:r>
    </w:p>
    <w:p>
      <w:pPr>
        <w:pStyle w:val="61"/>
        <w:ind w:left="448" w:firstLine="214" w:firstLineChars="100"/>
        <w:rPr>
          <w:rFonts w:hint="default"/>
        </w:rPr>
      </w:pPr>
      <w:r>
        <w:rPr>
          <w:rFonts w:hint="eastAsia"/>
        </w:rPr>
        <w:t>手帳の種類別にみると</w:t>
      </w:r>
      <w:r>
        <w:rPr>
          <w:rFonts w:hint="default"/>
        </w:rPr>
        <w:t>「身体障害者手帳」「療育手帳」、「精神障害者保健福祉手帳」の交付者</w:t>
      </w:r>
      <w:r>
        <w:rPr>
          <w:rFonts w:hint="eastAsia"/>
        </w:rPr>
        <w:t>はいずれも</w:t>
      </w:r>
      <w:r>
        <w:rPr>
          <w:rFonts w:hint="default"/>
        </w:rPr>
        <w:t>増加する傾向にあります。</w:t>
      </w:r>
      <w:r>
        <w:rPr>
          <w:rFonts w:hint="eastAsia"/>
        </w:rPr>
        <w:t>そのうち</w:t>
      </w:r>
      <w:r>
        <w:rPr>
          <w:rFonts w:hint="default"/>
        </w:rPr>
        <w:t>「身体障害者手帳」の交付者が</w:t>
      </w:r>
      <w:r>
        <w:rPr>
          <w:rFonts w:hint="eastAsia"/>
        </w:rPr>
        <w:t>毎年度</w:t>
      </w:r>
      <w:r>
        <w:rPr>
          <w:rFonts w:hint="default"/>
        </w:rPr>
        <w:t>最も多く、</w:t>
      </w:r>
      <w:r>
        <w:rPr>
          <w:rFonts w:hint="eastAsia"/>
        </w:rPr>
        <w:t>令和４年</w:t>
      </w:r>
      <w:r>
        <w:rPr>
          <w:rFonts w:hint="default"/>
        </w:rPr>
        <w:t>度では全体の</w:t>
      </w:r>
      <w:r>
        <w:rPr>
          <w:rFonts w:hint="default"/>
        </w:rPr>
        <w:t>57.6</w:t>
      </w:r>
      <w:r>
        <w:rPr>
          <w:rFonts w:hint="default"/>
        </w:rPr>
        <w:t>％を占めます。</w:t>
      </w:r>
    </w:p>
    <w:p>
      <w:pPr>
        <w:pStyle w:val="61"/>
        <w:ind w:left="448" w:firstLine="214" w:firstLineChars="100"/>
        <w:rPr>
          <w:rFonts w:hint="default"/>
        </w:rPr>
      </w:pPr>
      <w:r>
        <w:rPr>
          <w:rFonts w:hint="default"/>
        </w:rPr>
        <w:t>各手帳交付者の平成</w:t>
      </w:r>
      <w:r>
        <w:rPr>
          <w:rFonts w:hint="eastAsia"/>
        </w:rPr>
        <w:t>30</w:t>
      </w:r>
      <w:r>
        <w:rPr>
          <w:rFonts w:hint="default"/>
        </w:rPr>
        <w:t>年度に対する</w:t>
      </w:r>
      <w:r>
        <w:rPr>
          <w:rFonts w:hint="eastAsia"/>
        </w:rPr>
        <w:t>令和４年</w:t>
      </w:r>
      <w:r>
        <w:rPr>
          <w:rFonts w:hint="default"/>
        </w:rPr>
        <w:t>度の増数をみると、「身体障害者手帳」が</w:t>
      </w:r>
      <w:r>
        <w:rPr>
          <w:rFonts w:hint="eastAsia"/>
        </w:rPr>
        <w:t>122</w:t>
      </w:r>
      <w:r>
        <w:rPr>
          <w:rFonts w:hint="default"/>
        </w:rPr>
        <w:t>人</w:t>
      </w:r>
      <w:r>
        <w:rPr>
          <w:rFonts w:hint="eastAsia"/>
        </w:rPr>
        <w:t>増</w:t>
      </w:r>
      <w:r>
        <w:rPr>
          <w:rFonts w:hint="default"/>
        </w:rPr>
        <w:t>、次に「精神障害者保健福祉手帳」が</w:t>
      </w:r>
      <w:r>
        <w:rPr>
          <w:rFonts w:hint="default"/>
        </w:rPr>
        <w:t>109</w:t>
      </w:r>
      <w:r>
        <w:rPr>
          <w:rFonts w:hint="default"/>
        </w:rPr>
        <w:t>人増</w:t>
      </w:r>
      <w:r>
        <w:rPr>
          <w:rFonts w:hint="eastAsia"/>
        </w:rPr>
        <w:t>、</w:t>
      </w:r>
      <w:r>
        <w:rPr>
          <w:rFonts w:hint="default"/>
        </w:rPr>
        <w:t>「療育手帳」が</w:t>
      </w:r>
      <w:r>
        <w:rPr>
          <w:rFonts w:hint="eastAsia"/>
        </w:rPr>
        <w:t>78</w:t>
      </w:r>
      <w:r>
        <w:rPr>
          <w:rFonts w:hint="default"/>
        </w:rPr>
        <w:t>人増となります。</w:t>
      </w:r>
    </w:p>
    <w:p>
      <w:pPr>
        <w:pStyle w:val="61"/>
        <w:ind w:left="448" w:firstLine="214" w:firstLineChars="100"/>
        <w:rPr>
          <w:rFonts w:hint="default"/>
        </w:rPr>
      </w:pPr>
      <w:r>
        <w:rPr>
          <w:rFonts w:hint="default"/>
        </w:rPr>
        <w:t>一方、手帳交付者数の伸び率では、「精神障害者保健福祉手帳」が</w:t>
      </w:r>
      <w:r>
        <w:rPr>
          <w:rFonts w:hint="default"/>
        </w:rPr>
        <w:t>22.6</w:t>
      </w:r>
      <w:r>
        <w:rPr>
          <w:rFonts w:hint="eastAsia"/>
        </w:rPr>
        <w:t>％</w:t>
      </w:r>
      <w:r>
        <w:rPr>
          <w:rFonts w:hint="default"/>
        </w:rPr>
        <w:t>と最も大きく、</w:t>
      </w:r>
      <w:r>
        <w:rPr>
          <w:rFonts w:hint="eastAsia"/>
        </w:rPr>
        <w:t>「療育手帳」</w:t>
      </w:r>
      <w:r>
        <w:rPr>
          <w:rFonts w:hint="default"/>
        </w:rPr>
        <w:t>が</w:t>
      </w:r>
      <w:r>
        <w:rPr>
          <w:rFonts w:hint="default"/>
        </w:rPr>
        <w:t>17.6</w:t>
      </w:r>
      <w:r>
        <w:rPr>
          <w:rFonts w:hint="eastAsia"/>
        </w:rPr>
        <w:t>％、</w:t>
      </w:r>
      <w:r>
        <w:rPr>
          <w:rFonts w:hint="default"/>
        </w:rPr>
        <w:t>「</w:t>
      </w:r>
      <w:r>
        <w:rPr>
          <w:rFonts w:hint="eastAsia"/>
        </w:rPr>
        <w:t>身体障害者</w:t>
      </w:r>
      <w:r>
        <w:rPr>
          <w:rFonts w:hint="default"/>
        </w:rPr>
        <w:t>手帳」</w:t>
      </w:r>
      <w:r>
        <w:rPr>
          <w:rFonts w:hint="eastAsia"/>
        </w:rPr>
        <w:t>が</w:t>
      </w:r>
      <w:r>
        <w:rPr>
          <w:rFonts w:hint="eastAsia"/>
        </w:rPr>
        <w:t>8.8</w:t>
      </w:r>
      <w:r>
        <w:rPr>
          <w:rFonts w:hint="eastAsia"/>
        </w:rPr>
        <w:t>％</w:t>
      </w:r>
      <w:r>
        <w:rPr>
          <w:rFonts w:hint="default"/>
        </w:rPr>
        <w:t>とな</w:t>
      </w:r>
      <w:r>
        <w:rPr>
          <w:rFonts w:hint="eastAsia"/>
        </w:rPr>
        <w:t>ってい</w:t>
      </w:r>
      <w:r>
        <w:rPr>
          <w:rFonts w:hint="default"/>
        </w:rPr>
        <w:t>ます。</w:t>
      </w:r>
    </w:p>
    <w:p>
      <w:pPr>
        <w:pStyle w:val="61"/>
        <w:spacing w:line="0" w:lineRule="atLeast"/>
        <w:ind w:left="448" w:firstLine="164" w:firstLineChars="100"/>
        <w:rPr>
          <w:rFonts w:hint="default"/>
          <w:sz w:val="16"/>
        </w:rPr>
      </w:pPr>
    </w:p>
    <w:tbl>
      <w:tblPr>
        <w:tblStyle w:val="11"/>
        <w:tblW w:w="9072" w:type="dxa"/>
        <w:tblInd w:w="567" w:type="dxa"/>
        <w:tblLayout w:type="fixed"/>
        <w:tblCellMar>
          <w:top w:w="28" w:type="dxa"/>
          <w:bottom w:w="28" w:type="dxa"/>
        </w:tblCellMar>
        <w:tblLook w:firstRow="0" w:lastRow="0" w:firstColumn="0" w:lastColumn="0" w:noHBand="0" w:noVBand="0" w:val="0000"/>
      </w:tblPr>
      <w:tblGrid>
        <w:gridCol w:w="236"/>
        <w:gridCol w:w="2487"/>
        <w:gridCol w:w="821"/>
        <w:gridCol w:w="23"/>
        <w:gridCol w:w="845"/>
        <w:gridCol w:w="844"/>
        <w:gridCol w:w="845"/>
        <w:gridCol w:w="716"/>
        <w:gridCol w:w="129"/>
        <w:gridCol w:w="1063"/>
        <w:gridCol w:w="1063"/>
      </w:tblGrid>
      <w:tr>
        <w:trPr/>
        <w:tc>
          <w:tcPr>
            <w:tcW w:w="3544" w:type="dxa"/>
            <w:gridSpan w:val="3"/>
            <w:vAlign w:val="bottom"/>
          </w:tcPr>
          <w:p>
            <w:pPr>
              <w:pStyle w:val="46"/>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【障害者手帳交付状況】</w:t>
            </w:r>
          </w:p>
        </w:tc>
        <w:tc>
          <w:tcPr>
            <w:tcW w:w="3273" w:type="dxa"/>
            <w:gridSpan w:val="5"/>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255" w:type="dxa"/>
            <w:gridSpan w:val="3"/>
            <w:tcMar>
              <w:top w:w="0" w:type="dxa"/>
              <w:bottom w:w="0" w:type="dxa"/>
            </w:tcMar>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2723" w:type="dxa"/>
            <w:gridSpan w:val="2"/>
            <w:tcBorders>
              <w:top w:val="single" w:color="auto"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ＭＳ ゴシック" w:hAnsi="ＭＳ ゴシック" w:eastAsia="ＭＳ ゴシック"/>
                <w:sz w:val="20"/>
              </w:rPr>
            </w:pPr>
          </w:p>
        </w:tc>
        <w:tc>
          <w:tcPr>
            <w:tcW w:w="844" w:type="dxa"/>
            <w:gridSpan w:val="2"/>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平成</w:t>
            </w:r>
          </w:p>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年度</w:t>
            </w:r>
          </w:p>
        </w:tc>
        <w:tc>
          <w:tcPr>
            <w:tcW w:w="845" w:type="dxa"/>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元年度</w:t>
            </w:r>
          </w:p>
        </w:tc>
        <w:tc>
          <w:tcPr>
            <w:tcW w:w="844" w:type="dxa"/>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２年度</w:t>
            </w:r>
          </w:p>
        </w:tc>
        <w:tc>
          <w:tcPr>
            <w:tcW w:w="845" w:type="dxa"/>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３年度</w:t>
            </w:r>
          </w:p>
        </w:tc>
        <w:tc>
          <w:tcPr>
            <w:tcW w:w="845" w:type="dxa"/>
            <w:gridSpan w:val="2"/>
            <w:tcBorders>
              <w:top w:val="single" w:color="000000" w:sz="4" w:space="0"/>
              <w:left w:val="single" w:color="000000" w:sz="4" w:space="0"/>
              <w:bottom w:val="single" w:color="auto" w:sz="4" w:space="0"/>
              <w:right w:val="single" w:color="auto" w:sz="12"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４年度</w:t>
            </w:r>
          </w:p>
        </w:tc>
        <w:tc>
          <w:tcPr>
            <w:tcW w:w="1063" w:type="dxa"/>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増減</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伸び率</w:t>
            </w:r>
          </w:p>
        </w:tc>
      </w:tr>
      <w:tr>
        <w:trPr/>
        <w:tc>
          <w:tcPr>
            <w:tcW w:w="2723" w:type="dxa"/>
            <w:gridSpan w:val="2"/>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line="240" w:lineRule="auto"/>
              <w:rPr>
                <w:rFonts w:hint="default" w:ascii="ＭＳ ゴシック" w:hAnsi="ＭＳ ゴシック" w:eastAsia="ＭＳ ゴシック"/>
                <w:w w:val="100"/>
                <w:sz w:val="20"/>
              </w:rPr>
            </w:pPr>
            <w:bookmarkStart w:id="18" w:name="_Hlk147415656"/>
            <w:r>
              <w:rPr>
                <w:rFonts w:hint="default" w:ascii="ＭＳ ゴシック" w:hAnsi="ＭＳ ゴシック" w:eastAsia="ＭＳ ゴシック"/>
                <w:w w:val="100"/>
                <w:sz w:val="20"/>
              </w:rPr>
              <w:t>総数</w:t>
            </w:r>
            <w:bookmarkEnd w:id="18"/>
          </w:p>
        </w:tc>
        <w:tc>
          <w:tcPr>
            <w:tcW w:w="84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2,317</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2,397</w:t>
            </w:r>
          </w:p>
        </w:tc>
        <w:tc>
          <w:tcPr>
            <w:tcW w:w="84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2,443</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2,546</w:t>
            </w:r>
          </w:p>
        </w:tc>
        <w:tc>
          <w:tcPr>
            <w:tcW w:w="845" w:type="dxa"/>
            <w:gridSpan w:val="2"/>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auto"/>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2,626</w:t>
            </w:r>
          </w:p>
        </w:tc>
        <w:tc>
          <w:tcPr>
            <w:tcW w:w="1063" w:type="dxa"/>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309</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13.3</w:t>
            </w:r>
          </w:p>
        </w:tc>
      </w:tr>
      <w:tr>
        <w:trPr/>
        <w:tc>
          <w:tcPr>
            <w:tcW w:w="236"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line="240" w:lineRule="auto"/>
              <w:rPr>
                <w:rFonts w:hint="default" w:ascii="ＭＳ ゴシック" w:hAnsi="ＭＳ ゴシック" w:eastAsia="ＭＳ ゴシック"/>
                <w:w w:val="100"/>
                <w:sz w:val="20"/>
              </w:rPr>
            </w:pPr>
          </w:p>
        </w:tc>
        <w:tc>
          <w:tcPr>
            <w:tcW w:w="24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line="240" w:lineRule="auto"/>
              <w:jc w:val="both"/>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身体障害者手帳</w:t>
            </w:r>
          </w:p>
        </w:tc>
        <w:tc>
          <w:tcPr>
            <w:tcW w:w="84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1,391</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1,437</w:t>
            </w:r>
          </w:p>
        </w:tc>
        <w:tc>
          <w:tcPr>
            <w:tcW w:w="84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1,448</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1,482</w:t>
            </w:r>
          </w:p>
        </w:tc>
        <w:tc>
          <w:tcPr>
            <w:tcW w:w="845" w:type="dxa"/>
            <w:gridSpan w:val="2"/>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1,513</w:t>
            </w:r>
          </w:p>
        </w:tc>
        <w:tc>
          <w:tcPr>
            <w:tcW w:w="1063" w:type="dxa"/>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122</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8.8</w:t>
            </w:r>
          </w:p>
        </w:tc>
      </w:tr>
      <w:tr>
        <w:trPr/>
        <w:tc>
          <w:tcPr>
            <w:tcW w:w="236"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line="240" w:lineRule="auto"/>
              <w:rPr>
                <w:rFonts w:hint="default" w:ascii="ＭＳ ゴシック" w:hAnsi="ＭＳ ゴシック" w:eastAsia="ＭＳ ゴシック"/>
                <w:w w:val="100"/>
                <w:sz w:val="20"/>
              </w:rPr>
            </w:pPr>
          </w:p>
        </w:tc>
        <w:tc>
          <w:tcPr>
            <w:tcW w:w="24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line="240" w:lineRule="auto"/>
              <w:jc w:val="both"/>
              <w:rPr>
                <w:rFonts w:hint="default" w:ascii="ＭＳ ゴシック" w:hAnsi="ＭＳ ゴシック" w:eastAsia="ＭＳ ゴシック"/>
                <w:w w:val="100"/>
                <w:sz w:val="20"/>
              </w:rPr>
            </w:pPr>
            <w:r>
              <w:rPr>
                <w:rFonts w:hint="default" w:ascii="ＭＳ ゴシック" w:hAnsi="ＭＳ ゴシック" w:eastAsia="ＭＳ ゴシック"/>
                <w:w w:val="100"/>
                <w:sz w:val="20"/>
              </w:rPr>
              <w:t>療育手帳</w:t>
            </w:r>
          </w:p>
        </w:tc>
        <w:tc>
          <w:tcPr>
            <w:tcW w:w="84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443</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469</w:t>
            </w:r>
          </w:p>
        </w:tc>
        <w:tc>
          <w:tcPr>
            <w:tcW w:w="84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472</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496</w:t>
            </w:r>
          </w:p>
        </w:tc>
        <w:tc>
          <w:tcPr>
            <w:tcW w:w="845" w:type="dxa"/>
            <w:gridSpan w:val="2"/>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521</w:t>
            </w:r>
          </w:p>
        </w:tc>
        <w:tc>
          <w:tcPr>
            <w:tcW w:w="1063" w:type="dxa"/>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78</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17.6</w:t>
            </w:r>
          </w:p>
        </w:tc>
      </w:tr>
      <w:tr>
        <w:trPr/>
        <w:tc>
          <w:tcPr>
            <w:tcW w:w="236" w:type="dxa"/>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line="240" w:lineRule="auto"/>
              <w:rPr>
                <w:rFonts w:hint="default" w:ascii="ＭＳ ゴシック" w:hAnsi="ＭＳ ゴシック" w:eastAsia="ＭＳ ゴシック"/>
                <w:w w:val="100"/>
                <w:sz w:val="20"/>
              </w:rPr>
            </w:pPr>
          </w:p>
        </w:tc>
        <w:tc>
          <w:tcPr>
            <w:tcW w:w="24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line="240" w:lineRule="auto"/>
              <w:jc w:val="both"/>
              <w:rPr>
                <w:rFonts w:hint="default" w:ascii="ＭＳ ゴシック" w:hAnsi="ＭＳ ゴシック" w:eastAsia="ＭＳ ゴシック"/>
                <w:w w:val="100"/>
                <w:sz w:val="20"/>
              </w:rPr>
            </w:pPr>
            <w:r>
              <w:rPr>
                <w:rFonts w:hint="default" w:ascii="ＭＳ ゴシック" w:hAnsi="ＭＳ ゴシック" w:eastAsia="ＭＳ ゴシック"/>
                <w:w w:val="100"/>
                <w:sz w:val="20"/>
              </w:rPr>
              <w:t>精神障害者保健福祉手帳</w:t>
            </w:r>
          </w:p>
        </w:tc>
        <w:tc>
          <w:tcPr>
            <w:tcW w:w="84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483</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491</w:t>
            </w:r>
          </w:p>
        </w:tc>
        <w:tc>
          <w:tcPr>
            <w:tcW w:w="84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523</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568</w:t>
            </w:r>
          </w:p>
        </w:tc>
        <w:tc>
          <w:tcPr>
            <w:tcW w:w="845" w:type="dxa"/>
            <w:gridSpan w:val="2"/>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592</w:t>
            </w:r>
          </w:p>
        </w:tc>
        <w:tc>
          <w:tcPr>
            <w:tcW w:w="1063" w:type="dxa"/>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109</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22.6</w:t>
            </w:r>
          </w:p>
        </w:tc>
      </w:tr>
    </w:tbl>
    <w:p>
      <w:pPr>
        <w:pStyle w:val="62"/>
        <w:spacing w:before="37" w:beforeLines="0" w:beforeAutospacing="0" w:after="0" w:afterLines="0" w:afterAutospacing="0"/>
        <w:ind w:left="1172"/>
        <w:rPr>
          <w:rFonts w:hint="default"/>
        </w:rPr>
      </w:pPr>
      <w:r>
        <w:rPr>
          <w:rFonts w:hint="eastAsia"/>
        </w:rPr>
        <w:t>資料：保健福祉課（各年度末現在）</w:t>
      </w:r>
    </w:p>
    <w:p>
      <w:pPr>
        <w:pStyle w:val="61"/>
        <w:ind w:left="448" w:firstLine="214" w:firstLineChars="100"/>
        <w:rPr>
          <w:rFonts w:hint="default"/>
        </w:rPr>
      </w:pPr>
      <w:r>
        <w:rPr>
          <w:rFonts w:hint="default"/>
        </w:rPr>
        <w:drawing>
          <wp:anchor distT="0" distB="0" distL="114300" distR="114300" simplePos="0" relativeHeight="53" behindDoc="0" locked="0" layoutInCell="1" hidden="0" allowOverlap="1">
            <wp:simplePos x="0" y="0"/>
            <wp:positionH relativeFrom="column">
              <wp:posOffset>656590</wp:posOffset>
            </wp:positionH>
            <wp:positionV relativeFrom="paragraph">
              <wp:posOffset>185420</wp:posOffset>
            </wp:positionV>
            <wp:extent cx="5391150" cy="2762250"/>
            <wp:effectExtent l="0" t="0" r="0" b="0"/>
            <wp:wrapNone/>
            <wp:docPr id="1126" name="Picture 2"/>
            <a:graphic xmlns:a="http://schemas.openxmlformats.org/drawingml/2006/main">
              <a:graphicData uri="http://schemas.openxmlformats.org/drawingml/2006/picture">
                <pic:pic xmlns:pic="http://schemas.openxmlformats.org/drawingml/2006/picture">
                  <pic:nvPicPr>
                    <pic:cNvPr id="1126" name="Picture 2"/>
                    <pic:cNvPicPr>
                      <a:picLocks noChangeAspect="1" noChangeArrowheads="1"/>
                    </pic:cNvPicPr>
                  </pic:nvPicPr>
                  <pic:blipFill>
                    <a:blip r:embed="rId11"/>
                    <a:srcRect l="4207" t="10622" r="3700" b="1871"/>
                    <a:stretch>
                      <a:fillRect/>
                    </a:stretch>
                  </pic:blipFill>
                  <pic:spPr>
                    <a:xfrm>
                      <a:off x="0" y="0"/>
                      <a:ext cx="5391150" cy="2762250"/>
                    </a:xfrm>
                    <a:prstGeom prst="rect">
                      <a:avLst/>
                    </a:prstGeom>
                    <a:noFill/>
                    <a:ln>
                      <a:noFill/>
                    </a:ln>
                  </pic:spPr>
                </pic:pic>
              </a:graphicData>
            </a:graphic>
          </wp:anchor>
        </w:drawing>
      </w: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r>
        <w:rPr>
          <w:rFonts w:hint="default"/>
        </w:rPr>
        <w:br w:type="page"/>
      </w:r>
    </w:p>
    <w:p>
      <w:pPr>
        <w:pStyle w:val="60"/>
        <w:spacing w:after="74" w:afterLines="0" w:afterAutospacing="0"/>
        <w:ind w:left="112"/>
        <w:rPr>
          <w:rFonts w:hint="default"/>
        </w:rPr>
      </w:pPr>
      <w:r>
        <w:rPr>
          <w:rFonts w:hint="eastAsia"/>
        </w:rPr>
        <w:t>（２）</w:t>
      </w:r>
      <w:r>
        <w:rPr>
          <w:rFonts w:hint="eastAsia"/>
          <w:u w:val="single" w:color="auto"/>
        </w:rPr>
        <w:t>障がい者の年齡</w:t>
      </w:r>
    </w:p>
    <w:p>
      <w:pPr>
        <w:pStyle w:val="61"/>
        <w:ind w:left="448" w:firstLine="214" w:firstLineChars="100"/>
        <w:rPr>
          <w:rFonts w:hint="default"/>
        </w:rPr>
      </w:pPr>
      <w:r>
        <w:rPr>
          <w:rFonts w:hint="default"/>
        </w:rPr>
        <w:t>障がい者の年齡を「</w:t>
      </w:r>
      <w:r>
        <w:rPr>
          <w:rFonts w:hint="default"/>
        </w:rPr>
        <w:t>18</w:t>
      </w:r>
      <w:r>
        <w:rPr>
          <w:rFonts w:hint="default"/>
        </w:rPr>
        <w:t>歳未満」、「</w:t>
      </w:r>
      <w:r>
        <w:rPr>
          <w:rFonts w:hint="default"/>
        </w:rPr>
        <w:t>18</w:t>
      </w:r>
      <w:r>
        <w:rPr>
          <w:rFonts w:hint="default"/>
        </w:rPr>
        <w:t>歳以上</w:t>
      </w:r>
      <w:r>
        <w:rPr>
          <w:rFonts w:hint="default"/>
        </w:rPr>
        <w:t>65</w:t>
      </w:r>
      <w:r>
        <w:rPr>
          <w:rFonts w:hint="default"/>
        </w:rPr>
        <w:t>歳未満」、「</w:t>
      </w:r>
      <w:r>
        <w:rPr>
          <w:rFonts w:hint="default"/>
        </w:rPr>
        <w:t>65</w:t>
      </w:r>
      <w:r>
        <w:rPr>
          <w:rFonts w:hint="default"/>
        </w:rPr>
        <w:t>歳以上」</w:t>
      </w:r>
      <w:r>
        <w:rPr>
          <w:rFonts w:hint="eastAsia"/>
        </w:rPr>
        <w:t>の３</w:t>
      </w:r>
      <w:r>
        <w:rPr>
          <w:rFonts w:hint="default"/>
        </w:rPr>
        <w:t>区分でみると、「身体」</w:t>
      </w:r>
      <w:r>
        <w:rPr>
          <w:rFonts w:hint="eastAsia"/>
        </w:rPr>
        <w:t>では、</w:t>
      </w:r>
      <w:r>
        <w:rPr>
          <w:rFonts w:hint="default"/>
        </w:rPr>
        <w:t>「</w:t>
      </w:r>
      <w:r>
        <w:rPr>
          <w:rFonts w:hint="default"/>
        </w:rPr>
        <w:t>18</w:t>
      </w:r>
      <w:r>
        <w:rPr>
          <w:rFonts w:hint="default"/>
        </w:rPr>
        <w:t>歳未満」が</w:t>
      </w:r>
      <w:r>
        <w:rPr>
          <w:rFonts w:hint="default"/>
        </w:rPr>
        <w:t>50</w:t>
      </w:r>
      <w:r>
        <w:rPr>
          <w:rFonts w:hint="default"/>
        </w:rPr>
        <w:t>人</w:t>
      </w:r>
      <w:r>
        <w:rPr>
          <w:rFonts w:hint="eastAsia"/>
        </w:rPr>
        <w:t>程度の横ばい</w:t>
      </w:r>
      <w:r>
        <w:rPr>
          <w:rFonts w:hint="default"/>
        </w:rPr>
        <w:t>、「</w:t>
      </w:r>
      <w:r>
        <w:rPr>
          <w:rFonts w:hint="eastAsia"/>
        </w:rPr>
        <w:t>18</w:t>
      </w:r>
      <w:r>
        <w:rPr>
          <w:rFonts w:hint="eastAsia"/>
        </w:rPr>
        <w:t>歳以上</w:t>
      </w:r>
      <w:r>
        <w:rPr>
          <w:rFonts w:hint="eastAsia"/>
        </w:rPr>
        <w:t>65</w:t>
      </w:r>
      <w:r>
        <w:rPr>
          <w:rFonts w:hint="eastAsia"/>
        </w:rPr>
        <w:t>歳未満</w:t>
      </w:r>
      <w:r>
        <w:rPr>
          <w:rFonts w:hint="default"/>
        </w:rPr>
        <w:t>」</w:t>
      </w:r>
      <w:r>
        <w:rPr>
          <w:rFonts w:hint="eastAsia"/>
        </w:rPr>
        <w:t>が減少傾向</w:t>
      </w:r>
      <w:r>
        <w:rPr>
          <w:rFonts w:hint="default"/>
        </w:rPr>
        <w:t>で推移しています。</w:t>
      </w:r>
      <w:r>
        <w:rPr>
          <w:rFonts w:hint="eastAsia"/>
        </w:rPr>
        <w:t>一方、「</w:t>
      </w:r>
      <w:r>
        <w:rPr>
          <w:rFonts w:hint="eastAsia"/>
        </w:rPr>
        <w:t>65</w:t>
      </w:r>
      <w:r>
        <w:rPr>
          <w:rFonts w:hint="eastAsia"/>
        </w:rPr>
        <w:t>歳以上」が毎年度最も多く、令和４年度では</w:t>
      </w:r>
      <w:r>
        <w:rPr>
          <w:rFonts w:hint="default"/>
        </w:rPr>
        <w:t>1,006</w:t>
      </w:r>
      <w:r>
        <w:rPr>
          <w:rFonts w:hint="eastAsia"/>
        </w:rPr>
        <w:t>人と「身体」の</w:t>
      </w:r>
      <w:r>
        <w:rPr>
          <w:rFonts w:hint="default"/>
        </w:rPr>
        <w:t>66.5</w:t>
      </w:r>
      <w:r>
        <w:rPr>
          <w:rFonts w:hint="eastAsia"/>
        </w:rPr>
        <w:t>％を占めます。</w:t>
      </w:r>
    </w:p>
    <w:p>
      <w:pPr>
        <w:pStyle w:val="61"/>
        <w:ind w:left="448" w:firstLine="214" w:firstLineChars="100"/>
        <w:rPr>
          <w:rFonts w:hint="default"/>
        </w:rPr>
      </w:pPr>
      <w:r>
        <w:rPr>
          <w:rFonts w:hint="eastAsia"/>
        </w:rPr>
        <w:t>「知的」では、３</w:t>
      </w:r>
      <w:r>
        <w:rPr>
          <w:rFonts w:hint="default"/>
        </w:rPr>
        <w:t>区分</w:t>
      </w:r>
      <w:r>
        <w:rPr>
          <w:rFonts w:hint="eastAsia"/>
        </w:rPr>
        <w:t>すべてで増加傾向にあり、特に「</w:t>
      </w:r>
      <w:r>
        <w:rPr>
          <w:rFonts w:hint="eastAsia"/>
        </w:rPr>
        <w:t>18</w:t>
      </w:r>
      <w:r>
        <w:rPr>
          <w:rFonts w:hint="eastAsia"/>
        </w:rPr>
        <w:t>歳以上</w:t>
      </w:r>
      <w:r>
        <w:rPr>
          <w:rFonts w:hint="eastAsia"/>
        </w:rPr>
        <w:t>65</w:t>
      </w:r>
      <w:r>
        <w:rPr>
          <w:rFonts w:hint="eastAsia"/>
        </w:rPr>
        <w:t>歳未満」が毎年度最も多く、令和４年度では</w:t>
      </w:r>
      <w:r>
        <w:rPr>
          <w:rFonts w:hint="eastAsia"/>
        </w:rPr>
        <w:t>324</w:t>
      </w:r>
      <w:r>
        <w:rPr>
          <w:rFonts w:hint="eastAsia"/>
        </w:rPr>
        <w:t>人と「知的」の</w:t>
      </w:r>
      <w:r>
        <w:rPr>
          <w:rFonts w:hint="default"/>
        </w:rPr>
        <w:t>62.2</w:t>
      </w:r>
      <w:r>
        <w:rPr>
          <w:rFonts w:hint="eastAsia"/>
        </w:rPr>
        <w:t>％を占めます。</w:t>
      </w:r>
    </w:p>
    <w:p>
      <w:pPr>
        <w:pStyle w:val="61"/>
        <w:ind w:left="448" w:firstLine="214" w:firstLineChars="100"/>
        <w:rPr>
          <w:rFonts w:hint="default"/>
        </w:rPr>
      </w:pPr>
      <w:r>
        <w:rPr>
          <w:rFonts w:hint="eastAsia"/>
        </w:rPr>
        <w:t>「精神」では、「</w:t>
      </w:r>
      <w:r>
        <w:rPr>
          <w:rFonts w:hint="eastAsia"/>
        </w:rPr>
        <w:t>18</w:t>
      </w:r>
      <w:r>
        <w:rPr>
          <w:rFonts w:hint="eastAsia"/>
        </w:rPr>
        <w:t>歳未満」が平成</w:t>
      </w:r>
      <w:r>
        <w:rPr>
          <w:rFonts w:hint="eastAsia"/>
        </w:rPr>
        <w:t>30</w:t>
      </w:r>
      <w:r>
        <w:rPr>
          <w:rFonts w:hint="eastAsia"/>
        </w:rPr>
        <w:t>年度以降</w:t>
      </w:r>
      <w:r>
        <w:rPr>
          <w:rFonts w:hint="eastAsia"/>
        </w:rPr>
        <w:t>20</w:t>
      </w:r>
      <w:r>
        <w:rPr>
          <w:rFonts w:hint="eastAsia"/>
        </w:rPr>
        <w:t>人台で推移していますが、徐々に増える傾向にあり、令和４年度では</w:t>
      </w:r>
      <w:r>
        <w:rPr>
          <w:rFonts w:hint="eastAsia"/>
        </w:rPr>
        <w:t>37</w:t>
      </w:r>
      <w:r>
        <w:rPr>
          <w:rFonts w:hint="eastAsia"/>
        </w:rPr>
        <w:t>人となります。「</w:t>
      </w:r>
      <w:r>
        <w:rPr>
          <w:rFonts w:hint="eastAsia"/>
        </w:rPr>
        <w:t>18</w:t>
      </w:r>
      <w:r>
        <w:rPr>
          <w:rFonts w:hint="eastAsia"/>
        </w:rPr>
        <w:t>歳以上</w:t>
      </w:r>
      <w:r>
        <w:rPr>
          <w:rFonts w:hint="eastAsia"/>
        </w:rPr>
        <w:t>65</w:t>
      </w:r>
      <w:r>
        <w:rPr>
          <w:rFonts w:hint="eastAsia"/>
        </w:rPr>
        <w:t>歳未満」が毎年度最も多く、かつ増加傾向にあり、平成</w:t>
      </w:r>
      <w:r>
        <w:rPr>
          <w:rFonts w:hint="eastAsia"/>
        </w:rPr>
        <w:t>30</w:t>
      </w:r>
      <w:r>
        <w:rPr>
          <w:rFonts w:hint="eastAsia"/>
        </w:rPr>
        <w:t>年度の</w:t>
      </w:r>
      <w:r>
        <w:rPr>
          <w:rFonts w:hint="eastAsia"/>
        </w:rPr>
        <w:t>313</w:t>
      </w:r>
      <w:r>
        <w:rPr>
          <w:rFonts w:hint="eastAsia"/>
        </w:rPr>
        <w:t>人から令和４年度では</w:t>
      </w:r>
      <w:r>
        <w:rPr>
          <w:rFonts w:hint="eastAsia"/>
        </w:rPr>
        <w:t>375</w:t>
      </w:r>
      <w:r>
        <w:rPr>
          <w:rFonts w:hint="eastAsia"/>
        </w:rPr>
        <w:t>人と</w:t>
      </w:r>
      <w:r>
        <w:rPr>
          <w:rFonts w:hint="eastAsia"/>
        </w:rPr>
        <w:t>62</w:t>
      </w:r>
      <w:r>
        <w:rPr>
          <w:rFonts w:hint="eastAsia"/>
        </w:rPr>
        <w:t>人の増となり、「精神」の</w:t>
      </w:r>
      <w:r>
        <w:rPr>
          <w:rFonts w:hint="eastAsia"/>
        </w:rPr>
        <w:t>63.3</w:t>
      </w:r>
      <w:r>
        <w:rPr>
          <w:rFonts w:hint="eastAsia"/>
        </w:rPr>
        <w:t>％を占めます。「</w:t>
      </w:r>
      <w:r>
        <w:rPr>
          <w:rFonts w:hint="eastAsia"/>
        </w:rPr>
        <w:t>65</w:t>
      </w:r>
      <w:r>
        <w:rPr>
          <w:rFonts w:hint="eastAsia"/>
        </w:rPr>
        <w:t>歳以上」は平成</w:t>
      </w:r>
      <w:r>
        <w:rPr>
          <w:rFonts w:hint="eastAsia"/>
        </w:rPr>
        <w:t>30</w:t>
      </w:r>
      <w:r>
        <w:rPr>
          <w:rFonts w:hint="eastAsia"/>
        </w:rPr>
        <w:t>年度以降</w:t>
      </w:r>
      <w:r>
        <w:rPr>
          <w:rFonts w:hint="eastAsia"/>
        </w:rPr>
        <w:t>140</w:t>
      </w:r>
      <w:r>
        <w:rPr>
          <w:rFonts w:hint="eastAsia"/>
        </w:rPr>
        <w:t>人から</w:t>
      </w:r>
      <w:r>
        <w:rPr>
          <w:rFonts w:hint="eastAsia"/>
        </w:rPr>
        <w:t>180</w:t>
      </w:r>
      <w:r>
        <w:rPr>
          <w:rFonts w:hint="eastAsia"/>
        </w:rPr>
        <w:t>人で推移しています。</w:t>
      </w:r>
    </w:p>
    <w:p>
      <w:pPr>
        <w:pStyle w:val="61"/>
        <w:spacing w:line="0" w:lineRule="atLeast"/>
        <w:ind w:left="448" w:firstLine="164" w:firstLineChars="100"/>
        <w:rPr>
          <w:rFonts w:hint="default"/>
          <w:sz w:val="16"/>
        </w:rPr>
      </w:pPr>
    </w:p>
    <w:tbl>
      <w:tblPr>
        <w:tblStyle w:val="11"/>
        <w:tblW w:w="8879"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720"/>
        <w:gridCol w:w="2028"/>
        <w:gridCol w:w="711"/>
        <w:gridCol w:w="310"/>
        <w:gridCol w:w="1022"/>
        <w:gridCol w:w="1022"/>
        <w:gridCol w:w="968"/>
        <w:gridCol w:w="54"/>
        <w:gridCol w:w="1022"/>
        <w:gridCol w:w="1022"/>
      </w:tblGrid>
      <w:tr>
        <w:trPr/>
        <w:tc>
          <w:tcPr>
            <w:tcW w:w="3459" w:type="dxa"/>
            <w:gridSpan w:val="3"/>
            <w:tcBorders>
              <w:top w:val="nil"/>
              <w:left w:val="nil"/>
              <w:bottom w:val="single" w:color="auto" w:sz="4" w:space="0"/>
              <w:right w:val="nil"/>
              <w:tl2br w:val="none" w:color="auto" w:sz="0" w:space="0"/>
              <w:tr2bl w:val="none" w:color="auto" w:sz="0" w:space="0"/>
            </w:tcBorders>
            <w:shd w:val="clear" w:color="auto" w:fill="auto"/>
            <w:tcMar>
              <w:top w:w="0" w:type="dxa"/>
              <w:bottom w:w="0" w:type="dxa"/>
            </w:tcMar>
            <w:vAlign w:val="bottom"/>
          </w:tcPr>
          <w:p>
            <w:pPr>
              <w:pStyle w:val="46"/>
              <w:snapToGrid w:val="0"/>
              <w:spacing w:line="0" w:lineRule="atLeast"/>
              <w:ind w:left="-221"/>
              <w:rPr>
                <w:rFonts w:hint="default" w:ascii="ＭＳ ゴシック" w:hAnsi="ＭＳ ゴシック" w:eastAsia="ＭＳ ゴシック"/>
                <w:kern w:val="0"/>
              </w:rPr>
            </w:pPr>
            <w:r>
              <w:rPr>
                <w:rFonts w:hint="eastAsia" w:ascii="ＭＳ ゴシック" w:hAnsi="ＭＳ ゴシック" w:eastAsia="ＭＳ ゴシック"/>
                <w:sz w:val="21"/>
              </w:rPr>
              <w:t>【障がい者の年齢】</w:t>
            </w:r>
          </w:p>
        </w:tc>
        <w:tc>
          <w:tcPr>
            <w:tcW w:w="3322" w:type="dxa"/>
            <w:gridSpan w:val="4"/>
            <w:tcBorders>
              <w:top w:val="nil"/>
              <w:left w:val="nil"/>
              <w:bottom w:val="none" w:color="auto" w:sz="0" w:space="0"/>
              <w:right w:val="nil"/>
              <w:tl2br w:val="none" w:color="auto" w:sz="0" w:space="0"/>
              <w:tr2bl w:val="none" w:color="auto" w:sz="0" w:space="0"/>
            </w:tcBorders>
            <w:shd w:val="clear" w:color="auto" w:fill="auto"/>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098" w:type="dxa"/>
            <w:gridSpan w:val="3"/>
            <w:tcBorders>
              <w:top w:val="nil"/>
              <w:left w:val="nil"/>
              <w:bottom w:val="none" w:color="auto" w:sz="0" w:space="0"/>
              <w:right w:val="nil"/>
              <w:tl2br w:val="none" w:color="auto" w:sz="0" w:space="0"/>
              <w:tr2bl w:val="none" w:color="auto" w:sz="0" w:space="0"/>
            </w:tcBorders>
            <w:shd w:val="clear" w:color="auto" w:fill="auto"/>
            <w:tcMar>
              <w:top w:w="0" w:type="dxa"/>
              <w:bottom w:w="0" w:type="dxa"/>
            </w:tcMar>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rHeight w:val="163" w:hRule="atLeast"/>
        </w:trPr>
        <w:tc>
          <w:tcPr>
            <w:tcW w:w="2748" w:type="dxa"/>
            <w:gridSpan w:val="2"/>
            <w:vMerge w:val="restart"/>
            <w:shd w:val="clear" w:color="auto" w:themeFill="background1" w:themeFillTint="FF" w:themeFillShade="D9"/>
            <w:tcMar>
              <w:top w:w="28" w:type="dxa"/>
              <w:bottom w:w="28" w:type="dxa"/>
            </w:tcMar>
            <w:vAlign w:val="center"/>
          </w:tcPr>
          <w:p>
            <w:pPr>
              <w:pStyle w:val="39"/>
              <w:spacing w:before="37" w:beforeLines="0" w:beforeAutospacing="0" w:after="37" w:afterLines="0" w:afterAutospacing="0"/>
              <w:rPr>
                <w:rFonts w:hint="default" w:ascii="ＭＳ ゴシック" w:hAnsi="ＭＳ ゴシック" w:eastAsia="ＭＳ ゴシック"/>
                <w:w w:val="100"/>
                <w:sz w:val="20"/>
              </w:rPr>
            </w:pPr>
          </w:p>
        </w:tc>
        <w:tc>
          <w:tcPr>
            <w:tcW w:w="1021" w:type="dxa"/>
            <w:gridSpan w:val="2"/>
            <w:vMerge w:val="restart"/>
            <w:shd w:val="clear" w:color="auto" w:themeFill="background1" w:themeFillTint="FF" w:themeFillShade="D9"/>
            <w:tcMar>
              <w:top w:w="28" w:type="dxa"/>
              <w:bottom w:w="28" w:type="dxa"/>
            </w:tcMar>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default" w:ascii="ＭＳ ゴシック" w:hAnsi="ＭＳ ゴシック" w:eastAsia="ＭＳ ゴシック"/>
                <w:kern w:val="0"/>
                <w:sz w:val="20"/>
              </w:rPr>
              <w:t>平成</w:t>
            </w:r>
          </w:p>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default" w:ascii="ＭＳ ゴシック" w:hAnsi="ＭＳ ゴシック" w:eastAsia="ＭＳ ゴシック"/>
                <w:kern w:val="0"/>
                <w:sz w:val="20"/>
              </w:rPr>
              <w:t>30</w:t>
            </w:r>
            <w:r>
              <w:rPr>
                <w:rFonts w:hint="default" w:ascii="ＭＳ ゴシック" w:hAnsi="ＭＳ ゴシック" w:eastAsia="ＭＳ ゴシック"/>
                <w:kern w:val="0"/>
                <w:sz w:val="20"/>
              </w:rPr>
              <w:t>年度</w:t>
            </w:r>
          </w:p>
        </w:tc>
        <w:tc>
          <w:tcPr>
            <w:tcW w:w="1022" w:type="dxa"/>
            <w:vMerge w:val="restart"/>
            <w:shd w:val="clear" w:color="auto" w:themeFill="background1" w:themeFillTint="FF" w:themeFillShade="D9"/>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元年度</w:t>
            </w:r>
          </w:p>
        </w:tc>
        <w:tc>
          <w:tcPr>
            <w:tcW w:w="1022" w:type="dxa"/>
            <w:vMerge w:val="restart"/>
            <w:shd w:val="clear" w:color="auto" w:themeFill="background1" w:themeFillTint="FF" w:themeFillShade="D9"/>
            <w:tcMar>
              <w:top w:w="28" w:type="dxa"/>
              <w:bottom w:w="28" w:type="dxa"/>
            </w:tcMar>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２年度</w:t>
            </w:r>
          </w:p>
        </w:tc>
        <w:tc>
          <w:tcPr>
            <w:tcW w:w="1022" w:type="dxa"/>
            <w:gridSpan w:val="2"/>
            <w:vMerge w:val="restart"/>
            <w:shd w:val="clear" w:color="auto" w:themeFill="background1" w:themeFillTint="FF" w:themeFillShade="D9"/>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３年度</w:t>
            </w:r>
          </w:p>
        </w:tc>
        <w:tc>
          <w:tcPr>
            <w:tcW w:w="1022"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tcMar>
              <w:top w:w="28" w:type="dxa"/>
              <w:bottom w:w="28" w:type="dxa"/>
            </w:tcMar>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４年度</w:t>
            </w:r>
          </w:p>
        </w:tc>
        <w:tc>
          <w:tcPr>
            <w:tcW w:w="1022" w:type="dxa"/>
            <w:tcBorders>
              <w:top w:val="none" w:color="auto" w:sz="0" w:space="0"/>
              <w:left w:val="nil"/>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r>
      <w:tr>
        <w:trPr>
          <w:trHeight w:val="260" w:hRule="atLeast"/>
        </w:trPr>
        <w:tc>
          <w:tcPr>
            <w:tcW w:w="2748" w:type="dxa"/>
            <w:gridSpan w:val="2"/>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bottom w:w="28" w:type="dxa"/>
            </w:tcMar>
            <w:vAlign w:val="center"/>
          </w:tcPr>
          <w:p>
            <w:pPr>
              <w:pStyle w:val="39"/>
              <w:spacing w:before="37" w:beforeLines="0" w:beforeAutospacing="0" w:after="37" w:afterLines="0" w:afterAutospacing="0"/>
              <w:rPr>
                <w:rFonts w:hint="default" w:ascii="ＭＳ ゴシック" w:hAnsi="ＭＳ ゴシック" w:eastAsia="ＭＳ ゴシック"/>
                <w:w w:val="100"/>
                <w:sz w:val="20"/>
              </w:rPr>
            </w:pPr>
          </w:p>
        </w:tc>
        <w:tc>
          <w:tcPr>
            <w:tcW w:w="1021" w:type="dxa"/>
            <w:gridSpan w:val="2"/>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bottom w:w="28" w:type="dxa"/>
            </w:tcMar>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22"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22"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bottom w:w="28" w:type="dxa"/>
            </w:tcMar>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22" w:type="dxa"/>
            <w:gridSpan w:val="2"/>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22" w:type="dxa"/>
            <w:vMerge w:val="continue"/>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D9"/>
            <w:tcMar>
              <w:top w:w="28" w:type="dxa"/>
              <w:bottom w:w="28" w:type="dxa"/>
            </w:tcMar>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2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r>
              <w:rPr>
                <w:rFonts w:hint="default" w:ascii="ＭＳ ゴシック" w:hAnsi="ＭＳ ゴシック" w:eastAsia="ＭＳ ゴシック"/>
                <w:kern w:val="0"/>
                <w:sz w:val="20"/>
              </w:rPr>
              <w:t>構成比</w:t>
            </w:r>
          </w:p>
        </w:tc>
      </w:tr>
      <w:tr>
        <w:trPr/>
        <w:tc>
          <w:tcPr>
            <w:tcW w:w="720"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身体</w:t>
            </w:r>
          </w:p>
        </w:tc>
        <w:tc>
          <w:tcPr>
            <w:tcW w:w="2028"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18</w:t>
            </w:r>
            <w:r>
              <w:rPr>
                <w:rFonts w:hint="eastAsia" w:ascii="ＭＳ ゴシック" w:hAnsi="ＭＳ ゴシック" w:eastAsia="ＭＳ ゴシック"/>
                <w:w w:val="100"/>
                <w:sz w:val="20"/>
              </w:rPr>
              <w:t>歳未満</w:t>
            </w:r>
          </w:p>
        </w:tc>
        <w:tc>
          <w:tcPr>
            <w:tcW w:w="1021"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50</w:t>
            </w:r>
          </w:p>
        </w:tc>
        <w:tc>
          <w:tcPr>
            <w:tcW w:w="102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51</w:t>
            </w:r>
          </w:p>
        </w:tc>
        <w:tc>
          <w:tcPr>
            <w:tcW w:w="102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45</w:t>
            </w:r>
          </w:p>
        </w:tc>
        <w:tc>
          <w:tcPr>
            <w:tcW w:w="1022"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49</w:t>
            </w:r>
          </w:p>
        </w:tc>
        <w:tc>
          <w:tcPr>
            <w:tcW w:w="102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50</w:t>
            </w:r>
          </w:p>
        </w:tc>
        <w:tc>
          <w:tcPr>
            <w:tcW w:w="102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3.3</w:t>
            </w:r>
          </w:p>
        </w:tc>
      </w:tr>
      <w:tr>
        <w:trPr/>
        <w:tc>
          <w:tcPr>
            <w:tcW w:w="720" w:type="dxa"/>
            <w:vMerge w:val="continue"/>
            <w:shd w:val="clear" w:color="auto" w:fill="auto"/>
            <w:tcMar>
              <w:top w:w="28" w:type="dxa"/>
              <w:bottom w:w="28" w:type="dxa"/>
            </w:tcMar>
            <w:vAlign w:val="center"/>
          </w:tcPr>
          <w:p>
            <w:pPr>
              <w:pStyle w:val="39"/>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18</w:t>
            </w:r>
            <w:r>
              <w:rPr>
                <w:rFonts w:hint="eastAsia" w:ascii="ＭＳ ゴシック" w:hAnsi="ＭＳ ゴシック" w:eastAsia="ＭＳ ゴシック"/>
                <w:w w:val="100"/>
                <w:sz w:val="20"/>
              </w:rPr>
              <w:t>歳以上</w:t>
            </w:r>
            <w:r>
              <w:rPr>
                <w:rFonts w:hint="eastAsia" w:ascii="ＭＳ ゴシック" w:hAnsi="ＭＳ ゴシック" w:eastAsia="ＭＳ ゴシック"/>
                <w:w w:val="100"/>
                <w:sz w:val="20"/>
              </w:rPr>
              <w:t>65</w:t>
            </w:r>
            <w:r>
              <w:rPr>
                <w:rFonts w:hint="eastAsia" w:ascii="ＭＳ ゴシック" w:hAnsi="ＭＳ ゴシック" w:eastAsia="ＭＳ ゴシック"/>
                <w:w w:val="100"/>
                <w:sz w:val="20"/>
              </w:rPr>
              <w:t>歳未満</w:t>
            </w:r>
          </w:p>
        </w:tc>
        <w:tc>
          <w:tcPr>
            <w:tcW w:w="102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482</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474</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471</w:t>
            </w:r>
          </w:p>
        </w:tc>
        <w:tc>
          <w:tcPr>
            <w:tcW w:w="1022"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470</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457</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30.2</w:t>
            </w:r>
          </w:p>
        </w:tc>
      </w:tr>
      <w:tr>
        <w:trPr/>
        <w:tc>
          <w:tcPr>
            <w:tcW w:w="720" w:type="dxa"/>
            <w:vMerge w:val="continue"/>
            <w:shd w:val="clear" w:color="auto" w:fill="auto"/>
            <w:tcMar>
              <w:top w:w="28" w:type="dxa"/>
              <w:bottom w:w="28" w:type="dxa"/>
            </w:tcMar>
            <w:vAlign w:val="center"/>
          </w:tcPr>
          <w:p>
            <w:pPr>
              <w:pStyle w:val="39"/>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65</w:t>
            </w:r>
            <w:r>
              <w:rPr>
                <w:rFonts w:hint="eastAsia" w:ascii="ＭＳ ゴシック" w:hAnsi="ＭＳ ゴシック" w:eastAsia="ＭＳ ゴシック"/>
                <w:w w:val="100"/>
                <w:sz w:val="20"/>
              </w:rPr>
              <w:t>歳以上</w:t>
            </w:r>
          </w:p>
        </w:tc>
        <w:tc>
          <w:tcPr>
            <w:tcW w:w="1021" w:type="dxa"/>
            <w:gridSpan w:val="2"/>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859</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912</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932</w:t>
            </w:r>
          </w:p>
        </w:tc>
        <w:tc>
          <w:tcPr>
            <w:tcW w:w="1022" w:type="dxa"/>
            <w:gridSpan w:val="2"/>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963</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1,006</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66.5</w:t>
            </w:r>
          </w:p>
        </w:tc>
      </w:tr>
      <w:tr>
        <w:trPr/>
        <w:tc>
          <w:tcPr>
            <w:tcW w:w="720"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sing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021" w:type="dxa"/>
            <w:gridSpan w:val="2"/>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1,391</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1,437</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1,448</w:t>
            </w:r>
          </w:p>
        </w:tc>
        <w:tc>
          <w:tcPr>
            <w:tcW w:w="1022" w:type="dxa"/>
            <w:gridSpan w:val="2"/>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1,482</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1,513</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r>
      <w:tr>
        <w:trPr/>
        <w:tc>
          <w:tcPr>
            <w:tcW w:w="720"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知的</w:t>
            </w:r>
          </w:p>
        </w:tc>
        <w:tc>
          <w:tcPr>
            <w:tcW w:w="2028" w:type="dxa"/>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18</w:t>
            </w:r>
            <w:r>
              <w:rPr>
                <w:rFonts w:hint="eastAsia" w:ascii="ＭＳ ゴシック" w:hAnsi="ＭＳ ゴシック" w:eastAsia="ＭＳ ゴシック"/>
                <w:w w:val="100"/>
                <w:sz w:val="20"/>
              </w:rPr>
              <w:t>歳未満</w:t>
            </w:r>
          </w:p>
        </w:tc>
        <w:tc>
          <w:tcPr>
            <w:tcW w:w="1021" w:type="dxa"/>
            <w:gridSpan w:val="2"/>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123</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125</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143</w:t>
            </w:r>
          </w:p>
        </w:tc>
        <w:tc>
          <w:tcPr>
            <w:tcW w:w="1022" w:type="dxa"/>
            <w:gridSpan w:val="2"/>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153</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160</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30.7</w:t>
            </w:r>
          </w:p>
        </w:tc>
      </w:tr>
      <w:tr>
        <w:trPr/>
        <w:tc>
          <w:tcPr>
            <w:tcW w:w="720" w:type="dxa"/>
            <w:vMerge w:val="continue"/>
            <w:shd w:val="clear" w:color="auto" w:fill="auto"/>
            <w:tcMar>
              <w:top w:w="28" w:type="dxa"/>
              <w:bottom w:w="28" w:type="dxa"/>
            </w:tcMar>
            <w:vAlign w:val="center"/>
          </w:tcPr>
          <w:p>
            <w:pPr>
              <w:pStyle w:val="39"/>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18</w:t>
            </w:r>
            <w:r>
              <w:rPr>
                <w:rFonts w:hint="eastAsia" w:ascii="ＭＳ ゴシック" w:hAnsi="ＭＳ ゴシック" w:eastAsia="ＭＳ ゴシック"/>
                <w:w w:val="100"/>
                <w:sz w:val="20"/>
              </w:rPr>
              <w:t>歳以上</w:t>
            </w:r>
            <w:r>
              <w:rPr>
                <w:rFonts w:hint="eastAsia" w:ascii="ＭＳ ゴシック" w:hAnsi="ＭＳ ゴシック" w:eastAsia="ＭＳ ゴシック"/>
                <w:w w:val="100"/>
                <w:sz w:val="20"/>
              </w:rPr>
              <w:t>65</w:t>
            </w:r>
            <w:r>
              <w:rPr>
                <w:rFonts w:hint="eastAsia" w:ascii="ＭＳ ゴシック" w:hAnsi="ＭＳ ゴシック" w:eastAsia="ＭＳ ゴシック"/>
                <w:w w:val="100"/>
                <w:sz w:val="20"/>
              </w:rPr>
              <w:t>歳未満</w:t>
            </w:r>
          </w:p>
        </w:tc>
        <w:tc>
          <w:tcPr>
            <w:tcW w:w="102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302</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324</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300</w:t>
            </w:r>
          </w:p>
        </w:tc>
        <w:tc>
          <w:tcPr>
            <w:tcW w:w="1022"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312</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324</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62.2</w:t>
            </w:r>
          </w:p>
        </w:tc>
      </w:tr>
      <w:tr>
        <w:trPr/>
        <w:tc>
          <w:tcPr>
            <w:tcW w:w="720" w:type="dxa"/>
            <w:vMerge w:val="continue"/>
            <w:shd w:val="clear" w:color="auto" w:fill="auto"/>
            <w:tcMar>
              <w:top w:w="28" w:type="dxa"/>
              <w:bottom w:w="28" w:type="dxa"/>
            </w:tcMar>
            <w:vAlign w:val="center"/>
          </w:tcPr>
          <w:p>
            <w:pPr>
              <w:pStyle w:val="39"/>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65</w:t>
            </w:r>
            <w:r>
              <w:rPr>
                <w:rFonts w:hint="eastAsia" w:ascii="ＭＳ ゴシック" w:hAnsi="ＭＳ ゴシック" w:eastAsia="ＭＳ ゴシック"/>
                <w:w w:val="100"/>
                <w:sz w:val="20"/>
              </w:rPr>
              <w:t>歳以上</w:t>
            </w:r>
          </w:p>
        </w:tc>
        <w:tc>
          <w:tcPr>
            <w:tcW w:w="1021" w:type="dxa"/>
            <w:gridSpan w:val="2"/>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022" w:type="dxa"/>
            <w:gridSpan w:val="2"/>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7.1</w:t>
            </w:r>
          </w:p>
        </w:tc>
      </w:tr>
      <w:tr>
        <w:trPr/>
        <w:tc>
          <w:tcPr>
            <w:tcW w:w="720"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sing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021" w:type="dxa"/>
            <w:gridSpan w:val="2"/>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443</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469</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472</w:t>
            </w:r>
          </w:p>
        </w:tc>
        <w:tc>
          <w:tcPr>
            <w:tcW w:w="1022" w:type="dxa"/>
            <w:gridSpan w:val="2"/>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496</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521</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r>
      <w:tr>
        <w:trPr/>
        <w:tc>
          <w:tcPr>
            <w:tcW w:w="720"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精神</w:t>
            </w:r>
          </w:p>
        </w:tc>
        <w:tc>
          <w:tcPr>
            <w:tcW w:w="2028" w:type="dxa"/>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18</w:t>
            </w:r>
            <w:r>
              <w:rPr>
                <w:rFonts w:hint="eastAsia" w:ascii="ＭＳ ゴシック" w:hAnsi="ＭＳ ゴシック" w:eastAsia="ＭＳ ゴシック"/>
                <w:w w:val="100"/>
                <w:sz w:val="20"/>
              </w:rPr>
              <w:t>歳未満</w:t>
            </w:r>
          </w:p>
        </w:tc>
        <w:tc>
          <w:tcPr>
            <w:tcW w:w="1021" w:type="dxa"/>
            <w:gridSpan w:val="2"/>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022" w:type="dxa"/>
            <w:gridSpan w:val="2"/>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6.3</w:t>
            </w:r>
          </w:p>
        </w:tc>
      </w:tr>
      <w:tr>
        <w:trPr/>
        <w:tc>
          <w:tcPr>
            <w:tcW w:w="720" w:type="dxa"/>
            <w:vMerge w:val="continue"/>
            <w:shd w:val="clear" w:color="auto" w:fill="auto"/>
            <w:tcMar>
              <w:top w:w="28" w:type="dxa"/>
              <w:bottom w:w="28" w:type="dxa"/>
            </w:tcMar>
            <w:vAlign w:val="center"/>
          </w:tcPr>
          <w:p>
            <w:pPr>
              <w:pStyle w:val="39"/>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18</w:t>
            </w:r>
            <w:r>
              <w:rPr>
                <w:rFonts w:hint="eastAsia" w:ascii="ＭＳ ゴシック" w:hAnsi="ＭＳ ゴシック" w:eastAsia="ＭＳ ゴシック"/>
                <w:w w:val="100"/>
                <w:sz w:val="20"/>
              </w:rPr>
              <w:t>歳以上</w:t>
            </w:r>
            <w:r>
              <w:rPr>
                <w:rFonts w:hint="eastAsia" w:ascii="ＭＳ ゴシック" w:hAnsi="ＭＳ ゴシック" w:eastAsia="ＭＳ ゴシック"/>
                <w:w w:val="100"/>
                <w:sz w:val="20"/>
              </w:rPr>
              <w:t>65</w:t>
            </w:r>
            <w:r>
              <w:rPr>
                <w:rFonts w:hint="eastAsia" w:ascii="ＭＳ ゴシック" w:hAnsi="ＭＳ ゴシック" w:eastAsia="ＭＳ ゴシック"/>
                <w:w w:val="100"/>
                <w:sz w:val="20"/>
              </w:rPr>
              <w:t>歳未満</w:t>
            </w:r>
          </w:p>
        </w:tc>
        <w:tc>
          <w:tcPr>
            <w:tcW w:w="102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313</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326</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332</w:t>
            </w:r>
          </w:p>
        </w:tc>
        <w:tc>
          <w:tcPr>
            <w:tcW w:w="1022"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373</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375</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63.3</w:t>
            </w:r>
          </w:p>
        </w:tc>
      </w:tr>
      <w:tr>
        <w:trPr/>
        <w:tc>
          <w:tcPr>
            <w:tcW w:w="720" w:type="dxa"/>
            <w:vMerge w:val="continue"/>
            <w:shd w:val="clear" w:color="auto" w:fill="auto"/>
            <w:tcMar>
              <w:top w:w="28" w:type="dxa"/>
              <w:bottom w:w="28" w:type="dxa"/>
            </w:tcMar>
            <w:vAlign w:val="center"/>
          </w:tcPr>
          <w:p>
            <w:pPr>
              <w:pStyle w:val="39"/>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65</w:t>
            </w:r>
            <w:r>
              <w:rPr>
                <w:rFonts w:hint="eastAsia" w:ascii="ＭＳ ゴシック" w:hAnsi="ＭＳ ゴシック" w:eastAsia="ＭＳ ゴシック"/>
                <w:w w:val="100"/>
                <w:sz w:val="20"/>
              </w:rPr>
              <w:t>歳以上</w:t>
            </w:r>
          </w:p>
        </w:tc>
        <w:tc>
          <w:tcPr>
            <w:tcW w:w="1021" w:type="dxa"/>
            <w:gridSpan w:val="2"/>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150</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140</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170</w:t>
            </w:r>
          </w:p>
        </w:tc>
        <w:tc>
          <w:tcPr>
            <w:tcW w:w="1022" w:type="dxa"/>
            <w:gridSpan w:val="2"/>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168</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180</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30.4</w:t>
            </w:r>
          </w:p>
        </w:tc>
      </w:tr>
      <w:tr>
        <w:trPr/>
        <w:tc>
          <w:tcPr>
            <w:tcW w:w="72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021" w:type="dxa"/>
            <w:gridSpan w:val="2"/>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483</w:t>
            </w:r>
          </w:p>
        </w:tc>
        <w:tc>
          <w:tcPr>
            <w:tcW w:w="1022" w:type="dxa"/>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491</w:t>
            </w:r>
          </w:p>
        </w:tc>
        <w:tc>
          <w:tcPr>
            <w:tcW w:w="1022" w:type="dxa"/>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523</w:t>
            </w:r>
          </w:p>
        </w:tc>
        <w:tc>
          <w:tcPr>
            <w:tcW w:w="1022" w:type="dxa"/>
            <w:gridSpan w:val="2"/>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568</w:t>
            </w:r>
          </w:p>
        </w:tc>
        <w:tc>
          <w:tcPr>
            <w:tcW w:w="1022" w:type="dxa"/>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592</w:t>
            </w:r>
          </w:p>
        </w:tc>
        <w:tc>
          <w:tcPr>
            <w:tcW w:w="1022" w:type="dxa"/>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r>
    </w:tbl>
    <w:p>
      <w:pPr>
        <w:pStyle w:val="62"/>
        <w:spacing w:before="37" w:beforeLines="0" w:beforeAutospacing="0" w:after="0" w:afterLines="0" w:afterAutospacing="0"/>
        <w:ind w:left="1172"/>
        <w:rPr>
          <w:rFonts w:hint="default"/>
        </w:rPr>
      </w:pPr>
      <w:r>
        <w:rPr>
          <w:rFonts w:hint="eastAsia"/>
        </w:rPr>
        <w:t>資料：保健福祉課（各年度末現在）</w:t>
      </w:r>
    </w:p>
    <w:p>
      <w:pPr>
        <w:pStyle w:val="61"/>
        <w:ind w:left="448" w:firstLine="214" w:firstLineChars="100"/>
        <w:rPr>
          <w:rFonts w:hint="default"/>
        </w:rPr>
      </w:pPr>
    </w:p>
    <w:p>
      <w:pPr>
        <w:pStyle w:val="0"/>
        <w:widowControl w:val="1"/>
        <w:jc w:val="left"/>
        <w:rPr>
          <w:rFonts w:hint="default" w:ascii="ＭＳ ゴシック" w:hAnsi="ＭＳ ゴシック" w:eastAsia="ＭＳ ゴシック"/>
        </w:rPr>
      </w:pPr>
      <w:r>
        <w:rPr>
          <w:rFonts w:hint="default"/>
        </w:rPr>
        <w:br w:type="page"/>
      </w:r>
    </w:p>
    <w:p>
      <w:pPr>
        <w:pStyle w:val="60"/>
        <w:spacing w:after="74" w:afterLines="0" w:afterAutospacing="0"/>
        <w:ind w:left="112"/>
        <w:rPr>
          <w:rFonts w:hint="default"/>
          <w:u w:val="single" w:color="auto"/>
        </w:rPr>
      </w:pPr>
      <w:r>
        <w:rPr>
          <w:rFonts w:hint="eastAsia"/>
        </w:rPr>
        <w:t>（３）</w:t>
      </w:r>
      <w:r>
        <w:rPr>
          <w:rFonts w:hint="eastAsia"/>
          <w:u w:val="single" w:color="auto"/>
        </w:rPr>
        <w:t>身体障がいの内訳</w:t>
      </w:r>
    </w:p>
    <w:p>
      <w:pPr>
        <w:pStyle w:val="61"/>
        <w:ind w:left="448" w:firstLine="210" w:firstLineChars="100"/>
        <w:rPr>
          <w:rFonts w:hint="default"/>
          <w:spacing w:val="-2"/>
        </w:rPr>
      </w:pPr>
      <w:r>
        <w:rPr>
          <w:rFonts w:hint="default"/>
          <w:spacing w:val="-2"/>
        </w:rPr>
        <w:t>身体障がいの内訳</w:t>
      </w:r>
      <w:r>
        <w:rPr>
          <w:rFonts w:hint="eastAsia"/>
          <w:spacing w:val="-2"/>
        </w:rPr>
        <w:t>をみると</w:t>
      </w:r>
      <w:r>
        <w:rPr>
          <w:rFonts w:hint="default"/>
          <w:spacing w:val="-2"/>
        </w:rPr>
        <w:t>、「肢体不自由」と「内部疾患」が多く、「肢体不自由」</w:t>
      </w:r>
      <w:r>
        <w:rPr>
          <w:rFonts w:hint="eastAsia"/>
          <w:spacing w:val="-2"/>
        </w:rPr>
        <w:t>は令和２年度に減少しましたが、</w:t>
      </w:r>
      <w:r>
        <w:rPr>
          <w:rFonts w:hint="default"/>
          <w:spacing w:val="-2"/>
        </w:rPr>
        <w:t>いずれも</w:t>
      </w:r>
      <w:r>
        <w:rPr>
          <w:rFonts w:hint="eastAsia"/>
          <w:spacing w:val="-2"/>
        </w:rPr>
        <w:t>毎年度</w:t>
      </w:r>
      <w:r>
        <w:rPr>
          <w:rFonts w:hint="default"/>
          <w:spacing w:val="-2"/>
        </w:rPr>
        <w:t>増加</w:t>
      </w:r>
      <w:r>
        <w:rPr>
          <w:rFonts w:hint="eastAsia"/>
          <w:spacing w:val="-2"/>
        </w:rPr>
        <w:t>しており、令和４年度では、「肢体不自由」が</w:t>
      </w:r>
      <w:r>
        <w:rPr>
          <w:rFonts w:hint="default"/>
          <w:spacing w:val="-2"/>
        </w:rPr>
        <w:t>553</w:t>
      </w:r>
      <w:r>
        <w:rPr>
          <w:rFonts w:hint="eastAsia"/>
          <w:spacing w:val="-2"/>
        </w:rPr>
        <w:t>人、「内部疾患」が</w:t>
      </w:r>
      <w:r>
        <w:rPr>
          <w:rFonts w:hint="default"/>
          <w:spacing w:val="-2"/>
        </w:rPr>
        <w:t>656</w:t>
      </w:r>
      <w:r>
        <w:rPr>
          <w:rFonts w:hint="eastAsia"/>
          <w:spacing w:val="-2"/>
        </w:rPr>
        <w:t>人で、この２つの障がいで全体の</w:t>
      </w:r>
      <w:r>
        <w:rPr>
          <w:rFonts w:hint="eastAsia"/>
          <w:spacing w:val="-2"/>
        </w:rPr>
        <w:t>79.9</w:t>
      </w:r>
      <w:r>
        <w:rPr>
          <w:rFonts w:hint="eastAsia"/>
          <w:spacing w:val="-2"/>
        </w:rPr>
        <w:t>％を占めます。</w:t>
      </w:r>
    </w:p>
    <w:p>
      <w:pPr>
        <w:pStyle w:val="61"/>
        <w:ind w:left="448" w:firstLine="210" w:firstLineChars="100"/>
        <w:rPr>
          <w:rFonts w:hint="default"/>
          <w:spacing w:val="-2"/>
        </w:rPr>
      </w:pPr>
      <w:r>
        <w:rPr>
          <w:rFonts w:hint="default"/>
          <w:spacing w:val="-2"/>
        </w:rPr>
        <w:t>「視覚障害」</w:t>
      </w:r>
      <w:r>
        <w:rPr>
          <w:rFonts w:hint="eastAsia"/>
          <w:spacing w:val="-2"/>
        </w:rPr>
        <w:t>のみ増加傾向にあり、そのほかの障がいでは横ばいか減少傾向にあります。</w:t>
      </w:r>
    </w:p>
    <w:p>
      <w:pPr>
        <w:pStyle w:val="61"/>
        <w:spacing w:line="0" w:lineRule="atLeast"/>
        <w:ind w:left="448" w:firstLine="164" w:firstLineChars="100"/>
        <w:rPr>
          <w:rFonts w:hint="default"/>
          <w:sz w:val="16"/>
        </w:rPr>
      </w:pPr>
    </w:p>
    <w:tbl>
      <w:tblPr>
        <w:tblStyle w:val="11"/>
        <w:tblW w:w="9043" w:type="dxa"/>
        <w:tblInd w:w="567" w:type="dxa"/>
        <w:tblLayout w:type="fixed"/>
        <w:tblCellMar>
          <w:top w:w="28" w:type="dxa"/>
          <w:bottom w:w="28" w:type="dxa"/>
        </w:tblCellMar>
        <w:tblLook w:firstRow="0" w:lastRow="0" w:firstColumn="0" w:lastColumn="0" w:noHBand="0" w:noVBand="0" w:val="0000"/>
      </w:tblPr>
      <w:tblGrid>
        <w:gridCol w:w="2268"/>
        <w:gridCol w:w="921"/>
        <w:gridCol w:w="457"/>
        <w:gridCol w:w="465"/>
        <w:gridCol w:w="756"/>
        <w:gridCol w:w="756"/>
        <w:gridCol w:w="756"/>
        <w:gridCol w:w="383"/>
        <w:gridCol w:w="326"/>
        <w:gridCol w:w="977"/>
        <w:gridCol w:w="978"/>
      </w:tblGrid>
      <w:tr>
        <w:trPr/>
        <w:tc>
          <w:tcPr>
            <w:tcW w:w="3646" w:type="dxa"/>
            <w:gridSpan w:val="3"/>
            <w:vAlign w:val="bottom"/>
          </w:tcPr>
          <w:p>
            <w:pPr>
              <w:pStyle w:val="46"/>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【身体障がいの内訳】</w:t>
            </w:r>
          </w:p>
        </w:tc>
        <w:tc>
          <w:tcPr>
            <w:tcW w:w="3116" w:type="dxa"/>
            <w:gridSpan w:val="5"/>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281" w:type="dxa"/>
            <w:gridSpan w:val="3"/>
            <w:tcMar>
              <w:top w:w="0" w:type="dxa"/>
              <w:bottom w:w="0" w:type="dxa"/>
            </w:tcMar>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2268"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921" w:type="dxa"/>
            <w:vMerge w:val="restart"/>
            <w:tcBorders>
              <w:top w:val="single" w:color="000000" w:sz="4" w:space="0"/>
              <w:left w:val="single" w:color="000000" w:sz="4" w:space="0"/>
              <w:bottom w:val="none" w:color="auto" w:sz="0"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平成</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年度</w:t>
            </w:r>
          </w:p>
        </w:tc>
        <w:tc>
          <w:tcPr>
            <w:tcW w:w="922" w:type="dxa"/>
            <w:gridSpan w:val="2"/>
            <w:vMerge w:val="restart"/>
            <w:tcBorders>
              <w:top w:val="single" w:color="000000" w:sz="4"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元年度</w:t>
            </w:r>
          </w:p>
        </w:tc>
        <w:tc>
          <w:tcPr>
            <w:tcW w:w="756"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２年度</w:t>
            </w:r>
          </w:p>
        </w:tc>
        <w:tc>
          <w:tcPr>
            <w:tcW w:w="756"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３年度</w:t>
            </w:r>
          </w:p>
        </w:tc>
        <w:tc>
          <w:tcPr>
            <w:tcW w:w="756"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４年度</w:t>
            </w:r>
          </w:p>
        </w:tc>
        <w:tc>
          <w:tcPr>
            <w:tcW w:w="709" w:type="dxa"/>
            <w:gridSpan w:val="2"/>
            <w:tcBorders>
              <w:top w:val="single" w:color="000000" w:sz="4" w:space="0"/>
              <w:left w:val="none" w:color="auto" w:sz="0" w:space="0"/>
              <w:bottom w:val="single" w:color="000000" w:sz="4" w:space="0"/>
              <w:right w:val="single" w:color="000000" w:sz="12"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77" w:type="dxa"/>
            <w:vMerge w:val="restart"/>
            <w:tcBorders>
              <w:top w:val="single" w:color="000000" w:sz="4" w:space="0"/>
              <w:left w:val="single" w:color="000000" w:sz="12"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4"/>
                <w:w w:val="90"/>
                <w:kern w:val="0"/>
                <w:sz w:val="20"/>
              </w:rPr>
            </w:pPr>
            <w:r>
              <w:rPr>
                <w:rFonts w:hint="eastAsia" w:ascii="ＭＳ ゴシック" w:hAnsi="ＭＳ ゴシック" w:eastAsia="ＭＳ ゴシック"/>
                <w:spacing w:val="-6"/>
                <w:w w:val="95"/>
                <w:kern w:val="0"/>
                <w:sz w:val="20"/>
              </w:rPr>
              <w:t>増減</w:t>
            </w:r>
          </w:p>
        </w:tc>
        <w:tc>
          <w:tcPr>
            <w:tcW w:w="978" w:type="dxa"/>
            <w:vMerge w:val="restart"/>
            <w:tcBorders>
              <w:top w:val="single" w:color="000000" w:sz="4" w:space="0"/>
              <w:left w:val="single" w:color="auto" w:sz="4" w:space="0"/>
              <w:bottom w:val="none" w:color="auto" w:sz="0"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4"/>
                <w:w w:val="90"/>
                <w:kern w:val="0"/>
                <w:sz w:val="20"/>
              </w:rPr>
            </w:pPr>
            <w:r>
              <w:rPr>
                <w:rFonts w:hint="eastAsia" w:ascii="ＭＳ ゴシック" w:hAnsi="ＭＳ ゴシック" w:eastAsia="ＭＳ ゴシック"/>
                <w:spacing w:val="-6"/>
                <w:w w:val="95"/>
                <w:kern w:val="0"/>
                <w:sz w:val="20"/>
              </w:rPr>
              <w:t>伸び率</w:t>
            </w:r>
          </w:p>
        </w:tc>
      </w:tr>
      <w:tr>
        <w:trPr/>
        <w:tc>
          <w:tcPr>
            <w:tcW w:w="2268"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921" w:type="dxa"/>
            <w:vMerge w:val="continue"/>
            <w:tcBorders>
              <w:top w:val="none" w:color="auto" w:sz="0"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22" w:type="dxa"/>
            <w:gridSpan w:val="2"/>
            <w:vMerge w:val="continue"/>
            <w:tcBorders>
              <w:top w:val="none" w:color="auto" w:sz="0" w:space="0"/>
              <w:left w:val="single" w:color="auto"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756"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756"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756"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構成比</w:t>
            </w:r>
          </w:p>
        </w:tc>
        <w:tc>
          <w:tcPr>
            <w:tcW w:w="977" w:type="dxa"/>
            <w:vMerge w:val="continue"/>
            <w:tcBorders>
              <w:top w:val="none" w:color="auto" w:sz="0" w:space="0"/>
              <w:left w:val="single" w:color="000000" w:sz="12"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78" w:type="dxa"/>
            <w:vMerge w:val="continue"/>
            <w:tcBorders>
              <w:top w:val="none" w:color="auto" w:sz="0" w:space="0"/>
              <w:left w:val="single" w:color="auto"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視覚障害</w:t>
            </w:r>
          </w:p>
        </w:tc>
        <w:tc>
          <w:tcPr>
            <w:tcW w:w="921"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110</w:t>
            </w:r>
          </w:p>
        </w:tc>
        <w:tc>
          <w:tcPr>
            <w:tcW w:w="9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117</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118</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123</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124</w:t>
            </w: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8.2</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14</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12.7</w:t>
            </w: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聴覚障害</w:t>
            </w:r>
          </w:p>
        </w:tc>
        <w:tc>
          <w:tcPr>
            <w:tcW w:w="921"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151</w:t>
            </w:r>
          </w:p>
        </w:tc>
        <w:tc>
          <w:tcPr>
            <w:tcW w:w="9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159</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158</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165</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168</w:t>
            </w: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11.1</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17</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11.3</w:t>
            </w: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平行機能障害</w:t>
            </w:r>
          </w:p>
        </w:tc>
        <w:tc>
          <w:tcPr>
            <w:tcW w:w="921"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w:t>
            </w:r>
          </w:p>
        </w:tc>
        <w:tc>
          <w:tcPr>
            <w:tcW w:w="9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w:t>
            </w: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0.1</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0.0</w:t>
            </w: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39"/>
              <w:spacing w:before="0" w:beforeLines="0" w:beforeAutospacing="0" w:after="0" w:afterLines="0" w:afterAutospacing="0"/>
              <w:jc w:val="both"/>
              <w:rPr>
                <w:rFonts w:hint="default" w:ascii="ＭＳ ゴシック" w:hAnsi="ＭＳ ゴシック" w:eastAsia="ＭＳ ゴシック"/>
                <w:spacing w:val="-8"/>
                <w:w w:val="85"/>
                <w:sz w:val="20"/>
              </w:rPr>
            </w:pPr>
            <w:r>
              <w:rPr>
                <w:rFonts w:hint="default" w:ascii="ＭＳ ゴシック" w:hAnsi="ＭＳ ゴシック" w:eastAsia="ＭＳ ゴシック"/>
                <w:spacing w:val="-8"/>
                <w:w w:val="85"/>
                <w:sz w:val="20"/>
              </w:rPr>
              <w:t>音声･言語･そしゃく機能障害</w:t>
            </w:r>
          </w:p>
        </w:tc>
        <w:tc>
          <w:tcPr>
            <w:tcW w:w="921"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13</w:t>
            </w:r>
          </w:p>
        </w:tc>
        <w:tc>
          <w:tcPr>
            <w:tcW w:w="9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12</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11</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11</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11</w:t>
            </w: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0.7</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-15.4</w:t>
            </w: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肢体不自由</w:t>
            </w:r>
          </w:p>
        </w:tc>
        <w:tc>
          <w:tcPr>
            <w:tcW w:w="921"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523</w:t>
            </w:r>
          </w:p>
        </w:tc>
        <w:tc>
          <w:tcPr>
            <w:tcW w:w="9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540</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536</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548</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553</w:t>
            </w: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36.5</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30</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5.7</w:t>
            </w:r>
          </w:p>
        </w:tc>
      </w:tr>
      <w:tr>
        <w:trPr/>
        <w:tc>
          <w:tcPr>
            <w:tcW w:w="2268" w:type="dxa"/>
            <w:tcBorders>
              <w:top w:val="none" w:color="auto" w:sz="0" w:space="0"/>
              <w:left w:val="single" w:color="000000" w:sz="4" w:space="0"/>
              <w:bottom w:val="none" w:color="auto" w:sz="0" w:space="0"/>
              <w:right w:val="none" w:color="auto" w:sz="0" w:space="0"/>
              <w:tl2br w:val="none" w:color="auto" w:sz="0" w:space="0"/>
              <w:tr2bl w:val="none" w:color="auto" w:sz="0" w:space="0"/>
            </w:tcBorders>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default" w:ascii="ＭＳ ゴシック" w:hAnsi="ＭＳ ゴシック" w:eastAsia="ＭＳ ゴシック"/>
                <w:w w:val="100"/>
                <w:sz w:val="20"/>
              </w:rPr>
              <w:t>内部疾患</w:t>
            </w:r>
          </w:p>
        </w:tc>
        <w:tc>
          <w:tcPr>
            <w:tcW w:w="921"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593</w:t>
            </w:r>
          </w:p>
        </w:tc>
        <w:tc>
          <w:tcPr>
            <w:tcW w:w="922" w:type="dxa"/>
            <w:gridSpan w:val="2"/>
            <w:tcBorders>
              <w:top w:val="single" w:color="000000" w:sz="4" w:space="0"/>
              <w:left w:val="single" w:color="auto" w:sz="4"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608</w:t>
            </w:r>
          </w:p>
        </w:tc>
        <w:tc>
          <w:tcPr>
            <w:tcW w:w="756"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624</w:t>
            </w:r>
          </w:p>
        </w:tc>
        <w:tc>
          <w:tcPr>
            <w:tcW w:w="756"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634</w:t>
            </w:r>
          </w:p>
        </w:tc>
        <w:tc>
          <w:tcPr>
            <w:tcW w:w="756"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656</w:t>
            </w:r>
          </w:p>
        </w:tc>
        <w:tc>
          <w:tcPr>
            <w:tcW w:w="709" w:type="dxa"/>
            <w:gridSpan w:val="2"/>
            <w:tcBorders>
              <w:top w:val="single" w:color="000000" w:sz="4" w:space="0"/>
              <w:left w:val="single" w:color="000000" w:sz="4" w:space="0"/>
              <w:bottom w:val="double" w:color="auto" w:sz="4" w:space="0"/>
              <w:right w:val="single" w:color="000000" w:sz="12"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43.4</w:t>
            </w:r>
          </w:p>
        </w:tc>
        <w:tc>
          <w:tcPr>
            <w:tcW w:w="977" w:type="dxa"/>
            <w:tcBorders>
              <w:top w:val="single" w:color="000000" w:sz="4" w:space="0"/>
              <w:left w:val="single" w:color="000000" w:sz="12" w:space="0"/>
              <w:bottom w:val="doub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63</w:t>
            </w:r>
          </w:p>
        </w:tc>
        <w:tc>
          <w:tcPr>
            <w:tcW w:w="978" w:type="dxa"/>
            <w:tcBorders>
              <w:top w:val="single" w:color="000000" w:sz="4" w:space="0"/>
              <w:left w:val="single" w:color="auto" w:sz="4" w:space="0"/>
              <w:bottom w:val="double" w:color="auto"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10.6</w:t>
            </w:r>
          </w:p>
        </w:tc>
      </w:tr>
      <w:tr>
        <w:trPr/>
        <w:tc>
          <w:tcPr>
            <w:tcW w:w="2268" w:type="dxa"/>
            <w:tcBorders>
              <w:top w:val="double" w:color="auto" w:sz="4" w:space="0"/>
              <w:left w:val="single" w:color="000000" w:sz="4" w:space="0"/>
              <w:bottom w:val="single" w:color="auto"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計</w:t>
            </w:r>
          </w:p>
        </w:tc>
        <w:tc>
          <w:tcPr>
            <w:tcW w:w="921" w:type="dxa"/>
            <w:tcBorders>
              <w:top w:val="doub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1,391</w:t>
            </w:r>
          </w:p>
        </w:tc>
        <w:tc>
          <w:tcPr>
            <w:tcW w:w="922" w:type="dxa"/>
            <w:gridSpan w:val="2"/>
            <w:tcBorders>
              <w:top w:val="doub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1,437</w:t>
            </w:r>
          </w:p>
        </w:tc>
        <w:tc>
          <w:tcPr>
            <w:tcW w:w="756"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1,448</w:t>
            </w:r>
          </w:p>
        </w:tc>
        <w:tc>
          <w:tcPr>
            <w:tcW w:w="756"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1,482</w:t>
            </w:r>
          </w:p>
        </w:tc>
        <w:tc>
          <w:tcPr>
            <w:tcW w:w="756"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1,513</w:t>
            </w:r>
          </w:p>
        </w:tc>
        <w:tc>
          <w:tcPr>
            <w:tcW w:w="709" w:type="dxa"/>
            <w:gridSpan w:val="2"/>
            <w:tcBorders>
              <w:top w:val="double" w:color="auto" w:sz="4" w:space="0"/>
              <w:left w:val="single" w:color="000000" w:sz="4" w:space="0"/>
              <w:bottom w:val="single" w:color="auto" w:sz="4" w:space="0"/>
              <w:right w:val="single" w:color="000000" w:sz="12"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c>
          <w:tcPr>
            <w:tcW w:w="977" w:type="dxa"/>
            <w:tcBorders>
              <w:top w:val="double" w:color="auto" w:sz="4" w:space="0"/>
              <w:left w:val="single" w:color="000000" w:sz="12"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122</w:t>
            </w:r>
          </w:p>
        </w:tc>
        <w:tc>
          <w:tcPr>
            <w:tcW w:w="978" w:type="dxa"/>
            <w:tcBorders>
              <w:top w:val="doub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8.8</w:t>
            </w:r>
          </w:p>
        </w:tc>
      </w:tr>
    </w:tbl>
    <w:p>
      <w:pPr>
        <w:pStyle w:val="62"/>
        <w:spacing w:before="37" w:beforeLines="0" w:beforeAutospacing="0" w:after="0" w:afterLines="0" w:afterAutospacing="0"/>
        <w:ind w:left="1172"/>
        <w:rPr>
          <w:rFonts w:hint="default"/>
        </w:rPr>
      </w:pPr>
      <w:r>
        <w:rPr>
          <w:rFonts w:hint="eastAsia"/>
        </w:rPr>
        <w:t>資料：保健福祉課（各年度末現在）</w:t>
      </w:r>
    </w:p>
    <w:p>
      <w:pPr>
        <w:pStyle w:val="61"/>
        <w:ind w:left="448" w:firstLine="214" w:firstLineChars="100"/>
        <w:rPr>
          <w:rFonts w:hint="default"/>
        </w:rPr>
      </w:pPr>
    </w:p>
    <w:p>
      <w:pPr>
        <w:pStyle w:val="61"/>
        <w:ind w:left="448" w:firstLine="214" w:firstLineChars="100"/>
        <w:rPr>
          <w:rFonts w:hint="default"/>
          <w:spacing w:val="-2"/>
        </w:rPr>
      </w:pPr>
      <w:r>
        <w:rPr>
          <w:rFonts w:hint="eastAsia"/>
        </w:rPr>
        <w:t>「</w:t>
      </w:r>
      <w:r>
        <w:rPr>
          <w:rFonts w:hint="default"/>
        </w:rPr>
        <w:t>肢体不</w:t>
      </w:r>
      <w:r>
        <w:rPr>
          <w:rFonts w:hint="default"/>
          <w:spacing w:val="-2"/>
        </w:rPr>
        <w:t>自由</w:t>
      </w:r>
      <w:r>
        <w:rPr>
          <w:rFonts w:hint="eastAsia"/>
          <w:spacing w:val="-2"/>
        </w:rPr>
        <w:t>」</w:t>
      </w:r>
      <w:r>
        <w:rPr>
          <w:rFonts w:hint="default"/>
          <w:spacing w:val="-2"/>
        </w:rPr>
        <w:t>の内訳</w:t>
      </w:r>
      <w:r>
        <w:rPr>
          <w:rFonts w:hint="eastAsia"/>
          <w:spacing w:val="-2"/>
        </w:rPr>
        <w:t>をみると</w:t>
      </w:r>
      <w:r>
        <w:rPr>
          <w:rFonts w:hint="default"/>
          <w:spacing w:val="-2"/>
        </w:rPr>
        <w:t>、</w:t>
      </w:r>
      <w:r>
        <w:rPr>
          <w:rFonts w:hint="eastAsia"/>
          <w:spacing w:val="-2"/>
        </w:rPr>
        <w:t>毎年度</w:t>
      </w:r>
      <w:r>
        <w:rPr>
          <w:rFonts w:hint="default"/>
          <w:spacing w:val="-2"/>
        </w:rPr>
        <w:t>「上肢・下肢・四肢」が最も多</w:t>
      </w:r>
      <w:r>
        <w:rPr>
          <w:rFonts w:hint="eastAsia"/>
          <w:spacing w:val="-2"/>
        </w:rPr>
        <w:t>く、令和４年度では全体の</w:t>
      </w:r>
      <w:r>
        <w:rPr>
          <w:rFonts w:hint="default"/>
          <w:spacing w:val="-2"/>
        </w:rPr>
        <w:t>86.3</w:t>
      </w:r>
      <w:r>
        <w:rPr>
          <w:rFonts w:hint="eastAsia"/>
          <w:spacing w:val="-2"/>
        </w:rPr>
        <w:t>％を占めています。</w:t>
      </w:r>
    </w:p>
    <w:p>
      <w:pPr>
        <w:pStyle w:val="61"/>
        <w:ind w:left="448" w:firstLine="210" w:firstLineChars="100"/>
        <w:rPr>
          <w:rFonts w:hint="default"/>
        </w:rPr>
      </w:pPr>
      <w:r>
        <w:rPr>
          <w:rFonts w:hint="default"/>
          <w:spacing w:val="-2"/>
        </w:rPr>
        <w:t>「体幹機能障害」</w:t>
      </w:r>
      <w:r>
        <w:rPr>
          <w:rFonts w:hint="eastAsia"/>
          <w:spacing w:val="-2"/>
        </w:rPr>
        <w:t>は令和２年度以降</w:t>
      </w:r>
      <w:r>
        <w:rPr>
          <w:rFonts w:hint="eastAsia"/>
          <w:spacing w:val="-2"/>
        </w:rPr>
        <w:t>40</w:t>
      </w:r>
      <w:r>
        <w:rPr>
          <w:rFonts w:hint="eastAsia"/>
          <w:spacing w:val="-2"/>
        </w:rPr>
        <w:t>人程度で推移し、「運動機能障害」は増加で推移しており、平</w:t>
      </w:r>
      <w:r>
        <w:rPr>
          <w:rFonts w:hint="eastAsia"/>
        </w:rPr>
        <w:t>成</w:t>
      </w:r>
      <w:r>
        <w:rPr>
          <w:rFonts w:hint="eastAsia"/>
        </w:rPr>
        <w:t>30</w:t>
      </w:r>
      <w:r>
        <w:rPr>
          <w:rFonts w:hint="eastAsia"/>
        </w:rPr>
        <w:t>年度から</w:t>
      </w:r>
      <w:r>
        <w:rPr>
          <w:rFonts w:hint="eastAsia"/>
        </w:rPr>
        <w:t>6</w:t>
      </w:r>
      <w:r>
        <w:rPr>
          <w:rFonts w:hint="eastAsia"/>
        </w:rPr>
        <w:t>人増加しています。</w:t>
      </w:r>
    </w:p>
    <w:p>
      <w:pPr>
        <w:pStyle w:val="61"/>
        <w:spacing w:line="0" w:lineRule="atLeast"/>
        <w:ind w:left="448" w:firstLine="164" w:firstLineChars="100"/>
        <w:rPr>
          <w:rFonts w:hint="default"/>
          <w:sz w:val="16"/>
        </w:rPr>
      </w:pPr>
    </w:p>
    <w:tbl>
      <w:tblPr>
        <w:tblStyle w:val="11"/>
        <w:tblW w:w="9043" w:type="dxa"/>
        <w:tblInd w:w="567" w:type="dxa"/>
        <w:tblLayout w:type="fixed"/>
        <w:tblCellMar>
          <w:top w:w="28" w:type="dxa"/>
          <w:bottom w:w="28" w:type="dxa"/>
        </w:tblCellMar>
        <w:tblLook w:firstRow="0" w:lastRow="0" w:firstColumn="0" w:lastColumn="0" w:noHBand="0" w:noVBand="0" w:val="0000"/>
      </w:tblPr>
      <w:tblGrid>
        <w:gridCol w:w="2268"/>
        <w:gridCol w:w="822"/>
        <w:gridCol w:w="556"/>
        <w:gridCol w:w="266"/>
        <w:gridCol w:w="822"/>
        <w:gridCol w:w="822"/>
        <w:gridCol w:w="823"/>
        <w:gridCol w:w="383"/>
        <w:gridCol w:w="326"/>
        <w:gridCol w:w="977"/>
        <w:gridCol w:w="978"/>
      </w:tblGrid>
      <w:tr>
        <w:trPr/>
        <w:tc>
          <w:tcPr>
            <w:tcW w:w="3646" w:type="dxa"/>
            <w:gridSpan w:val="3"/>
            <w:vAlign w:val="bottom"/>
          </w:tcPr>
          <w:p>
            <w:pPr>
              <w:pStyle w:val="46"/>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【肢体不自由の内訳】</w:t>
            </w:r>
          </w:p>
        </w:tc>
        <w:tc>
          <w:tcPr>
            <w:tcW w:w="3116" w:type="dxa"/>
            <w:gridSpan w:val="5"/>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281" w:type="dxa"/>
            <w:gridSpan w:val="3"/>
            <w:tcMar>
              <w:top w:w="0" w:type="dxa"/>
              <w:bottom w:w="0" w:type="dxa"/>
            </w:tcMar>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2268"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822" w:type="dxa"/>
            <w:vMerge w:val="restart"/>
            <w:tcBorders>
              <w:top w:val="single" w:color="000000" w:sz="4" w:space="0"/>
              <w:left w:val="single" w:color="000000" w:sz="4" w:space="0"/>
              <w:bottom w:val="none" w:color="auto" w:sz="0"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平成</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年度</w:t>
            </w:r>
          </w:p>
        </w:tc>
        <w:tc>
          <w:tcPr>
            <w:tcW w:w="822" w:type="dxa"/>
            <w:gridSpan w:val="2"/>
            <w:vMerge w:val="restart"/>
            <w:tcBorders>
              <w:top w:val="single" w:color="000000" w:sz="4"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元年度</w:t>
            </w:r>
          </w:p>
        </w:tc>
        <w:tc>
          <w:tcPr>
            <w:tcW w:w="822"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２年度</w:t>
            </w:r>
          </w:p>
        </w:tc>
        <w:tc>
          <w:tcPr>
            <w:tcW w:w="822"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３年度</w:t>
            </w:r>
          </w:p>
        </w:tc>
        <w:tc>
          <w:tcPr>
            <w:tcW w:w="823"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４年度</w:t>
            </w:r>
          </w:p>
        </w:tc>
        <w:tc>
          <w:tcPr>
            <w:tcW w:w="709" w:type="dxa"/>
            <w:gridSpan w:val="2"/>
            <w:tcBorders>
              <w:top w:val="single" w:color="000000" w:sz="4" w:space="0"/>
              <w:left w:val="none" w:color="auto" w:sz="0" w:space="0"/>
              <w:bottom w:val="single" w:color="000000" w:sz="4" w:space="0"/>
              <w:right w:val="single" w:color="000000" w:sz="12"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p>
        </w:tc>
        <w:tc>
          <w:tcPr>
            <w:tcW w:w="977" w:type="dxa"/>
            <w:vMerge w:val="restart"/>
            <w:tcBorders>
              <w:top w:val="single" w:color="000000" w:sz="4" w:space="0"/>
              <w:left w:val="single" w:color="000000" w:sz="12"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4"/>
                <w:w w:val="90"/>
                <w:kern w:val="0"/>
                <w:sz w:val="20"/>
              </w:rPr>
            </w:pPr>
            <w:r>
              <w:rPr>
                <w:rFonts w:hint="eastAsia" w:ascii="ＭＳ ゴシック" w:hAnsi="ＭＳ ゴシック" w:eastAsia="ＭＳ ゴシック"/>
                <w:spacing w:val="-6"/>
                <w:w w:val="95"/>
                <w:kern w:val="0"/>
                <w:sz w:val="20"/>
              </w:rPr>
              <w:t>増減</w:t>
            </w:r>
          </w:p>
        </w:tc>
        <w:tc>
          <w:tcPr>
            <w:tcW w:w="978" w:type="dxa"/>
            <w:vMerge w:val="restart"/>
            <w:tcBorders>
              <w:top w:val="single" w:color="000000" w:sz="4" w:space="0"/>
              <w:left w:val="single" w:color="auto" w:sz="4" w:space="0"/>
              <w:bottom w:val="none" w:color="auto" w:sz="0"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4"/>
                <w:w w:val="90"/>
                <w:kern w:val="0"/>
                <w:sz w:val="20"/>
              </w:rPr>
            </w:pPr>
            <w:r>
              <w:rPr>
                <w:rFonts w:hint="eastAsia" w:ascii="ＭＳ ゴシック" w:hAnsi="ＭＳ ゴシック" w:eastAsia="ＭＳ ゴシック"/>
                <w:spacing w:val="-6"/>
                <w:w w:val="95"/>
                <w:kern w:val="0"/>
                <w:sz w:val="20"/>
              </w:rPr>
              <w:t>伸び率</w:t>
            </w:r>
          </w:p>
        </w:tc>
      </w:tr>
      <w:tr>
        <w:trPr/>
        <w:tc>
          <w:tcPr>
            <w:tcW w:w="2268"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822" w:type="dxa"/>
            <w:vMerge w:val="continue"/>
            <w:tcBorders>
              <w:top w:val="none" w:color="auto" w:sz="0"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p>
        </w:tc>
        <w:tc>
          <w:tcPr>
            <w:tcW w:w="822" w:type="dxa"/>
            <w:gridSpan w:val="2"/>
            <w:vMerge w:val="continue"/>
            <w:tcBorders>
              <w:top w:val="none" w:color="auto" w:sz="0" w:space="0"/>
              <w:left w:val="single" w:color="auto"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p>
        </w:tc>
        <w:tc>
          <w:tcPr>
            <w:tcW w:w="822"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p>
        </w:tc>
        <w:tc>
          <w:tcPr>
            <w:tcW w:w="822"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p>
        </w:tc>
        <w:tc>
          <w:tcPr>
            <w:tcW w:w="823"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構成比</w:t>
            </w:r>
          </w:p>
        </w:tc>
        <w:tc>
          <w:tcPr>
            <w:tcW w:w="977" w:type="dxa"/>
            <w:vMerge w:val="continue"/>
            <w:tcBorders>
              <w:top w:val="none" w:color="auto" w:sz="0" w:space="0"/>
              <w:left w:val="single" w:color="000000" w:sz="12"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78" w:type="dxa"/>
            <w:vMerge w:val="continue"/>
            <w:tcBorders>
              <w:top w:val="none" w:color="auto" w:sz="0" w:space="0"/>
              <w:left w:val="single" w:color="auto"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r>
      <w:tr>
        <w:trPr/>
        <w:tc>
          <w:tcPr>
            <w:tcW w:w="226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bookmarkStart w:id="19" w:name="_Hlk147484366"/>
            <w:r>
              <w:rPr>
                <w:rFonts w:hint="eastAsia" w:ascii="ＭＳ ゴシック" w:hAnsi="ＭＳ ゴシック" w:eastAsia="ＭＳ ゴシック"/>
                <w:w w:val="100"/>
                <w:sz w:val="20"/>
              </w:rPr>
              <w:t>上肢・下肢・四肢</w:t>
            </w:r>
            <w:bookmarkEnd w:id="19"/>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449</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469</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466</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473</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477</w:t>
            </w: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86.3</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28</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6.2</w:t>
            </w:r>
          </w:p>
        </w:tc>
      </w:tr>
      <w:tr>
        <w:trPr/>
        <w:tc>
          <w:tcPr>
            <w:tcW w:w="226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体幹機能障害</w:t>
            </w:r>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47</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45</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42</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w:t>
            </w: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7.8</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-8.5</w:t>
            </w:r>
          </w:p>
        </w:tc>
      </w:tr>
      <w:tr>
        <w:trPr/>
        <w:tc>
          <w:tcPr>
            <w:tcW w:w="2268"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運動機能障害</w:t>
            </w:r>
          </w:p>
        </w:tc>
        <w:tc>
          <w:tcPr>
            <w:tcW w:w="822"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27</w:t>
            </w:r>
          </w:p>
        </w:tc>
        <w:tc>
          <w:tcPr>
            <w:tcW w:w="822" w:type="dxa"/>
            <w:gridSpan w:val="2"/>
            <w:tcBorders>
              <w:top w:val="single" w:color="000000" w:sz="4" w:space="0"/>
              <w:left w:val="single" w:color="auto" w:sz="4"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26</w:t>
            </w:r>
          </w:p>
        </w:tc>
        <w:tc>
          <w:tcPr>
            <w:tcW w:w="822"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w:t>
            </w:r>
          </w:p>
        </w:tc>
        <w:tc>
          <w:tcPr>
            <w:tcW w:w="822"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w:t>
            </w:r>
          </w:p>
        </w:tc>
        <w:tc>
          <w:tcPr>
            <w:tcW w:w="823"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33</w:t>
            </w:r>
          </w:p>
        </w:tc>
        <w:tc>
          <w:tcPr>
            <w:tcW w:w="709" w:type="dxa"/>
            <w:gridSpan w:val="2"/>
            <w:tcBorders>
              <w:top w:val="single" w:color="000000" w:sz="4" w:space="0"/>
              <w:left w:val="single" w:color="000000" w:sz="4" w:space="0"/>
              <w:bottom w:val="double" w:color="auto" w:sz="4" w:space="0"/>
              <w:right w:val="single" w:color="000000" w:sz="12"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6.0</w:t>
            </w:r>
          </w:p>
        </w:tc>
        <w:tc>
          <w:tcPr>
            <w:tcW w:w="977" w:type="dxa"/>
            <w:tcBorders>
              <w:top w:val="single" w:color="000000" w:sz="4" w:space="0"/>
              <w:left w:val="single" w:color="000000" w:sz="12" w:space="0"/>
              <w:bottom w:val="doub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w:t>
            </w:r>
          </w:p>
        </w:tc>
        <w:tc>
          <w:tcPr>
            <w:tcW w:w="978" w:type="dxa"/>
            <w:tcBorders>
              <w:top w:val="single" w:color="000000" w:sz="4" w:space="0"/>
              <w:left w:val="single" w:color="auto" w:sz="4" w:space="0"/>
              <w:bottom w:val="double" w:color="auto"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22.2</w:t>
            </w:r>
          </w:p>
        </w:tc>
      </w:tr>
      <w:tr>
        <w:trPr/>
        <w:tc>
          <w:tcPr>
            <w:tcW w:w="2268" w:type="dxa"/>
            <w:tcBorders>
              <w:top w:val="double" w:color="auto" w:sz="4" w:space="0"/>
              <w:left w:val="single" w:color="000000" w:sz="4" w:space="0"/>
              <w:bottom w:val="single" w:color="auto"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計</w:t>
            </w:r>
          </w:p>
        </w:tc>
        <w:tc>
          <w:tcPr>
            <w:tcW w:w="822" w:type="dxa"/>
            <w:tcBorders>
              <w:top w:val="doub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523</w:t>
            </w:r>
          </w:p>
        </w:tc>
        <w:tc>
          <w:tcPr>
            <w:tcW w:w="822" w:type="dxa"/>
            <w:gridSpan w:val="2"/>
            <w:tcBorders>
              <w:top w:val="doub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540</w:t>
            </w:r>
          </w:p>
        </w:tc>
        <w:tc>
          <w:tcPr>
            <w:tcW w:w="822"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536</w:t>
            </w:r>
          </w:p>
        </w:tc>
        <w:tc>
          <w:tcPr>
            <w:tcW w:w="822"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548</w:t>
            </w:r>
          </w:p>
        </w:tc>
        <w:tc>
          <w:tcPr>
            <w:tcW w:w="823"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553</w:t>
            </w:r>
          </w:p>
        </w:tc>
        <w:tc>
          <w:tcPr>
            <w:tcW w:w="709" w:type="dxa"/>
            <w:gridSpan w:val="2"/>
            <w:tcBorders>
              <w:top w:val="double" w:color="auto" w:sz="4" w:space="0"/>
              <w:left w:val="single" w:color="000000" w:sz="4" w:space="0"/>
              <w:bottom w:val="single" w:color="auto" w:sz="4" w:space="0"/>
              <w:right w:val="single" w:color="000000" w:sz="12"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c>
          <w:tcPr>
            <w:tcW w:w="977" w:type="dxa"/>
            <w:tcBorders>
              <w:top w:val="double" w:color="auto" w:sz="4" w:space="0"/>
              <w:left w:val="single" w:color="000000" w:sz="12"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30</w:t>
            </w:r>
          </w:p>
        </w:tc>
        <w:tc>
          <w:tcPr>
            <w:tcW w:w="978" w:type="dxa"/>
            <w:tcBorders>
              <w:top w:val="doub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5.7</w:t>
            </w:r>
          </w:p>
        </w:tc>
      </w:tr>
    </w:tbl>
    <w:p>
      <w:pPr>
        <w:pStyle w:val="62"/>
        <w:spacing w:before="37" w:beforeLines="0" w:beforeAutospacing="0" w:after="0" w:afterLines="0" w:afterAutospacing="0"/>
        <w:ind w:left="1172"/>
        <w:rPr>
          <w:rFonts w:hint="default"/>
        </w:rPr>
      </w:pPr>
      <w:r>
        <w:rPr>
          <w:rFonts w:hint="eastAsia"/>
        </w:rPr>
        <w:t>資料：保健福祉課（各年度末現在）</w:t>
      </w:r>
    </w:p>
    <w:p>
      <w:pPr>
        <w:pStyle w:val="61"/>
        <w:ind w:left="448" w:firstLine="214" w:firstLineChars="100"/>
        <w:rPr>
          <w:rFonts w:hint="default"/>
        </w:rPr>
      </w:pPr>
    </w:p>
    <w:p>
      <w:pPr>
        <w:pStyle w:val="0"/>
        <w:widowControl w:val="1"/>
        <w:jc w:val="left"/>
        <w:rPr>
          <w:rFonts w:hint="default"/>
          <w:sz w:val="21"/>
        </w:rPr>
      </w:pPr>
      <w:r>
        <w:rPr>
          <w:rFonts w:hint="default"/>
        </w:rPr>
        <w:br w:type="page"/>
      </w:r>
    </w:p>
    <w:p>
      <w:pPr>
        <w:pStyle w:val="61"/>
        <w:ind w:left="448" w:firstLine="214" w:firstLineChars="100"/>
        <w:rPr>
          <w:rFonts w:hint="default"/>
          <w:spacing w:val="-2"/>
        </w:rPr>
      </w:pPr>
      <w:r>
        <w:rPr>
          <w:rFonts w:hint="eastAsia"/>
        </w:rPr>
        <w:t>「</w:t>
      </w:r>
      <w:r>
        <w:rPr>
          <w:rFonts w:hint="default"/>
        </w:rPr>
        <w:t>内部疾患</w:t>
      </w:r>
      <w:r>
        <w:rPr>
          <w:rFonts w:hint="eastAsia"/>
        </w:rPr>
        <w:t>」</w:t>
      </w:r>
      <w:r>
        <w:rPr>
          <w:rFonts w:hint="default"/>
          <w:spacing w:val="-2"/>
        </w:rPr>
        <w:t>の内訳</w:t>
      </w:r>
      <w:r>
        <w:rPr>
          <w:rFonts w:hint="eastAsia"/>
          <w:spacing w:val="-2"/>
        </w:rPr>
        <w:t>をみると</w:t>
      </w:r>
      <w:r>
        <w:rPr>
          <w:rFonts w:hint="default"/>
          <w:spacing w:val="-2"/>
        </w:rPr>
        <w:t>、毎年度「心臓機能障害」が最も多く、次に「じん臓機能障害」</w:t>
      </w:r>
      <w:r>
        <w:rPr>
          <w:rFonts w:hint="eastAsia"/>
          <w:spacing w:val="-2"/>
        </w:rPr>
        <w:t>となっており、令和４年</w:t>
      </w:r>
      <w:r>
        <w:rPr>
          <w:rFonts w:hint="default"/>
          <w:spacing w:val="-2"/>
        </w:rPr>
        <w:t>度では「心臓機能障害」が</w:t>
      </w:r>
      <w:r>
        <w:rPr>
          <w:rFonts w:hint="eastAsia"/>
          <w:spacing w:val="-2"/>
        </w:rPr>
        <w:t>445</w:t>
      </w:r>
      <w:r>
        <w:rPr>
          <w:rFonts w:hint="eastAsia"/>
          <w:spacing w:val="-2"/>
        </w:rPr>
        <w:t>人で</w:t>
      </w:r>
      <w:r>
        <w:rPr>
          <w:rFonts w:hint="default"/>
          <w:spacing w:val="-2"/>
        </w:rPr>
        <w:t>全体の</w:t>
      </w:r>
      <w:r>
        <w:rPr>
          <w:rFonts w:hint="default"/>
          <w:spacing w:val="-2"/>
        </w:rPr>
        <w:t>6</w:t>
      </w:r>
      <w:r>
        <w:rPr>
          <w:rFonts w:hint="eastAsia"/>
          <w:spacing w:val="-2"/>
        </w:rPr>
        <w:t>7.8</w:t>
      </w:r>
      <w:r>
        <w:rPr>
          <w:rFonts w:hint="default"/>
          <w:spacing w:val="-2"/>
        </w:rPr>
        <w:t>％と大半を占め、「じん臓機能障害」が</w:t>
      </w:r>
      <w:r>
        <w:rPr>
          <w:rFonts w:hint="eastAsia"/>
          <w:spacing w:val="-2"/>
        </w:rPr>
        <w:t>148</w:t>
      </w:r>
      <w:r>
        <w:rPr>
          <w:rFonts w:hint="eastAsia"/>
          <w:spacing w:val="-2"/>
        </w:rPr>
        <w:t>人で全体の</w:t>
      </w:r>
      <w:r>
        <w:rPr>
          <w:rFonts w:hint="default"/>
          <w:spacing w:val="-2"/>
        </w:rPr>
        <w:t>2</w:t>
      </w:r>
      <w:r>
        <w:rPr>
          <w:rFonts w:hint="eastAsia"/>
          <w:spacing w:val="-2"/>
        </w:rPr>
        <w:t>2.6</w:t>
      </w:r>
      <w:r>
        <w:rPr>
          <w:rFonts w:hint="default"/>
          <w:spacing w:val="-2"/>
        </w:rPr>
        <w:t>％</w:t>
      </w:r>
      <w:r>
        <w:rPr>
          <w:rFonts w:hint="eastAsia"/>
          <w:spacing w:val="-2"/>
        </w:rPr>
        <w:t>を占め</w:t>
      </w:r>
      <w:r>
        <w:rPr>
          <w:rFonts w:hint="default"/>
          <w:spacing w:val="-2"/>
        </w:rPr>
        <w:t>ます。</w:t>
      </w:r>
    </w:p>
    <w:p>
      <w:pPr>
        <w:pStyle w:val="61"/>
        <w:ind w:left="448" w:firstLine="210" w:firstLineChars="100"/>
        <w:rPr>
          <w:rFonts w:hint="default"/>
        </w:rPr>
      </w:pPr>
      <w:r>
        <w:rPr>
          <w:rFonts w:hint="eastAsia"/>
          <w:spacing w:val="-2"/>
        </w:rPr>
        <w:t>「ぼうこう・直腸機能障害」は減少傾向、そのほかの「呼吸器機能障害」、「小腸機能障害」、「免疫機能障害</w:t>
      </w:r>
      <w:r>
        <w:rPr>
          <w:rFonts w:hint="eastAsia"/>
        </w:rPr>
        <w:t>」、「肝臓機能障害」はそれぞれ横ばいで推移しています。</w:t>
      </w:r>
    </w:p>
    <w:p>
      <w:pPr>
        <w:pStyle w:val="61"/>
        <w:spacing w:line="0" w:lineRule="atLeast"/>
        <w:ind w:left="448" w:firstLine="164" w:firstLineChars="100"/>
        <w:rPr>
          <w:rFonts w:hint="default"/>
          <w:sz w:val="16"/>
        </w:rPr>
      </w:pPr>
    </w:p>
    <w:tbl>
      <w:tblPr>
        <w:tblStyle w:val="11"/>
        <w:tblW w:w="9043" w:type="dxa"/>
        <w:tblInd w:w="567" w:type="dxa"/>
        <w:tblLayout w:type="fixed"/>
        <w:tblCellMar>
          <w:top w:w="28" w:type="dxa"/>
          <w:bottom w:w="28" w:type="dxa"/>
        </w:tblCellMar>
        <w:tblLook w:firstRow="0" w:lastRow="0" w:firstColumn="0" w:lastColumn="0" w:noHBand="0" w:noVBand="0" w:val="0000"/>
      </w:tblPr>
      <w:tblGrid>
        <w:gridCol w:w="2268"/>
        <w:gridCol w:w="822"/>
        <w:gridCol w:w="556"/>
        <w:gridCol w:w="266"/>
        <w:gridCol w:w="822"/>
        <w:gridCol w:w="822"/>
        <w:gridCol w:w="823"/>
        <w:gridCol w:w="709"/>
        <w:gridCol w:w="977"/>
        <w:gridCol w:w="978"/>
      </w:tblGrid>
      <w:tr>
        <w:trPr/>
        <w:tc>
          <w:tcPr>
            <w:tcW w:w="3646" w:type="dxa"/>
            <w:gridSpan w:val="3"/>
            <w:vAlign w:val="bottom"/>
          </w:tcPr>
          <w:p>
            <w:pPr>
              <w:pStyle w:val="46"/>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【内部疾患の内訳】</w:t>
            </w:r>
          </w:p>
        </w:tc>
        <w:tc>
          <w:tcPr>
            <w:tcW w:w="2733" w:type="dxa"/>
            <w:gridSpan w:val="4"/>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664" w:type="dxa"/>
            <w:gridSpan w:val="3"/>
            <w:tcMar>
              <w:top w:w="0" w:type="dxa"/>
              <w:bottom w:w="0" w:type="dxa"/>
            </w:tcMar>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2268"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822" w:type="dxa"/>
            <w:vMerge w:val="restart"/>
            <w:tcBorders>
              <w:top w:val="single" w:color="000000" w:sz="4" w:space="0"/>
              <w:left w:val="single" w:color="000000" w:sz="4" w:space="0"/>
              <w:bottom w:val="none" w:color="auto" w:sz="0"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平成</w:t>
            </w:r>
          </w:p>
          <w:p>
            <w:pPr>
              <w:pStyle w:val="0"/>
              <w:widowControl w:val="1"/>
              <w:spacing w:line="0" w:lineRule="atLeast"/>
              <w:jc w:val="center"/>
              <w:rPr>
                <w:rFonts w:hint="default" w:ascii="ＭＳ ゴシック" w:hAnsi="ＭＳ ゴシック" w:eastAsia="ＭＳ ゴシック"/>
                <w:w w:val="90"/>
                <w:kern w:val="0"/>
                <w:sz w:val="20"/>
              </w:rPr>
            </w:pP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年度</w:t>
            </w:r>
          </w:p>
        </w:tc>
        <w:tc>
          <w:tcPr>
            <w:tcW w:w="822" w:type="dxa"/>
            <w:gridSpan w:val="2"/>
            <w:vMerge w:val="restart"/>
            <w:tcBorders>
              <w:top w:val="single" w:color="000000" w:sz="4"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jc w:val="center"/>
              <w:rPr>
                <w:rFonts w:hint="default" w:ascii="ＭＳ ゴシック" w:hAnsi="ＭＳ ゴシック" w:eastAsia="ＭＳ ゴシック"/>
                <w:w w:val="90"/>
                <w:kern w:val="0"/>
                <w:sz w:val="20"/>
              </w:rPr>
            </w:pPr>
            <w:r>
              <w:rPr>
                <w:rFonts w:hint="eastAsia" w:ascii="ＭＳ ゴシック" w:hAnsi="ＭＳ ゴシック" w:eastAsia="ＭＳ ゴシック"/>
                <w:spacing w:val="-6"/>
                <w:w w:val="95"/>
                <w:kern w:val="0"/>
                <w:sz w:val="20"/>
              </w:rPr>
              <w:t>元年度</w:t>
            </w:r>
          </w:p>
        </w:tc>
        <w:tc>
          <w:tcPr>
            <w:tcW w:w="822"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jc w:val="center"/>
              <w:rPr>
                <w:rFonts w:hint="default" w:ascii="ＭＳ ゴシック" w:hAnsi="ＭＳ ゴシック" w:eastAsia="ＭＳ ゴシック"/>
                <w:w w:val="90"/>
                <w:kern w:val="0"/>
                <w:sz w:val="20"/>
              </w:rPr>
            </w:pPr>
            <w:r>
              <w:rPr>
                <w:rFonts w:hint="eastAsia" w:ascii="ＭＳ ゴシック" w:hAnsi="ＭＳ ゴシック" w:eastAsia="ＭＳ ゴシック"/>
                <w:spacing w:val="-6"/>
                <w:w w:val="95"/>
                <w:kern w:val="0"/>
                <w:sz w:val="20"/>
              </w:rPr>
              <w:t>２年度</w:t>
            </w:r>
          </w:p>
        </w:tc>
        <w:tc>
          <w:tcPr>
            <w:tcW w:w="822"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jc w:val="center"/>
              <w:rPr>
                <w:rFonts w:hint="default" w:ascii="ＭＳ ゴシック" w:hAnsi="ＭＳ ゴシック" w:eastAsia="ＭＳ ゴシック"/>
                <w:w w:val="90"/>
                <w:kern w:val="0"/>
                <w:sz w:val="20"/>
              </w:rPr>
            </w:pPr>
            <w:r>
              <w:rPr>
                <w:rFonts w:hint="eastAsia" w:ascii="ＭＳ ゴシック" w:hAnsi="ＭＳ ゴシック" w:eastAsia="ＭＳ ゴシック"/>
                <w:spacing w:val="-6"/>
                <w:w w:val="95"/>
                <w:kern w:val="0"/>
                <w:sz w:val="20"/>
              </w:rPr>
              <w:t>３年度</w:t>
            </w:r>
          </w:p>
        </w:tc>
        <w:tc>
          <w:tcPr>
            <w:tcW w:w="823"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jc w:val="center"/>
              <w:rPr>
                <w:rFonts w:hint="default" w:ascii="ＭＳ ゴシック" w:hAnsi="ＭＳ ゴシック" w:eastAsia="ＭＳ ゴシック"/>
                <w:w w:val="90"/>
                <w:kern w:val="0"/>
                <w:sz w:val="20"/>
              </w:rPr>
            </w:pPr>
            <w:r>
              <w:rPr>
                <w:rFonts w:hint="eastAsia" w:ascii="ＭＳ ゴシック" w:hAnsi="ＭＳ ゴシック" w:eastAsia="ＭＳ ゴシック"/>
                <w:spacing w:val="-6"/>
                <w:w w:val="95"/>
                <w:kern w:val="0"/>
                <w:sz w:val="20"/>
              </w:rPr>
              <w:t>４年度</w:t>
            </w:r>
          </w:p>
        </w:tc>
        <w:tc>
          <w:tcPr>
            <w:tcW w:w="709" w:type="dxa"/>
            <w:tcBorders>
              <w:top w:val="single" w:color="000000" w:sz="4" w:space="0"/>
              <w:left w:val="none" w:color="auto" w:sz="0" w:space="0"/>
              <w:bottom w:val="single" w:color="000000" w:sz="4" w:space="0"/>
              <w:right w:val="single" w:color="000000" w:sz="12"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77" w:type="dxa"/>
            <w:vMerge w:val="restart"/>
            <w:tcBorders>
              <w:top w:val="single" w:color="000000" w:sz="4" w:space="0"/>
              <w:left w:val="single" w:color="000000" w:sz="12"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4"/>
                <w:w w:val="90"/>
                <w:kern w:val="0"/>
                <w:sz w:val="20"/>
              </w:rPr>
            </w:pPr>
            <w:r>
              <w:rPr>
                <w:rFonts w:hint="eastAsia" w:ascii="ＭＳ ゴシック" w:hAnsi="ＭＳ ゴシック" w:eastAsia="ＭＳ ゴシック"/>
                <w:spacing w:val="-6"/>
                <w:w w:val="95"/>
                <w:kern w:val="0"/>
                <w:sz w:val="20"/>
              </w:rPr>
              <w:t>増減</w:t>
            </w:r>
          </w:p>
        </w:tc>
        <w:tc>
          <w:tcPr>
            <w:tcW w:w="978" w:type="dxa"/>
            <w:vMerge w:val="restart"/>
            <w:tcBorders>
              <w:top w:val="single" w:color="000000" w:sz="4" w:space="0"/>
              <w:left w:val="single" w:color="auto" w:sz="4" w:space="0"/>
              <w:bottom w:val="none" w:color="auto" w:sz="0"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4"/>
                <w:w w:val="90"/>
                <w:kern w:val="0"/>
                <w:sz w:val="20"/>
              </w:rPr>
            </w:pPr>
            <w:r>
              <w:rPr>
                <w:rFonts w:hint="eastAsia" w:ascii="ＭＳ ゴシック" w:hAnsi="ＭＳ ゴシック" w:eastAsia="ＭＳ ゴシック"/>
                <w:spacing w:val="-6"/>
                <w:w w:val="95"/>
                <w:kern w:val="0"/>
                <w:sz w:val="20"/>
              </w:rPr>
              <w:t>伸び率</w:t>
            </w:r>
          </w:p>
        </w:tc>
      </w:tr>
      <w:tr>
        <w:trPr/>
        <w:tc>
          <w:tcPr>
            <w:tcW w:w="2268"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822" w:type="dxa"/>
            <w:vMerge w:val="continue"/>
            <w:tcBorders>
              <w:top w:val="none" w:color="auto" w:sz="0"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822" w:type="dxa"/>
            <w:gridSpan w:val="2"/>
            <w:vMerge w:val="continue"/>
            <w:tcBorders>
              <w:top w:val="none" w:color="auto" w:sz="0" w:space="0"/>
              <w:left w:val="single" w:color="auto"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822"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822"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823"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709" w:type="dxa"/>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spacing w:val="-4"/>
                <w:w w:val="80"/>
                <w:kern w:val="0"/>
                <w:sz w:val="20"/>
              </w:rPr>
            </w:pPr>
            <w:r>
              <w:rPr>
                <w:rFonts w:hint="default" w:ascii="ＭＳ ゴシック" w:hAnsi="ＭＳ ゴシック" w:eastAsia="ＭＳ ゴシック"/>
                <w:spacing w:val="-4"/>
                <w:w w:val="80"/>
                <w:kern w:val="0"/>
                <w:sz w:val="20"/>
              </w:rPr>
              <w:t>構成比</w:t>
            </w:r>
          </w:p>
        </w:tc>
        <w:tc>
          <w:tcPr>
            <w:tcW w:w="977" w:type="dxa"/>
            <w:vMerge w:val="continue"/>
            <w:tcBorders>
              <w:top w:val="none" w:color="auto" w:sz="0" w:space="0"/>
              <w:left w:val="single" w:color="000000" w:sz="12"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78" w:type="dxa"/>
            <w:vMerge w:val="continue"/>
            <w:tcBorders>
              <w:top w:val="none" w:color="auto" w:sz="0" w:space="0"/>
              <w:left w:val="single" w:color="auto"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心臓機能障害</w:t>
            </w:r>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417</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422</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431</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431</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445</w:t>
            </w:r>
          </w:p>
        </w:tc>
        <w:tc>
          <w:tcPr>
            <w:tcW w:w="709" w:type="dxa"/>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67.8</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28</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6.7</w:t>
            </w:r>
          </w:p>
        </w:tc>
      </w:tr>
      <w:tr>
        <w:trPr/>
        <w:tc>
          <w:tcPr>
            <w:tcW w:w="226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呼吸器機能障害</w:t>
            </w:r>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14</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16</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709" w:type="dxa"/>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28.6</w:t>
            </w:r>
          </w:p>
        </w:tc>
      </w:tr>
      <w:tr>
        <w:trPr/>
        <w:tc>
          <w:tcPr>
            <w:tcW w:w="226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じん臓機能障害</w:t>
            </w:r>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117</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125</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131</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141</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148</w:t>
            </w:r>
          </w:p>
        </w:tc>
        <w:tc>
          <w:tcPr>
            <w:tcW w:w="709" w:type="dxa"/>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22.6</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31</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26.5</w:t>
            </w: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spacing w:val="-4"/>
                <w:w w:val="98"/>
                <w:sz w:val="20"/>
              </w:rPr>
            </w:pPr>
            <w:r>
              <w:rPr>
                <w:rFonts w:hint="eastAsia" w:ascii="ＭＳ ゴシック" w:hAnsi="ＭＳ ゴシック" w:eastAsia="ＭＳ ゴシック"/>
                <w:spacing w:val="-4"/>
                <w:w w:val="98"/>
                <w:sz w:val="20"/>
              </w:rPr>
              <w:t>ぼうこう・直腸機能障害</w:t>
            </w:r>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34</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33</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36</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w:t>
            </w:r>
          </w:p>
        </w:tc>
        <w:tc>
          <w:tcPr>
            <w:tcW w:w="709" w:type="dxa"/>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4.9</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-5.9</w:t>
            </w: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小腸機能障害</w:t>
            </w:r>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09" w:type="dxa"/>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0.5</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0.0</w:t>
            </w: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免疫機能障害</w:t>
            </w:r>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09" w:type="dxa"/>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0.8</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66.7</w:t>
            </w:r>
          </w:p>
        </w:tc>
      </w:tr>
      <w:tr>
        <w:trPr/>
        <w:tc>
          <w:tcPr>
            <w:tcW w:w="2268" w:type="dxa"/>
            <w:tcBorders>
              <w:top w:val="none" w:color="auto" w:sz="0" w:space="0"/>
              <w:left w:val="single" w:color="000000" w:sz="4" w:space="0"/>
              <w:bottom w:val="none" w:color="auto" w:sz="0"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肝臓機能障害</w:t>
            </w:r>
          </w:p>
        </w:tc>
        <w:tc>
          <w:tcPr>
            <w:tcW w:w="822"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w:t>
            </w:r>
          </w:p>
        </w:tc>
        <w:tc>
          <w:tcPr>
            <w:tcW w:w="822" w:type="dxa"/>
            <w:gridSpan w:val="2"/>
            <w:tcBorders>
              <w:top w:val="single" w:color="000000" w:sz="4" w:space="0"/>
              <w:left w:val="single" w:color="auto" w:sz="4"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w:t>
            </w:r>
          </w:p>
        </w:tc>
        <w:tc>
          <w:tcPr>
            <w:tcW w:w="822"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822"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823"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09" w:type="dxa"/>
            <w:tcBorders>
              <w:top w:val="single" w:color="000000" w:sz="4" w:space="0"/>
              <w:left w:val="single" w:color="000000" w:sz="4" w:space="0"/>
              <w:bottom w:val="double" w:color="auto" w:sz="4" w:space="0"/>
              <w:right w:val="single" w:color="000000" w:sz="12"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0.8</w:t>
            </w:r>
          </w:p>
        </w:tc>
        <w:tc>
          <w:tcPr>
            <w:tcW w:w="977" w:type="dxa"/>
            <w:tcBorders>
              <w:top w:val="single" w:color="000000" w:sz="4" w:space="0"/>
              <w:left w:val="single" w:color="000000" w:sz="12"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0</w:t>
            </w:r>
          </w:p>
        </w:tc>
        <w:tc>
          <w:tcPr>
            <w:tcW w:w="978" w:type="dxa"/>
            <w:tcBorders>
              <w:top w:val="single" w:color="000000" w:sz="4" w:space="0"/>
              <w:left w:val="single" w:color="auto" w:sz="4" w:space="0"/>
              <w:bottom w:val="double" w:color="auto"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0.0</w:t>
            </w:r>
          </w:p>
        </w:tc>
      </w:tr>
      <w:tr>
        <w:trPr/>
        <w:tc>
          <w:tcPr>
            <w:tcW w:w="2268" w:type="dxa"/>
            <w:tcBorders>
              <w:top w:val="double" w:color="auto" w:sz="4" w:space="0"/>
              <w:left w:val="single" w:color="000000" w:sz="4" w:space="0"/>
              <w:bottom w:val="single" w:color="auto"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計</w:t>
            </w:r>
          </w:p>
        </w:tc>
        <w:tc>
          <w:tcPr>
            <w:tcW w:w="822" w:type="dxa"/>
            <w:tcBorders>
              <w:top w:val="doub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593</w:t>
            </w:r>
          </w:p>
        </w:tc>
        <w:tc>
          <w:tcPr>
            <w:tcW w:w="822" w:type="dxa"/>
            <w:gridSpan w:val="2"/>
            <w:tcBorders>
              <w:top w:val="doub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608</w:t>
            </w:r>
          </w:p>
        </w:tc>
        <w:tc>
          <w:tcPr>
            <w:tcW w:w="822"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624</w:t>
            </w:r>
          </w:p>
        </w:tc>
        <w:tc>
          <w:tcPr>
            <w:tcW w:w="822"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634</w:t>
            </w:r>
          </w:p>
        </w:tc>
        <w:tc>
          <w:tcPr>
            <w:tcW w:w="823"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656</w:t>
            </w:r>
          </w:p>
        </w:tc>
        <w:tc>
          <w:tcPr>
            <w:tcW w:w="709" w:type="dxa"/>
            <w:tcBorders>
              <w:top w:val="double" w:color="auto" w:sz="4" w:space="0"/>
              <w:left w:val="single" w:color="000000" w:sz="4" w:space="0"/>
              <w:bottom w:val="single" w:color="auto" w:sz="4" w:space="0"/>
              <w:right w:val="single" w:color="000000" w:sz="12"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c>
          <w:tcPr>
            <w:tcW w:w="977" w:type="dxa"/>
            <w:tcBorders>
              <w:top w:val="double" w:color="auto" w:sz="4" w:space="0"/>
              <w:left w:val="single" w:color="000000" w:sz="12"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63</w:t>
            </w:r>
          </w:p>
        </w:tc>
        <w:tc>
          <w:tcPr>
            <w:tcW w:w="978" w:type="dxa"/>
            <w:tcBorders>
              <w:top w:val="doub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10.6</w:t>
            </w:r>
          </w:p>
        </w:tc>
      </w:tr>
    </w:tbl>
    <w:p>
      <w:pPr>
        <w:pStyle w:val="62"/>
        <w:spacing w:before="37" w:beforeLines="0" w:beforeAutospacing="0" w:after="0" w:afterLines="0" w:afterAutospacing="0"/>
        <w:ind w:left="1172"/>
        <w:rPr>
          <w:rFonts w:hint="default"/>
        </w:rPr>
      </w:pPr>
      <w:r>
        <w:rPr>
          <w:rFonts w:hint="eastAsia"/>
        </w:rPr>
        <w:t>資料：保健福祉課（各年度末現在）</w:t>
      </w:r>
    </w:p>
    <w:p>
      <w:pPr>
        <w:pStyle w:val="61"/>
        <w:ind w:left="448" w:firstLine="214" w:firstLineChars="100"/>
        <w:rPr>
          <w:rFonts w:hint="default"/>
        </w:rPr>
      </w:pPr>
    </w:p>
    <w:p>
      <w:pPr>
        <w:pStyle w:val="0"/>
        <w:widowControl w:val="1"/>
        <w:jc w:val="left"/>
        <w:rPr>
          <w:rFonts w:hint="default"/>
        </w:rPr>
      </w:pPr>
      <w:r>
        <w:rPr>
          <w:rFonts w:hint="default"/>
        </w:rPr>
        <w:br w:type="page"/>
      </w:r>
    </w:p>
    <w:p>
      <w:pPr>
        <w:pStyle w:val="60"/>
        <w:spacing w:after="74" w:afterLines="0" w:afterAutospacing="0"/>
        <w:ind w:left="112"/>
        <w:rPr>
          <w:rFonts w:hint="default"/>
        </w:rPr>
      </w:pPr>
      <w:r>
        <w:rPr>
          <w:rFonts w:hint="eastAsia"/>
        </w:rPr>
        <w:t>（４）</w:t>
      </w:r>
      <w:r>
        <w:rPr>
          <w:rFonts w:hint="eastAsia"/>
          <w:u w:val="single" w:color="auto"/>
        </w:rPr>
        <w:t>障がいの程度</w:t>
      </w:r>
    </w:p>
    <w:p>
      <w:pPr>
        <w:pStyle w:val="82"/>
        <w:ind w:left="784" w:hanging="336"/>
        <w:rPr>
          <w:rFonts w:hint="default"/>
        </w:rPr>
      </w:pPr>
      <w:r>
        <w:rPr>
          <w:rFonts w:hint="eastAsia"/>
        </w:rPr>
        <w:t>①身体障がい</w:t>
      </w:r>
    </w:p>
    <w:p>
      <w:pPr>
        <w:pStyle w:val="61"/>
        <w:ind w:left="672" w:leftChars="300" w:firstLine="214" w:firstLineChars="100"/>
        <w:rPr>
          <w:rFonts w:hint="default"/>
        </w:rPr>
      </w:pPr>
      <w:r>
        <w:rPr>
          <w:rFonts w:hint="default"/>
        </w:rPr>
        <w:t>身体障がいの程度を表わす等級</w:t>
      </w:r>
      <w:r>
        <w:rPr>
          <w:rFonts w:hint="default"/>
        </w:rPr>
        <w:t>(</w:t>
      </w:r>
      <w:r>
        <w:rPr>
          <w:rFonts w:hint="default"/>
        </w:rPr>
        <w:t>数値が小さいほど重度</w:t>
      </w:r>
      <w:r>
        <w:rPr>
          <w:rFonts w:hint="default"/>
        </w:rPr>
        <w:t>)</w:t>
      </w:r>
      <w:r>
        <w:rPr>
          <w:rFonts w:hint="default"/>
        </w:rPr>
        <w:t>は、「１級」が</w:t>
      </w:r>
      <w:r>
        <w:rPr>
          <w:rFonts w:hint="default"/>
        </w:rPr>
        <w:t>38.4</w:t>
      </w:r>
      <w:r>
        <w:rPr>
          <w:rFonts w:hint="default"/>
        </w:rPr>
        <w:t>％と最も</w:t>
      </w:r>
      <w:r>
        <w:rPr>
          <w:rFonts w:hint="eastAsia"/>
        </w:rPr>
        <w:t>多</w:t>
      </w:r>
      <w:r>
        <w:rPr>
          <w:rFonts w:hint="default"/>
        </w:rPr>
        <w:t>く、次に「４級」が</w:t>
      </w:r>
      <w:r>
        <w:rPr>
          <w:rFonts w:hint="default"/>
        </w:rPr>
        <w:t>18.9</w:t>
      </w:r>
      <w:r>
        <w:rPr>
          <w:rFonts w:hint="default"/>
        </w:rPr>
        <w:t>％、「３級」が</w:t>
      </w:r>
      <w:r>
        <w:rPr>
          <w:rFonts w:hint="default"/>
        </w:rPr>
        <w:t>16.1</w:t>
      </w:r>
      <w:r>
        <w:rPr>
          <w:rFonts w:hint="default"/>
        </w:rPr>
        <w:t>％となります。また、「１級」と「２級」を合わせた重度者が</w:t>
      </w:r>
      <w:r>
        <w:rPr>
          <w:rFonts w:hint="eastAsia"/>
        </w:rPr>
        <w:t>53.8</w:t>
      </w:r>
      <w:r>
        <w:rPr>
          <w:rFonts w:hint="default"/>
        </w:rPr>
        <w:t>％を占め、「３級」と「４級」を合わせた中度者が</w:t>
      </w:r>
      <w:r>
        <w:rPr>
          <w:rFonts w:hint="eastAsia"/>
        </w:rPr>
        <w:t>35.0</w:t>
      </w:r>
      <w:r>
        <w:rPr>
          <w:rFonts w:hint="default"/>
        </w:rPr>
        <w:t>％とな</w:t>
      </w:r>
      <w:r>
        <w:rPr>
          <w:rFonts w:hint="eastAsia"/>
        </w:rPr>
        <w:t>ってい</w:t>
      </w:r>
      <w:r>
        <w:rPr>
          <w:rFonts w:hint="default"/>
        </w:rPr>
        <w:t>ます。</w:t>
      </w:r>
    </w:p>
    <w:p>
      <w:pPr>
        <w:pStyle w:val="61"/>
        <w:ind w:left="672" w:leftChars="300" w:firstLine="214" w:firstLineChars="100"/>
        <w:rPr>
          <w:rFonts w:hint="default"/>
        </w:rPr>
      </w:pPr>
      <w:r>
        <w:rPr>
          <w:rFonts w:hint="default"/>
        </w:rPr>
        <w:t>「１級」と「３級」、「４級」では「心臓機能障害」が最も多く、「２級」</w:t>
      </w:r>
      <w:r>
        <w:rPr>
          <w:rFonts w:hint="eastAsia"/>
        </w:rPr>
        <w:t>と「５級」では「肢体不自由</w:t>
      </w:r>
      <w:r>
        <w:rPr>
          <w:rFonts w:hint="eastAsia"/>
        </w:rPr>
        <w:t>(</w:t>
      </w:r>
      <w:r>
        <w:rPr>
          <w:rFonts w:hint="eastAsia"/>
        </w:rPr>
        <w:t>上肢・下肢・四肢</w:t>
      </w:r>
      <w:r>
        <w:rPr>
          <w:rFonts w:hint="eastAsia"/>
        </w:rPr>
        <w:t>)</w:t>
      </w:r>
      <w:r>
        <w:rPr>
          <w:rFonts w:hint="eastAsia"/>
        </w:rPr>
        <w:t>」が最も多くなっています。また、「６級」では「聴覚障害」が最も多くなっています。</w:t>
      </w:r>
    </w:p>
    <w:p>
      <w:pPr>
        <w:pStyle w:val="61"/>
        <w:spacing w:line="0" w:lineRule="atLeast"/>
        <w:ind w:left="448" w:firstLine="164" w:firstLineChars="100"/>
        <w:rPr>
          <w:rFonts w:hint="default"/>
          <w:sz w:val="16"/>
        </w:rPr>
      </w:pPr>
    </w:p>
    <w:tbl>
      <w:tblPr>
        <w:tblStyle w:val="11"/>
        <w:tblW w:w="8969" w:type="dxa"/>
        <w:tblInd w:w="567" w:type="dxa"/>
        <w:tblLayout w:type="fixed"/>
        <w:tblCellMar>
          <w:top w:w="28" w:type="dxa"/>
          <w:bottom w:w="28" w:type="dxa"/>
        </w:tblCellMar>
        <w:tblLook w:firstRow="0" w:lastRow="0" w:firstColumn="0" w:lastColumn="0" w:noHBand="0" w:noVBand="0" w:val="0000"/>
      </w:tblPr>
      <w:tblGrid>
        <w:gridCol w:w="1486"/>
        <w:gridCol w:w="1486"/>
        <w:gridCol w:w="572"/>
        <w:gridCol w:w="162"/>
        <w:gridCol w:w="734"/>
        <w:gridCol w:w="734"/>
        <w:gridCol w:w="735"/>
        <w:gridCol w:w="734"/>
        <w:gridCol w:w="19"/>
        <w:gridCol w:w="715"/>
        <w:gridCol w:w="735"/>
        <w:gridCol w:w="824"/>
        <w:gridCol w:w="33"/>
      </w:tblGrid>
      <w:tr>
        <w:trPr>
          <w:gridAfter w:val="1"/>
          <w:wAfter w:w="33" w:type="dxa"/>
        </w:trPr>
        <w:tc>
          <w:tcPr>
            <w:tcW w:w="3544" w:type="dxa"/>
            <w:gridSpan w:val="3"/>
            <w:vAlign w:val="bottom"/>
          </w:tcPr>
          <w:p>
            <w:pPr>
              <w:pStyle w:val="46"/>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【身体障がいの等級】</w:t>
            </w:r>
          </w:p>
        </w:tc>
        <w:tc>
          <w:tcPr>
            <w:tcW w:w="3118" w:type="dxa"/>
            <w:gridSpan w:val="6"/>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274" w:type="dxa"/>
            <w:gridSpan w:val="3"/>
            <w:tcMar>
              <w:top w:w="0" w:type="dxa"/>
              <w:bottom w:w="0" w:type="dxa"/>
            </w:tcMar>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rHeight w:val="283" w:hRule="atLeast"/>
        </w:trPr>
        <w:tc>
          <w:tcPr>
            <w:tcW w:w="297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１級</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２級</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３級</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４級</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５級</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６級</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７級</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計</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視覚障害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61</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38</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124</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聴覚障害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65</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168</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平行機能障害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spacing w:val="-4"/>
                <w:w w:val="100"/>
                <w:sz w:val="20"/>
              </w:rPr>
            </w:pPr>
            <w:r>
              <w:rPr>
                <w:rFonts w:hint="default" w:ascii="ＭＳ ゴシック" w:hAnsi="ＭＳ ゴシック" w:eastAsia="ＭＳ ゴシック"/>
                <w:spacing w:val="-4"/>
                <w:w w:val="100"/>
                <w:sz w:val="20"/>
              </w:rPr>
              <w:t>音声･言語･咀嚼機能障害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ind w:right="-112" w:rightChars="-5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肢体不自由</w:t>
            </w:r>
            <w:r>
              <w:rPr>
                <w:rFonts w:hint="default" w:ascii="ＭＳ ゴシック" w:hAnsi="ＭＳ ゴシック" w:eastAsia="ＭＳ ゴシック"/>
                <w:w w:val="100"/>
                <w:sz w:val="20"/>
              </w:rPr>
              <w:t>(</w:t>
            </w:r>
            <w:r>
              <w:rPr>
                <w:rFonts w:hint="default" w:ascii="ＭＳ ゴシック" w:hAnsi="ＭＳ ゴシック" w:eastAsia="ＭＳ ゴシック"/>
                <w:w w:val="100"/>
                <w:sz w:val="20"/>
              </w:rPr>
              <w:t>上肢・下肢・四肢</w:t>
            </w:r>
            <w:r>
              <w:rPr>
                <w:rFonts w:hint="default" w:ascii="ＭＳ ゴシック" w:hAnsi="ＭＳ ゴシック" w:eastAsia="ＭＳ ゴシック"/>
                <w:w w:val="100"/>
                <w:sz w:val="20"/>
              </w:rPr>
              <w:t>)</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116</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133</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61</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83</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53</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477</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ind w:right="-112" w:rightChars="-5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肢体不自由</w:t>
            </w:r>
            <w:r>
              <w:rPr>
                <w:rFonts w:hint="default" w:ascii="ＭＳ ゴシック" w:hAnsi="ＭＳ ゴシック" w:eastAsia="ＭＳ ゴシック"/>
                <w:w w:val="100"/>
                <w:sz w:val="20"/>
              </w:rPr>
              <w:t>(</w:t>
            </w:r>
            <w:r>
              <w:rPr>
                <w:rFonts w:hint="default" w:ascii="ＭＳ ゴシック" w:hAnsi="ＭＳ ゴシック" w:eastAsia="ＭＳ ゴシック"/>
                <w:w w:val="100"/>
                <w:sz w:val="20"/>
              </w:rPr>
              <w:t>体幹機能障害</w:t>
            </w:r>
            <w:r>
              <w:rPr>
                <w:rFonts w:hint="default" w:ascii="ＭＳ ゴシック" w:hAnsi="ＭＳ ゴシック" w:eastAsia="ＭＳ ゴシック"/>
                <w:w w:val="100"/>
                <w:sz w:val="20"/>
              </w:rPr>
              <w:t>)</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ind w:right="-112" w:rightChars="-5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肢体不自由</w:t>
            </w:r>
            <w:r>
              <w:rPr>
                <w:rFonts w:hint="default" w:ascii="ＭＳ ゴシック" w:hAnsi="ＭＳ ゴシック" w:eastAsia="ＭＳ ゴシック"/>
                <w:w w:val="100"/>
                <w:sz w:val="20"/>
              </w:rPr>
              <w:t>(</w:t>
            </w:r>
            <w:r>
              <w:rPr>
                <w:rFonts w:hint="default" w:ascii="ＭＳ ゴシック" w:hAnsi="ＭＳ ゴシック" w:eastAsia="ＭＳ ゴシック"/>
                <w:w w:val="100"/>
                <w:sz w:val="20"/>
              </w:rPr>
              <w:t>運動機能障害</w:t>
            </w:r>
            <w:r>
              <w:rPr>
                <w:rFonts w:hint="default" w:ascii="ＭＳ ゴシック" w:hAnsi="ＭＳ ゴシック" w:eastAsia="ＭＳ ゴシック"/>
                <w:w w:val="100"/>
                <w:sz w:val="20"/>
              </w:rPr>
              <w:t>)</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33</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心臓機能障害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208</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122</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445</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じん臓機能障害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呼吸器機能障害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127</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148</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ぼうこう・直腸機能障害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小腸機能障害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免疫機能障害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rHeight w:val="283" w:hRule="atLeast"/>
        </w:trPr>
        <w:tc>
          <w:tcPr>
            <w:tcW w:w="2972" w:type="dxa"/>
            <w:gridSpan w:val="2"/>
            <w:tcBorders>
              <w:top w:val="none" w:color="auto" w:sz="0" w:space="0"/>
              <w:left w:val="single" w:color="000000" w:sz="4" w:space="0"/>
              <w:bottom w:val="double" w:color="auto" w:sz="4"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肝臓機能障害</w:t>
            </w:r>
          </w:p>
        </w:tc>
        <w:tc>
          <w:tcPr>
            <w:tcW w:w="734" w:type="dxa"/>
            <w:gridSpan w:val="2"/>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34"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rHeight w:val="283" w:hRule="atLeast"/>
        </w:trPr>
        <w:tc>
          <w:tcPr>
            <w:tcW w:w="2972" w:type="dxa"/>
            <w:gridSpan w:val="2"/>
            <w:tcBorders>
              <w:top w:val="double" w:color="auto" w:sz="4" w:space="0"/>
              <w:left w:val="single" w:color="000000" w:sz="4" w:space="0"/>
              <w:bottom w:val="none" w:color="auto" w:sz="0" w:space="0"/>
              <w:right w:val="none" w:color="auto" w:sz="0" w:space="0"/>
              <w:tl2br w:val="none" w:color="auto" w:sz="0" w:space="0"/>
              <w:tr2bl w:val="none" w:color="auto" w:sz="0" w:space="0"/>
            </w:tcBorders>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計</w:t>
            </w:r>
          </w:p>
        </w:tc>
        <w:tc>
          <w:tcPr>
            <w:tcW w:w="734" w:type="dxa"/>
            <w:gridSpan w:val="2"/>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581</w:t>
            </w:r>
          </w:p>
        </w:tc>
        <w:tc>
          <w:tcPr>
            <w:tcW w:w="734"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233</w:t>
            </w:r>
          </w:p>
        </w:tc>
        <w:tc>
          <w:tcPr>
            <w:tcW w:w="734"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243</w:t>
            </w:r>
          </w:p>
        </w:tc>
        <w:tc>
          <w:tcPr>
            <w:tcW w:w="735"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286</w:t>
            </w:r>
          </w:p>
        </w:tc>
        <w:tc>
          <w:tcPr>
            <w:tcW w:w="734"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72</w:t>
            </w:r>
          </w:p>
        </w:tc>
        <w:tc>
          <w:tcPr>
            <w:tcW w:w="734" w:type="dxa"/>
            <w:gridSpan w:val="2"/>
            <w:tcBorders>
              <w:top w:val="doub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98</w:t>
            </w:r>
          </w:p>
        </w:tc>
        <w:tc>
          <w:tcPr>
            <w:tcW w:w="735"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1,513</w:t>
            </w:r>
          </w:p>
        </w:tc>
      </w:tr>
      <w:tr>
        <w:trPr>
          <w:trHeight w:val="283" w:hRule="atLeast"/>
        </w:trPr>
        <w:tc>
          <w:tcPr>
            <w:tcW w:w="1486"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0"/>
              <w:snapToGrid w:val="0"/>
              <w:spacing w:line="0" w:lineRule="atLeast"/>
              <w:jc w:val="center"/>
              <w:rPr>
                <w:rFonts w:hint="default" w:ascii="ＭＳ ゴシック" w:hAnsi="ＭＳ ゴシック" w:eastAsia="ＭＳ ゴシック"/>
                <w:sz w:val="20"/>
              </w:rPr>
            </w:pPr>
          </w:p>
        </w:tc>
        <w:tc>
          <w:tcPr>
            <w:tcW w:w="1486" w:type="dxa"/>
            <w:tcBorders>
              <w:top w:val="single" w:color="auto" w:sz="4" w:space="0"/>
              <w:left w:val="single" w:color="000000" w:sz="4" w:space="0"/>
              <w:bottom w:val="single" w:color="000000" w:sz="4" w:space="0"/>
              <w:right w:val="none" w:color="auto" w:sz="0" w:space="0"/>
              <w:tl2br w:val="none" w:color="auto" w:sz="0" w:space="0"/>
              <w:tr2bl w:val="none" w:color="auto" w:sz="0" w:space="0"/>
            </w:tcBorders>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構成比</w:t>
            </w:r>
          </w:p>
        </w:tc>
        <w:tc>
          <w:tcPr>
            <w:tcW w:w="734" w:type="dxa"/>
            <w:gridSpan w:val="2"/>
            <w:tcBorders>
              <w:top w:val="single" w:color="auto"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38.4</w:t>
            </w:r>
          </w:p>
        </w:tc>
        <w:tc>
          <w:tcPr>
            <w:tcW w:w="734" w:type="dxa"/>
            <w:tcBorders>
              <w:top w:val="single" w:color="auto"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15.4</w:t>
            </w:r>
          </w:p>
        </w:tc>
        <w:tc>
          <w:tcPr>
            <w:tcW w:w="734" w:type="dxa"/>
            <w:tcBorders>
              <w:top w:val="single" w:color="auto"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16.1</w:t>
            </w:r>
          </w:p>
        </w:tc>
        <w:tc>
          <w:tcPr>
            <w:tcW w:w="735" w:type="dxa"/>
            <w:tcBorders>
              <w:top w:val="single" w:color="auto"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18.9</w:t>
            </w:r>
          </w:p>
        </w:tc>
        <w:tc>
          <w:tcPr>
            <w:tcW w:w="734" w:type="dxa"/>
            <w:tcBorders>
              <w:top w:val="single" w:color="auto"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4.8</w:t>
            </w:r>
          </w:p>
        </w:tc>
        <w:tc>
          <w:tcPr>
            <w:tcW w:w="734" w:type="dxa"/>
            <w:gridSpan w:val="2"/>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6.5</w:t>
            </w:r>
          </w:p>
        </w:tc>
        <w:tc>
          <w:tcPr>
            <w:tcW w:w="735" w:type="dxa"/>
            <w:tcBorders>
              <w:top w:val="single" w:color="auto"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0.0</w:t>
            </w:r>
          </w:p>
        </w:tc>
        <w:tc>
          <w:tcPr>
            <w:tcW w:w="857" w:type="dxa"/>
            <w:gridSpan w:val="2"/>
            <w:tcBorders>
              <w:top w:val="single" w:color="auto"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r>
    </w:tbl>
    <w:p>
      <w:pPr>
        <w:pStyle w:val="62"/>
        <w:spacing w:before="37" w:beforeLines="0" w:beforeAutospacing="0" w:after="0" w:afterLines="0" w:afterAutospacing="0"/>
        <w:ind w:left="1172"/>
        <w:rPr>
          <w:rFonts w:hint="default"/>
        </w:rPr>
      </w:pPr>
      <w:r>
        <w:rPr>
          <w:rFonts w:hint="eastAsia"/>
        </w:rPr>
        <w:t>資料：保健福祉課（令和５年３月末現在）</w:t>
      </w:r>
    </w:p>
    <w:p>
      <w:pPr>
        <w:pStyle w:val="61"/>
        <w:ind w:left="448" w:firstLine="214" w:firstLineChars="100"/>
        <w:rPr>
          <w:rFonts w:hint="default"/>
        </w:rPr>
      </w:pPr>
      <w:r>
        <w:rPr>
          <w:rFonts w:hint="default"/>
        </w:rPr>
        <mc:AlternateContent>
          <mc:Choice Requires="wps">
            <w:drawing>
              <wp:anchor distT="0" distB="0" distL="114300" distR="114300" simplePos="0" relativeHeight="59" behindDoc="0" locked="0" layoutInCell="1" hidden="0" allowOverlap="1">
                <wp:simplePos x="0" y="0"/>
                <wp:positionH relativeFrom="column">
                  <wp:posOffset>2276475</wp:posOffset>
                </wp:positionH>
                <wp:positionV relativeFrom="paragraph">
                  <wp:posOffset>110490</wp:posOffset>
                </wp:positionV>
                <wp:extent cx="1835785" cy="251460"/>
                <wp:effectExtent l="0" t="0" r="635" b="635"/>
                <wp:wrapNone/>
                <wp:docPr id="1127" name="テキスト ボックス 33"/>
                <a:graphic xmlns:a="http://schemas.openxmlformats.org/drawingml/2006/main">
                  <a:graphicData uri="http://schemas.microsoft.com/office/word/2010/wordprocessingShape">
                    <wps:wsp>
                      <wps:cNvPr id="1127" name="テキスト ボックス 33"/>
                      <wps:cNvSpPr txBox="1"/>
                      <wps:spPr>
                        <a:xfrm>
                          <a:off x="0" y="0"/>
                          <a:ext cx="183578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身体障がいの等級</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3" style="mso-wrap-distance-right:9pt;mso-wrap-distance-bottom:0pt;margin-top:8.69pt;mso-position-vertical-relative:text;mso-position-horizontal-relative:text;v-text-anchor:middle;position:absolute;height:19.8pt;mso-wrap-distance-top:0pt;width:144.55000000000001pt;mso-wrap-distance-left:9pt;margin-left:179.25pt;z-index:59;" o:spid="_x0000_s1127" o:allowincell="t" o:allowoverlap="t" filled="f" stroked="f" strokeweight="0.5pt" o:spt="202" type="#_x0000_t202">
                <v:fill/>
                <v:textbox style="layout-flow:horizontal;" inset="0mm,0mm,0mm,0mm">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身体障がいの等級</w:t>
                      </w:r>
                    </w:p>
                  </w:txbxContent>
                </v:textbox>
                <v:imagedata o:title=""/>
                <w10:wrap type="none" anchorx="text" anchory="text"/>
              </v:shape>
            </w:pict>
          </mc:Fallback>
        </mc:AlternateContent>
      </w:r>
    </w:p>
    <w:p>
      <w:pPr>
        <w:pStyle w:val="61"/>
        <w:ind w:left="448" w:firstLine="214" w:firstLineChars="100"/>
        <w:rPr>
          <w:rFonts w:hint="default"/>
        </w:rPr>
      </w:pPr>
      <w:r>
        <w:rPr>
          <w:rFonts w:hint="default"/>
        </w:rPr>
        <w:drawing>
          <wp:anchor distT="0" distB="0" distL="114300" distR="114300" simplePos="0" relativeHeight="54" behindDoc="0" locked="0" layoutInCell="1" hidden="0" allowOverlap="1">
            <wp:simplePos x="0" y="0"/>
            <wp:positionH relativeFrom="column">
              <wp:posOffset>1746885</wp:posOffset>
            </wp:positionH>
            <wp:positionV relativeFrom="paragraph">
              <wp:posOffset>132080</wp:posOffset>
            </wp:positionV>
            <wp:extent cx="2486025" cy="2533650"/>
            <wp:effectExtent l="0" t="0" r="0" b="0"/>
            <wp:wrapNone/>
            <wp:docPr id="1128" name="Picture 3"/>
            <a:graphic xmlns:a="http://schemas.openxmlformats.org/drawingml/2006/main">
              <a:graphicData uri="http://schemas.openxmlformats.org/drawingml/2006/picture">
                <pic:pic xmlns:pic="http://schemas.openxmlformats.org/drawingml/2006/picture">
                  <pic:nvPicPr>
                    <pic:cNvPr id="1128" name="Picture 3"/>
                    <pic:cNvPicPr>
                      <a:picLocks noChangeAspect="1" noChangeArrowheads="1"/>
                    </pic:cNvPicPr>
                  </pic:nvPicPr>
                  <pic:blipFill>
                    <a:blip r:embed="rId12"/>
                    <a:srcRect l="11536" t="12624" r="16772" b="11073"/>
                    <a:stretch>
                      <a:fillRect/>
                    </a:stretch>
                  </pic:blipFill>
                  <pic:spPr>
                    <a:xfrm>
                      <a:off x="0" y="0"/>
                      <a:ext cx="2486025" cy="2533650"/>
                    </a:xfrm>
                    <a:prstGeom prst="rect">
                      <a:avLst/>
                    </a:prstGeom>
                    <a:noFill/>
                    <a:ln>
                      <a:noFill/>
                    </a:ln>
                  </pic:spPr>
                </pic:pic>
              </a:graphicData>
            </a:graphic>
          </wp:anchor>
        </w:drawing>
      </w: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0"/>
        <w:widowControl w:val="1"/>
        <w:jc w:val="left"/>
        <w:rPr>
          <w:rFonts w:hint="default" w:ascii="ＭＳ ゴシック" w:hAnsi="ＭＳ ゴシック" w:eastAsia="ＭＳ ゴシック"/>
        </w:rPr>
      </w:pPr>
      <w:r>
        <w:rPr>
          <w:rFonts w:hint="default"/>
        </w:rPr>
        <w:br w:type="page"/>
      </w:r>
    </w:p>
    <w:p>
      <w:pPr>
        <w:pStyle w:val="82"/>
        <w:ind w:left="784" w:hanging="336"/>
        <w:rPr>
          <w:rFonts w:hint="default"/>
        </w:rPr>
      </w:pPr>
      <w:r>
        <w:rPr>
          <w:rFonts w:hint="eastAsia"/>
        </w:rPr>
        <w:t>②</w:t>
      </w:r>
      <w:r>
        <w:rPr>
          <w:rFonts w:hint="default"/>
        </w:rPr>
        <w:t>知的障がい</w:t>
      </w:r>
    </w:p>
    <w:p>
      <w:pPr>
        <w:pStyle w:val="61"/>
        <w:ind w:left="672" w:leftChars="300" w:firstLine="214" w:firstLineChars="100"/>
        <w:rPr>
          <w:rFonts w:hint="default"/>
        </w:rPr>
      </w:pPr>
      <w:r>
        <w:rPr>
          <w:rFonts w:hint="default"/>
        </w:rPr>
        <w:t>知的障がいの判定では、「Ｂ２</w:t>
      </w:r>
      <w:r>
        <w:rPr>
          <w:rFonts w:hint="default"/>
        </w:rPr>
        <w:t>(</w:t>
      </w:r>
      <w:r>
        <w:rPr>
          <w:rFonts w:hint="default"/>
        </w:rPr>
        <w:t>軽度</w:t>
      </w:r>
      <w:r>
        <w:rPr>
          <w:rFonts w:hint="default"/>
        </w:rPr>
        <w:t>)</w:t>
      </w:r>
      <w:r>
        <w:rPr>
          <w:rFonts w:hint="default"/>
        </w:rPr>
        <w:t>」が</w:t>
      </w:r>
      <w:r>
        <w:rPr>
          <w:rFonts w:hint="default"/>
        </w:rPr>
        <w:t>39.0</w:t>
      </w:r>
      <w:r>
        <w:rPr>
          <w:rFonts w:hint="default"/>
        </w:rPr>
        <w:t>％と最も</w:t>
      </w:r>
      <w:r>
        <w:rPr>
          <w:rFonts w:hint="eastAsia"/>
        </w:rPr>
        <w:t>多く</w:t>
      </w:r>
      <w:r>
        <w:rPr>
          <w:rFonts w:hint="default"/>
        </w:rPr>
        <w:t>、障がいの程度が重くなるほど割合は低く</w:t>
      </w:r>
      <w:r>
        <w:rPr>
          <w:rFonts w:hint="eastAsia"/>
        </w:rPr>
        <w:t>なる傾向にあり</w:t>
      </w:r>
      <w:r>
        <w:rPr>
          <w:rFonts w:hint="default"/>
        </w:rPr>
        <w:t>、「Ａ１</w:t>
      </w:r>
      <w:r>
        <w:rPr>
          <w:rFonts w:hint="default"/>
        </w:rPr>
        <w:t>(</w:t>
      </w:r>
      <w:r>
        <w:rPr>
          <w:rFonts w:hint="default"/>
        </w:rPr>
        <w:t>最重度</w:t>
      </w:r>
      <w:r>
        <w:rPr>
          <w:rFonts w:hint="default"/>
        </w:rPr>
        <w:t>)</w:t>
      </w:r>
      <w:r>
        <w:rPr>
          <w:rFonts w:hint="default"/>
        </w:rPr>
        <w:t>」</w:t>
      </w:r>
      <w:r>
        <w:rPr>
          <w:rFonts w:hint="eastAsia"/>
        </w:rPr>
        <w:t>で</w:t>
      </w:r>
      <w:r>
        <w:rPr>
          <w:rFonts w:hint="default"/>
        </w:rPr>
        <w:t>は</w:t>
      </w:r>
      <w:r>
        <w:rPr>
          <w:rFonts w:hint="default"/>
        </w:rPr>
        <w:t>12.5</w:t>
      </w:r>
      <w:r>
        <w:rPr>
          <w:rFonts w:hint="default"/>
        </w:rPr>
        <w:t>％とな</w:t>
      </w:r>
      <w:r>
        <w:rPr>
          <w:rFonts w:hint="eastAsia"/>
        </w:rPr>
        <w:t>ってい</w:t>
      </w:r>
      <w:r>
        <w:rPr>
          <w:rFonts w:hint="default"/>
        </w:rPr>
        <w:t>ます。</w:t>
      </w:r>
    </w:p>
    <w:p>
      <w:pPr>
        <w:pStyle w:val="61"/>
        <w:spacing w:line="0" w:lineRule="atLeast"/>
        <w:ind w:left="448" w:firstLine="164" w:firstLineChars="100"/>
        <w:rPr>
          <w:rFonts w:hint="default"/>
          <w:sz w:val="16"/>
        </w:rPr>
      </w:pPr>
      <w:r>
        <w:rPr>
          <w:rFonts w:hint="default"/>
          <w:sz w:val="16"/>
        </w:rPr>
        <mc:AlternateContent>
          <mc:Choice Requires="wps">
            <w:drawing>
              <wp:anchor distT="0" distB="0" distL="114300" distR="114300" simplePos="0" relativeHeight="55" behindDoc="0" locked="0" layoutInCell="1" hidden="0" allowOverlap="1">
                <wp:simplePos x="0" y="0"/>
                <wp:positionH relativeFrom="column">
                  <wp:posOffset>3894455</wp:posOffset>
                </wp:positionH>
                <wp:positionV relativeFrom="paragraph">
                  <wp:posOffset>100330</wp:posOffset>
                </wp:positionV>
                <wp:extent cx="1835785" cy="251460"/>
                <wp:effectExtent l="0" t="0" r="635" b="635"/>
                <wp:wrapNone/>
                <wp:docPr id="1129" name="テキスト ボックス 33"/>
                <a:graphic xmlns:a="http://schemas.openxmlformats.org/drawingml/2006/main">
                  <a:graphicData uri="http://schemas.microsoft.com/office/word/2010/wordprocessingShape">
                    <wps:wsp>
                      <wps:cNvPr id="1129" name="テキスト ボックス 33"/>
                      <wps:cNvSpPr txBox="1"/>
                      <wps:spPr>
                        <a:xfrm>
                          <a:off x="0" y="0"/>
                          <a:ext cx="183578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知的障がいの判定</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3" style="mso-wrap-distance-right:9pt;mso-wrap-distance-bottom:0pt;margin-top:7.9pt;mso-position-vertical-relative:text;mso-position-horizontal-relative:text;v-text-anchor:middle;position:absolute;height:19.8pt;mso-wrap-distance-top:0pt;width:144.55000000000001pt;mso-wrap-distance-left:9pt;margin-left:306.64pt;z-index:55;" o:spid="_x0000_s1129" o:allowincell="t" o:allowoverlap="t" filled="f" stroked="f" strokeweight="0.5pt" o:spt="202" type="#_x0000_t202">
                <v:fill/>
                <v:textbox style="layout-flow:horizontal;" inset="0mm,0mm,0mm,0mm">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知的障がいの判定</w:t>
                      </w:r>
                    </w:p>
                  </w:txbxContent>
                </v:textbox>
                <v:imagedata o:title=""/>
                <w10:wrap type="none" anchorx="text" anchory="text"/>
              </v:shape>
            </w:pict>
          </mc:Fallback>
        </mc:AlternateContent>
      </w:r>
      <w:r>
        <w:rPr>
          <w:rFonts w:hint="default"/>
          <w:sz w:val="16"/>
        </w:rPr>
        <w:drawing>
          <wp:anchor distT="0" distB="0" distL="114300" distR="114300" simplePos="0" relativeHeight="57" behindDoc="0" locked="0" layoutInCell="1" hidden="0" allowOverlap="1">
            <wp:simplePos x="0" y="0"/>
            <wp:positionH relativeFrom="column">
              <wp:posOffset>3672205</wp:posOffset>
            </wp:positionH>
            <wp:positionV relativeFrom="page">
              <wp:posOffset>1967865</wp:posOffset>
            </wp:positionV>
            <wp:extent cx="2257425" cy="2495550"/>
            <wp:effectExtent l="0" t="0" r="0" b="0"/>
            <wp:wrapNone/>
            <wp:docPr id="1130" name="Picture 4"/>
            <a:graphic xmlns:a="http://schemas.openxmlformats.org/drawingml/2006/main">
              <a:graphicData uri="http://schemas.openxmlformats.org/drawingml/2006/picture">
                <pic:pic xmlns:pic="http://schemas.openxmlformats.org/drawingml/2006/picture">
                  <pic:nvPicPr>
                    <pic:cNvPr id="1130" name="Picture 4"/>
                    <pic:cNvPicPr>
                      <a:picLocks noChangeAspect="1" noChangeArrowheads="1"/>
                    </pic:cNvPicPr>
                  </pic:nvPicPr>
                  <pic:blipFill>
                    <a:blip r:embed="rId13"/>
                    <a:srcRect l="20313" t="13776" r="14624" b="11040"/>
                    <a:stretch>
                      <a:fillRect/>
                    </a:stretch>
                  </pic:blipFill>
                  <pic:spPr>
                    <a:xfrm>
                      <a:off x="0" y="0"/>
                      <a:ext cx="2257425" cy="2495550"/>
                    </a:xfrm>
                    <a:prstGeom prst="rect">
                      <a:avLst/>
                    </a:prstGeom>
                    <a:noFill/>
                    <a:ln>
                      <a:noFill/>
                    </a:ln>
                  </pic:spPr>
                </pic:pic>
              </a:graphicData>
            </a:graphic>
          </wp:anchor>
        </w:drawing>
      </w:r>
    </w:p>
    <w:tbl>
      <w:tblPr>
        <w:tblStyle w:val="11"/>
        <w:tblW w:w="4536" w:type="dxa"/>
        <w:tblInd w:w="567" w:type="dxa"/>
        <w:shd w:val="clear" w:color="auto" w:fill="FFFF00"/>
        <w:tblLayout w:type="fixed"/>
        <w:tblCellMar>
          <w:top w:w="28" w:type="dxa"/>
          <w:bottom w:w="28" w:type="dxa"/>
        </w:tblCellMar>
        <w:tblLook w:firstRow="0" w:lastRow="0" w:firstColumn="0" w:lastColumn="0" w:noHBand="0" w:noVBand="0" w:val="0000"/>
      </w:tblPr>
      <w:tblGrid>
        <w:gridCol w:w="1843"/>
        <w:gridCol w:w="425"/>
        <w:gridCol w:w="921"/>
        <w:gridCol w:w="1347"/>
      </w:tblGrid>
      <w:tr>
        <w:trPr/>
        <w:tc>
          <w:tcPr>
            <w:tcW w:w="2268"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bottom"/>
          </w:tcPr>
          <w:p>
            <w:pPr>
              <w:pStyle w:val="46"/>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【知的障がいの判定】</w:t>
            </w:r>
          </w:p>
        </w:tc>
        <w:tc>
          <w:tcPr>
            <w:tcW w:w="2268"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rHeight w:val="283" w:hRule="atLeast"/>
        </w:trPr>
        <w:tc>
          <w:tcPr>
            <w:tcW w:w="1843"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判定</w:t>
            </w:r>
          </w:p>
        </w:tc>
        <w:tc>
          <w:tcPr>
            <w:tcW w:w="134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45" w:leftChars="-20" w:right="-45" w:rightChars="-20"/>
              <w:jc w:val="center"/>
              <w:rPr>
                <w:rFonts w:hint="default" w:ascii="ＭＳ ゴシック" w:hAnsi="ＭＳ ゴシック" w:eastAsia="ＭＳ ゴシック"/>
                <w:spacing w:val="-4"/>
                <w:kern w:val="0"/>
                <w:sz w:val="20"/>
              </w:rPr>
            </w:pPr>
            <w:r>
              <w:rPr>
                <w:rFonts w:hint="default" w:ascii="ＭＳ ゴシック" w:hAnsi="ＭＳ ゴシック" w:eastAsia="ＭＳ ゴシック"/>
                <w:spacing w:val="-4"/>
                <w:kern w:val="0"/>
                <w:sz w:val="20"/>
              </w:rPr>
              <w:t>人数</w:t>
            </w:r>
          </w:p>
        </w:tc>
        <w:tc>
          <w:tcPr>
            <w:tcW w:w="13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45" w:leftChars="-20" w:right="-45" w:rightChars="-20"/>
              <w:jc w:val="center"/>
              <w:rPr>
                <w:rFonts w:hint="default" w:ascii="ＭＳ ゴシック" w:hAnsi="ＭＳ ゴシック" w:eastAsia="ＭＳ ゴシック"/>
                <w:spacing w:val="-4"/>
                <w:kern w:val="0"/>
                <w:sz w:val="20"/>
              </w:rPr>
            </w:pPr>
            <w:r>
              <w:rPr>
                <w:rFonts w:hint="default" w:ascii="ＭＳ ゴシック" w:hAnsi="ＭＳ ゴシック" w:eastAsia="ＭＳ ゴシック"/>
                <w:spacing w:val="-4"/>
                <w:kern w:val="0"/>
                <w:sz w:val="20"/>
              </w:rPr>
              <w:t>構成比</w:t>
            </w:r>
          </w:p>
        </w:tc>
      </w:tr>
      <w:tr>
        <w:trPr>
          <w:trHeight w:val="283" w:hRule="atLeast"/>
        </w:trPr>
        <w:tc>
          <w:tcPr>
            <w:tcW w:w="1843"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Ａ１（最重度）</w:t>
            </w:r>
          </w:p>
        </w:tc>
        <w:tc>
          <w:tcPr>
            <w:tcW w:w="134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65</w:t>
            </w:r>
          </w:p>
        </w:tc>
        <w:tc>
          <w:tcPr>
            <w:tcW w:w="13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12.5</w:t>
            </w:r>
          </w:p>
        </w:tc>
      </w:tr>
      <w:tr>
        <w:trPr>
          <w:trHeight w:val="283" w:hRule="atLeast"/>
        </w:trPr>
        <w:tc>
          <w:tcPr>
            <w:tcW w:w="1843"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Ａ２（重　度）</w:t>
            </w:r>
          </w:p>
        </w:tc>
        <w:tc>
          <w:tcPr>
            <w:tcW w:w="134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128</w:t>
            </w:r>
          </w:p>
        </w:tc>
        <w:tc>
          <w:tcPr>
            <w:tcW w:w="13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24.6</w:t>
            </w:r>
          </w:p>
        </w:tc>
      </w:tr>
      <w:tr>
        <w:trPr>
          <w:trHeight w:val="283" w:hRule="atLeast"/>
        </w:trPr>
        <w:tc>
          <w:tcPr>
            <w:tcW w:w="1843"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Ｂ１（中　度）</w:t>
            </w:r>
          </w:p>
        </w:tc>
        <w:tc>
          <w:tcPr>
            <w:tcW w:w="134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125</w:t>
            </w:r>
          </w:p>
        </w:tc>
        <w:tc>
          <w:tcPr>
            <w:tcW w:w="13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24.0</w:t>
            </w:r>
          </w:p>
        </w:tc>
      </w:tr>
      <w:tr>
        <w:trPr>
          <w:trHeight w:val="283" w:hRule="atLeast"/>
        </w:trPr>
        <w:tc>
          <w:tcPr>
            <w:tcW w:w="1843"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Ｂ２（軽　度）</w:t>
            </w:r>
          </w:p>
        </w:tc>
        <w:tc>
          <w:tcPr>
            <w:tcW w:w="1346"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203</w:t>
            </w:r>
          </w:p>
        </w:tc>
        <w:tc>
          <w:tcPr>
            <w:tcW w:w="134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39.0</w:t>
            </w:r>
          </w:p>
        </w:tc>
      </w:tr>
      <w:tr>
        <w:trPr>
          <w:trHeight w:val="283" w:hRule="atLeast"/>
        </w:trPr>
        <w:tc>
          <w:tcPr>
            <w:tcW w:w="1843" w:type="dxa"/>
            <w:tcBorders>
              <w:top w:val="doub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計</w:t>
            </w:r>
          </w:p>
        </w:tc>
        <w:tc>
          <w:tcPr>
            <w:tcW w:w="1346"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521</w:t>
            </w:r>
          </w:p>
        </w:tc>
        <w:tc>
          <w:tcPr>
            <w:tcW w:w="134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r>
    </w:tbl>
    <w:p>
      <w:pPr>
        <w:pStyle w:val="62"/>
        <w:spacing w:before="37" w:beforeLines="0" w:beforeAutospacing="0" w:after="0" w:afterLines="0" w:afterAutospacing="0"/>
        <w:ind w:left="1172"/>
        <w:rPr>
          <w:rFonts w:hint="default"/>
        </w:rPr>
      </w:pPr>
      <w:r>
        <w:rPr>
          <w:rFonts w:hint="eastAsia"/>
        </w:rPr>
        <w:t>資料：保健福祉課（令和５年３月末現在）</w:t>
      </w: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82"/>
        <w:ind w:left="784" w:hanging="336"/>
        <w:rPr>
          <w:rFonts w:hint="default"/>
        </w:rPr>
      </w:pPr>
      <w:r>
        <w:rPr>
          <w:rFonts w:hint="default"/>
        </w:rPr>
        <w:t>③</w:t>
      </w:r>
      <w:r>
        <w:rPr>
          <w:rFonts w:hint="default"/>
        </w:rPr>
        <w:t>精神障がい</w:t>
      </w:r>
    </w:p>
    <w:p>
      <w:pPr>
        <w:pStyle w:val="61"/>
        <w:ind w:left="672" w:leftChars="300" w:firstLine="214" w:firstLineChars="100"/>
        <w:rPr>
          <w:rFonts w:hint="default"/>
        </w:rPr>
      </w:pPr>
      <w:r>
        <w:rPr>
          <w:rFonts w:hint="default"/>
        </w:rPr>
        <w:t>精神障がいの程度を表わす等級</w:t>
      </w:r>
      <w:r>
        <w:rPr>
          <w:rFonts w:hint="default"/>
        </w:rPr>
        <w:t>(</w:t>
      </w:r>
      <w:r>
        <w:rPr>
          <w:rFonts w:hint="default"/>
        </w:rPr>
        <w:t>数値が小さいほど重度</w:t>
      </w:r>
      <w:r>
        <w:rPr>
          <w:rFonts w:hint="default"/>
        </w:rPr>
        <w:t>)</w:t>
      </w:r>
      <w:r>
        <w:rPr>
          <w:rFonts w:hint="default"/>
        </w:rPr>
        <w:t>は、「２級」が</w:t>
      </w:r>
      <w:r>
        <w:rPr>
          <w:rFonts w:hint="eastAsia"/>
        </w:rPr>
        <w:t>57.8</w:t>
      </w:r>
      <w:r>
        <w:rPr>
          <w:rFonts w:hint="default"/>
        </w:rPr>
        <w:t>％と最も</w:t>
      </w:r>
      <w:r>
        <w:rPr>
          <w:rFonts w:hint="eastAsia"/>
        </w:rPr>
        <w:t>多く</w:t>
      </w:r>
      <w:r>
        <w:rPr>
          <w:rFonts w:hint="default"/>
        </w:rPr>
        <w:t>、次に「１級」が</w:t>
      </w:r>
      <w:r>
        <w:rPr>
          <w:rFonts w:hint="default"/>
        </w:rPr>
        <w:t>25.2</w:t>
      </w:r>
      <w:r>
        <w:rPr>
          <w:rFonts w:hint="default"/>
        </w:rPr>
        <w:t>％</w:t>
      </w:r>
      <w:r>
        <w:rPr>
          <w:rFonts w:hint="eastAsia"/>
        </w:rPr>
        <w:t>、「３級」が</w:t>
      </w:r>
      <w:r>
        <w:rPr>
          <w:rFonts w:hint="default"/>
        </w:rPr>
        <w:t>17.1</w:t>
      </w:r>
      <w:r>
        <w:rPr>
          <w:rFonts w:hint="eastAsia"/>
        </w:rPr>
        <w:t>％</w:t>
      </w:r>
      <w:r>
        <w:rPr>
          <w:rFonts w:hint="default"/>
        </w:rPr>
        <w:t>とな</w:t>
      </w:r>
      <w:r>
        <w:rPr>
          <w:rFonts w:hint="eastAsia"/>
        </w:rPr>
        <w:t>ってい</w:t>
      </w:r>
      <w:r>
        <w:rPr>
          <w:rFonts w:hint="default"/>
        </w:rPr>
        <w:t>ます。</w:t>
      </w:r>
    </w:p>
    <w:p>
      <w:pPr>
        <w:pStyle w:val="61"/>
        <w:spacing w:line="0" w:lineRule="atLeast"/>
        <w:ind w:left="448" w:firstLine="164" w:firstLineChars="100"/>
        <w:rPr>
          <w:rFonts w:hint="default"/>
          <w:sz w:val="16"/>
        </w:rPr>
      </w:pPr>
      <w:r>
        <w:rPr>
          <w:rFonts w:hint="default"/>
          <w:sz w:val="16"/>
        </w:rPr>
        <mc:AlternateContent>
          <mc:Choice Requires="wps">
            <w:drawing>
              <wp:anchor distT="0" distB="0" distL="114300" distR="114300" simplePos="0" relativeHeight="56" behindDoc="0" locked="0" layoutInCell="1" hidden="0" allowOverlap="1">
                <wp:simplePos x="0" y="0"/>
                <wp:positionH relativeFrom="column">
                  <wp:posOffset>4069715</wp:posOffset>
                </wp:positionH>
                <wp:positionV relativeFrom="paragraph">
                  <wp:posOffset>123190</wp:posOffset>
                </wp:positionV>
                <wp:extent cx="1835785" cy="251460"/>
                <wp:effectExtent l="0" t="0" r="635" b="635"/>
                <wp:wrapNone/>
                <wp:docPr id="1131" name="テキスト ボックス 36"/>
                <a:graphic xmlns:a="http://schemas.openxmlformats.org/drawingml/2006/main">
                  <a:graphicData uri="http://schemas.microsoft.com/office/word/2010/wordprocessingShape">
                    <wps:wsp>
                      <wps:cNvPr id="1131" name="テキスト ボックス 36"/>
                      <wps:cNvSpPr txBox="1"/>
                      <wps:spPr>
                        <a:xfrm>
                          <a:off x="0" y="0"/>
                          <a:ext cx="183578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精神障がいの等級</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6" style="mso-wrap-distance-right:9pt;mso-wrap-distance-bottom:0pt;margin-top:9.69pt;mso-position-vertical-relative:text;mso-position-horizontal-relative:text;v-text-anchor:middle;position:absolute;height:19.8pt;mso-wrap-distance-top:0pt;width:144.55000000000001pt;mso-wrap-distance-left:9pt;margin-left:320.45pt;z-index:56;" o:spid="_x0000_s1131" o:allowincell="t" o:allowoverlap="t" filled="f" stroked="f" strokeweight="0.5pt" o:spt="202" type="#_x0000_t202">
                <v:fill/>
                <v:textbox style="layout-flow:horizontal;" inset="0mm,0mm,0mm,0mm">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精神障がいの等級</w:t>
                      </w:r>
                    </w:p>
                  </w:txbxContent>
                </v:textbox>
                <v:imagedata o:title=""/>
                <w10:wrap type="none" anchorx="text" anchory="text"/>
              </v:shape>
            </w:pict>
          </mc:Fallback>
        </mc:AlternateContent>
      </w:r>
      <w:r>
        <w:rPr>
          <w:rFonts w:hint="default"/>
          <w:sz w:val="16"/>
        </w:rPr>
        <w:drawing>
          <wp:anchor distT="0" distB="0" distL="114300" distR="114300" simplePos="0" relativeHeight="58" behindDoc="0" locked="0" layoutInCell="1" hidden="0" allowOverlap="1">
            <wp:simplePos x="0" y="0"/>
            <wp:positionH relativeFrom="column">
              <wp:posOffset>3938905</wp:posOffset>
            </wp:positionH>
            <wp:positionV relativeFrom="paragraph">
              <wp:posOffset>368935</wp:posOffset>
            </wp:positionV>
            <wp:extent cx="2124075" cy="2286000"/>
            <wp:effectExtent l="0" t="0" r="0" b="0"/>
            <wp:wrapNone/>
            <wp:docPr id="1132" name="Picture 5"/>
            <a:graphic xmlns:a="http://schemas.openxmlformats.org/drawingml/2006/main">
              <a:graphicData uri="http://schemas.openxmlformats.org/drawingml/2006/picture">
                <pic:pic xmlns:pic="http://schemas.openxmlformats.org/drawingml/2006/picture">
                  <pic:nvPicPr>
                    <pic:cNvPr id="1132" name="Picture 5"/>
                    <pic:cNvPicPr>
                      <a:picLocks noChangeAspect="1" noChangeArrowheads="1"/>
                    </pic:cNvPicPr>
                  </pic:nvPicPr>
                  <pic:blipFill>
                    <a:blip r:embed="rId14"/>
                    <a:srcRect l="21973" t="16638" r="16774" b="14516"/>
                    <a:stretch>
                      <a:fillRect/>
                    </a:stretch>
                  </pic:blipFill>
                  <pic:spPr>
                    <a:xfrm>
                      <a:off x="0" y="0"/>
                      <a:ext cx="2124075" cy="2286000"/>
                    </a:xfrm>
                    <a:prstGeom prst="rect">
                      <a:avLst/>
                    </a:prstGeom>
                    <a:noFill/>
                    <a:ln>
                      <a:noFill/>
                    </a:ln>
                  </pic:spPr>
                </pic:pic>
              </a:graphicData>
            </a:graphic>
          </wp:anchor>
        </w:drawing>
      </w:r>
    </w:p>
    <w:tbl>
      <w:tblPr>
        <w:tblStyle w:val="11"/>
        <w:tblW w:w="4536" w:type="dxa"/>
        <w:tblInd w:w="567" w:type="dxa"/>
        <w:shd w:val="clear" w:color="auto" w:fill="FFFF00"/>
        <w:tblLayout w:type="fixed"/>
        <w:tblCellMar>
          <w:top w:w="28" w:type="dxa"/>
          <w:bottom w:w="28" w:type="dxa"/>
        </w:tblCellMar>
        <w:tblLook w:firstRow="0" w:lastRow="0" w:firstColumn="0" w:lastColumn="0" w:noHBand="0" w:noVBand="0" w:val="0000"/>
      </w:tblPr>
      <w:tblGrid>
        <w:gridCol w:w="1843"/>
        <w:gridCol w:w="425"/>
        <w:gridCol w:w="921"/>
        <w:gridCol w:w="1347"/>
      </w:tblGrid>
      <w:tr>
        <w:trPr/>
        <w:tc>
          <w:tcPr>
            <w:tcW w:w="2268"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bottom"/>
          </w:tcPr>
          <w:p>
            <w:pPr>
              <w:pStyle w:val="46"/>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【精神障がいの等級】</w:t>
            </w:r>
          </w:p>
        </w:tc>
        <w:tc>
          <w:tcPr>
            <w:tcW w:w="2268"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rHeight w:val="283" w:hRule="atLeast"/>
        </w:trPr>
        <w:tc>
          <w:tcPr>
            <w:tcW w:w="1843"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等級</w:t>
            </w:r>
          </w:p>
        </w:tc>
        <w:tc>
          <w:tcPr>
            <w:tcW w:w="134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45" w:leftChars="-20" w:right="-45" w:rightChars="-20"/>
              <w:jc w:val="center"/>
              <w:rPr>
                <w:rFonts w:hint="default" w:ascii="ＭＳ ゴシック" w:hAnsi="ＭＳ ゴシック" w:eastAsia="ＭＳ ゴシック"/>
                <w:spacing w:val="-4"/>
                <w:kern w:val="0"/>
                <w:sz w:val="20"/>
              </w:rPr>
            </w:pPr>
            <w:r>
              <w:rPr>
                <w:rFonts w:hint="default" w:ascii="ＭＳ ゴシック" w:hAnsi="ＭＳ ゴシック" w:eastAsia="ＭＳ ゴシック"/>
                <w:spacing w:val="-4"/>
                <w:kern w:val="0"/>
                <w:sz w:val="20"/>
              </w:rPr>
              <w:t>人数</w:t>
            </w:r>
          </w:p>
        </w:tc>
        <w:tc>
          <w:tcPr>
            <w:tcW w:w="13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45" w:leftChars="-20" w:right="-45" w:rightChars="-20"/>
              <w:jc w:val="center"/>
              <w:rPr>
                <w:rFonts w:hint="default" w:ascii="ＭＳ ゴシック" w:hAnsi="ＭＳ ゴシック" w:eastAsia="ＭＳ ゴシック"/>
                <w:spacing w:val="-4"/>
                <w:kern w:val="0"/>
                <w:sz w:val="20"/>
              </w:rPr>
            </w:pPr>
            <w:r>
              <w:rPr>
                <w:rFonts w:hint="default" w:ascii="ＭＳ ゴシック" w:hAnsi="ＭＳ ゴシック" w:eastAsia="ＭＳ ゴシック"/>
                <w:spacing w:val="-4"/>
                <w:kern w:val="0"/>
                <w:sz w:val="20"/>
              </w:rPr>
              <w:t>構成比</w:t>
            </w:r>
          </w:p>
        </w:tc>
      </w:tr>
      <w:tr>
        <w:trPr>
          <w:trHeight w:val="283" w:hRule="atLeast"/>
        </w:trPr>
        <w:tc>
          <w:tcPr>
            <w:tcW w:w="1843"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１級</w:t>
            </w:r>
          </w:p>
        </w:tc>
        <w:tc>
          <w:tcPr>
            <w:tcW w:w="134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149</w:t>
            </w:r>
          </w:p>
        </w:tc>
        <w:tc>
          <w:tcPr>
            <w:tcW w:w="13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25.2</w:t>
            </w:r>
          </w:p>
        </w:tc>
      </w:tr>
      <w:tr>
        <w:trPr>
          <w:trHeight w:val="283" w:hRule="atLeast"/>
        </w:trPr>
        <w:tc>
          <w:tcPr>
            <w:tcW w:w="1843"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２級</w:t>
            </w:r>
          </w:p>
        </w:tc>
        <w:tc>
          <w:tcPr>
            <w:tcW w:w="134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342</w:t>
            </w:r>
          </w:p>
        </w:tc>
        <w:tc>
          <w:tcPr>
            <w:tcW w:w="13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57.8</w:t>
            </w:r>
          </w:p>
        </w:tc>
      </w:tr>
      <w:tr>
        <w:trPr>
          <w:trHeight w:val="283" w:hRule="atLeast"/>
        </w:trPr>
        <w:tc>
          <w:tcPr>
            <w:tcW w:w="1843"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３級</w:t>
            </w:r>
          </w:p>
        </w:tc>
        <w:tc>
          <w:tcPr>
            <w:tcW w:w="1346"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101</w:t>
            </w:r>
          </w:p>
        </w:tc>
        <w:tc>
          <w:tcPr>
            <w:tcW w:w="134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u w:val="single" w:color="auto"/>
              </w:rPr>
            </w:pPr>
            <w:r>
              <w:rPr>
                <w:rFonts w:hint="default" w:ascii="ＭＳ ゴシック" w:hAnsi="ＭＳ ゴシック" w:eastAsia="ＭＳ ゴシック"/>
                <w:w w:val="100"/>
                <w:sz w:val="20"/>
              </w:rPr>
              <w:t>17.1</w:t>
            </w:r>
          </w:p>
        </w:tc>
      </w:tr>
      <w:tr>
        <w:trPr>
          <w:trHeight w:val="283" w:hRule="atLeast"/>
        </w:trPr>
        <w:tc>
          <w:tcPr>
            <w:tcW w:w="1843" w:type="dxa"/>
            <w:tcBorders>
              <w:top w:val="doub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計</w:t>
            </w:r>
          </w:p>
        </w:tc>
        <w:tc>
          <w:tcPr>
            <w:tcW w:w="1346"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592</w:t>
            </w:r>
          </w:p>
        </w:tc>
        <w:tc>
          <w:tcPr>
            <w:tcW w:w="134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r>
    </w:tbl>
    <w:p>
      <w:pPr>
        <w:pStyle w:val="62"/>
        <w:spacing w:before="37" w:beforeLines="0" w:beforeAutospacing="0" w:after="0" w:afterLines="0" w:afterAutospacing="0"/>
        <w:ind w:left="1172"/>
        <w:rPr>
          <w:rFonts w:hint="default"/>
        </w:rPr>
      </w:pPr>
      <w:r>
        <w:rPr>
          <w:rFonts w:hint="eastAsia"/>
        </w:rPr>
        <w:t>資料：保健福祉課（令和５年３月末現在）</w:t>
      </w:r>
    </w:p>
    <w:p>
      <w:pPr>
        <w:pStyle w:val="61"/>
        <w:ind w:left="448" w:firstLine="214" w:firstLineChars="100"/>
        <w:rPr>
          <w:rFonts w:hint="default"/>
        </w:rPr>
      </w:pPr>
    </w:p>
    <w:p>
      <w:pPr>
        <w:pStyle w:val="0"/>
        <w:widowControl w:val="1"/>
        <w:jc w:val="left"/>
        <w:rPr>
          <w:rFonts w:hint="default" w:ascii="ＭＳ ゴシック" w:hAnsi="ＭＳ ゴシック" w:eastAsia="ＭＳ ゴシック"/>
          <w:sz w:val="24"/>
        </w:rPr>
      </w:pPr>
      <w:r>
        <w:rPr>
          <w:rFonts w:hint="default"/>
        </w:rPr>
        <w:br w:type="page"/>
      </w:r>
    </w:p>
    <w:p>
      <w:pPr>
        <w:pStyle w:val="60"/>
        <w:spacing w:after="74" w:afterLines="0" w:afterAutospacing="0"/>
        <w:ind w:left="112"/>
        <w:rPr>
          <w:rFonts w:hint="default"/>
          <w:u w:val="single" w:color="auto"/>
        </w:rPr>
      </w:pPr>
      <w:r>
        <w:rPr>
          <w:rFonts w:hint="eastAsia"/>
        </w:rPr>
        <w:t>（５）</w:t>
      </w:r>
      <w:r>
        <w:rPr>
          <w:rFonts w:hint="eastAsia"/>
          <w:u w:val="single" w:color="auto"/>
        </w:rPr>
        <w:t>手当支給・医療費助成の状況</w:t>
      </w:r>
    </w:p>
    <w:p>
      <w:pPr>
        <w:pStyle w:val="82"/>
        <w:ind w:left="784" w:hanging="336"/>
        <w:rPr>
          <w:rFonts w:hint="default"/>
        </w:rPr>
      </w:pPr>
      <w:r>
        <w:rPr>
          <w:rFonts w:hint="eastAsia"/>
        </w:rPr>
        <w:t>①</w:t>
      </w:r>
      <w:r>
        <w:rPr>
          <w:rFonts w:hint="default"/>
        </w:rPr>
        <w:t>手当支給</w:t>
      </w:r>
    </w:p>
    <w:p>
      <w:pPr>
        <w:pStyle w:val="61"/>
        <w:ind w:left="672" w:leftChars="300" w:firstLine="214" w:firstLineChars="100"/>
        <w:rPr>
          <w:rFonts w:hint="default"/>
        </w:rPr>
      </w:pPr>
      <w:r>
        <w:rPr>
          <w:rFonts w:hint="default"/>
          <w:vertAlign w:val="superscript"/>
        </w:rPr>
        <w:t>※</w:t>
      </w:r>
      <w:r>
        <w:rPr>
          <w:rFonts w:hint="default"/>
          <w:vertAlign w:val="superscript"/>
        </w:rPr>
        <w:t>１</w:t>
      </w:r>
      <w:r>
        <w:rPr>
          <w:rFonts w:hint="default"/>
        </w:rPr>
        <w:t>特別児童扶養手当の支給</w:t>
      </w:r>
      <w:r>
        <w:rPr>
          <w:rFonts w:hint="eastAsia"/>
        </w:rPr>
        <w:t>者数</w:t>
      </w:r>
      <w:r>
        <w:rPr>
          <w:rFonts w:hint="default"/>
        </w:rPr>
        <w:t>は毎年</w:t>
      </w:r>
      <w:r>
        <w:rPr>
          <w:rFonts w:hint="eastAsia"/>
        </w:rPr>
        <w:t>度</w:t>
      </w:r>
      <w:r>
        <w:rPr>
          <w:rFonts w:hint="default"/>
        </w:rPr>
        <w:t>増えており、平成</w:t>
      </w:r>
      <w:r>
        <w:rPr>
          <w:rFonts w:hint="eastAsia"/>
        </w:rPr>
        <w:t>30</w:t>
      </w:r>
      <w:r>
        <w:rPr>
          <w:rFonts w:hint="default"/>
        </w:rPr>
        <w:t>年度の</w:t>
      </w:r>
      <w:r>
        <w:rPr>
          <w:rFonts w:hint="default"/>
        </w:rPr>
        <w:t>259</w:t>
      </w:r>
      <w:r>
        <w:rPr>
          <w:rFonts w:hint="default"/>
        </w:rPr>
        <w:t>人から</w:t>
      </w:r>
      <w:r>
        <w:rPr>
          <w:rFonts w:hint="eastAsia"/>
        </w:rPr>
        <w:t>令和４年</w:t>
      </w:r>
      <w:r>
        <w:rPr>
          <w:rFonts w:hint="default"/>
        </w:rPr>
        <w:t>度では</w:t>
      </w:r>
      <w:r>
        <w:rPr>
          <w:rFonts w:hint="default"/>
        </w:rPr>
        <w:t>301</w:t>
      </w:r>
      <w:r>
        <w:rPr>
          <w:rFonts w:hint="default"/>
        </w:rPr>
        <w:t>人と、この４年間で</w:t>
      </w:r>
      <w:r>
        <w:rPr>
          <w:rFonts w:hint="eastAsia"/>
        </w:rPr>
        <w:t>42</w:t>
      </w:r>
      <w:r>
        <w:rPr>
          <w:rFonts w:hint="default"/>
        </w:rPr>
        <w:t>人の増となります。</w:t>
      </w:r>
    </w:p>
    <w:p>
      <w:pPr>
        <w:pStyle w:val="61"/>
        <w:ind w:left="672" w:leftChars="300" w:firstLine="206" w:firstLineChars="100"/>
        <w:rPr>
          <w:rFonts w:hint="default"/>
          <w:spacing w:val="-4"/>
        </w:rPr>
      </w:pPr>
      <w:r>
        <w:rPr>
          <w:rFonts w:hint="default"/>
          <w:spacing w:val="-4"/>
        </w:rPr>
        <w:t>一方、</w:t>
      </w:r>
      <w:r>
        <w:rPr>
          <w:rFonts w:hint="eastAsia"/>
          <w:spacing w:val="-4"/>
        </w:rPr>
        <w:t>平成</w:t>
      </w:r>
      <w:r>
        <w:rPr>
          <w:rFonts w:hint="eastAsia"/>
          <w:spacing w:val="-4"/>
        </w:rPr>
        <w:t>30</w:t>
      </w:r>
      <w:r>
        <w:rPr>
          <w:rFonts w:hint="eastAsia"/>
          <w:spacing w:val="-4"/>
        </w:rPr>
        <w:t>年度以降の</w:t>
      </w:r>
      <w:bookmarkStart w:id="20" w:name="_Hlk156923495"/>
      <w:r>
        <w:rPr>
          <w:rFonts w:hint="default"/>
          <w:spacing w:val="-4"/>
          <w:vertAlign w:val="superscript"/>
        </w:rPr>
        <w:t>※</w:t>
      </w:r>
      <w:r>
        <w:rPr>
          <w:rFonts w:hint="default"/>
          <w:spacing w:val="-4"/>
          <w:vertAlign w:val="superscript"/>
        </w:rPr>
        <w:t>２</w:t>
      </w:r>
      <w:bookmarkEnd w:id="20"/>
      <w:r>
        <w:rPr>
          <w:rFonts w:hint="default"/>
          <w:spacing w:val="-4"/>
        </w:rPr>
        <w:t>特別障害者手当</w:t>
      </w:r>
      <w:r>
        <w:rPr>
          <w:rFonts w:hint="eastAsia"/>
          <w:spacing w:val="-4"/>
        </w:rPr>
        <w:t>の支給者数</w:t>
      </w:r>
      <w:r>
        <w:rPr>
          <w:rFonts w:hint="default"/>
          <w:spacing w:val="-4"/>
        </w:rPr>
        <w:t>は</w:t>
      </w:r>
      <w:r>
        <w:rPr>
          <w:rFonts w:hint="default"/>
          <w:spacing w:val="-4"/>
        </w:rPr>
        <w:t>30</w:t>
      </w:r>
      <w:r>
        <w:rPr>
          <w:rFonts w:hint="default"/>
          <w:spacing w:val="-4"/>
        </w:rPr>
        <w:t>人程度</w:t>
      </w:r>
      <w:r>
        <w:rPr>
          <w:rFonts w:hint="eastAsia"/>
          <w:spacing w:val="-4"/>
        </w:rPr>
        <w:t>で推移し</w:t>
      </w:r>
      <w:r>
        <w:rPr>
          <w:rFonts w:hint="default"/>
          <w:spacing w:val="-4"/>
        </w:rPr>
        <w:t>、</w:t>
      </w:r>
      <w:r>
        <w:rPr>
          <w:rFonts w:hint="default"/>
          <w:spacing w:val="-4"/>
          <w:vertAlign w:val="superscript"/>
        </w:rPr>
        <w:t>※</w:t>
      </w:r>
      <w:r>
        <w:rPr>
          <w:rFonts w:hint="default"/>
          <w:spacing w:val="-4"/>
          <w:vertAlign w:val="superscript"/>
        </w:rPr>
        <w:t>３</w:t>
      </w:r>
      <w:r>
        <w:rPr>
          <w:rFonts w:hint="default"/>
          <w:spacing w:val="-4"/>
        </w:rPr>
        <w:t>障害児福祉手当</w:t>
      </w:r>
      <w:r>
        <w:rPr>
          <w:rFonts w:hint="eastAsia"/>
          <w:spacing w:val="-4"/>
        </w:rPr>
        <w:t>の支給者数</w:t>
      </w:r>
      <w:r>
        <w:rPr>
          <w:rFonts w:hint="default"/>
          <w:spacing w:val="-4"/>
        </w:rPr>
        <w:t>は</w:t>
      </w:r>
      <w:r>
        <w:rPr>
          <w:rFonts w:hint="default"/>
          <w:spacing w:val="-4"/>
        </w:rPr>
        <w:t>40</w:t>
      </w:r>
      <w:r>
        <w:rPr>
          <w:rFonts w:hint="default"/>
          <w:spacing w:val="-4"/>
        </w:rPr>
        <w:t>人程度で推移しています。</w:t>
      </w:r>
    </w:p>
    <w:p>
      <w:pPr>
        <w:pStyle w:val="61"/>
        <w:spacing w:line="0" w:lineRule="atLeast"/>
        <w:ind w:left="448" w:firstLine="164" w:firstLineChars="100"/>
        <w:rPr>
          <w:rFonts w:hint="default"/>
          <w:sz w:val="16"/>
        </w:rPr>
      </w:pPr>
    </w:p>
    <w:tbl>
      <w:tblPr>
        <w:tblStyle w:val="11"/>
        <w:tblW w:w="8969" w:type="dxa"/>
        <w:tblInd w:w="567" w:type="dxa"/>
        <w:tblLayout w:type="fixed"/>
        <w:tblCellMar>
          <w:top w:w="28" w:type="dxa"/>
          <w:bottom w:w="28" w:type="dxa"/>
        </w:tblCellMar>
        <w:tblLook w:firstRow="0" w:lastRow="0" w:firstColumn="0" w:lastColumn="0" w:noHBand="0" w:noVBand="0" w:val="0000"/>
      </w:tblPr>
      <w:tblGrid>
        <w:gridCol w:w="1985"/>
        <w:gridCol w:w="1396"/>
        <w:gridCol w:w="162"/>
        <w:gridCol w:w="1235"/>
        <w:gridCol w:w="1397"/>
        <w:gridCol w:w="484"/>
        <w:gridCol w:w="913"/>
        <w:gridCol w:w="1368"/>
        <w:gridCol w:w="29"/>
      </w:tblGrid>
      <w:tr>
        <w:trPr>
          <w:gridAfter w:val="1"/>
          <w:wAfter w:w="29" w:type="dxa"/>
        </w:trPr>
        <w:tc>
          <w:tcPr>
            <w:tcW w:w="3543" w:type="dxa"/>
            <w:gridSpan w:val="3"/>
            <w:vAlign w:val="bottom"/>
          </w:tcPr>
          <w:p>
            <w:pPr>
              <w:pStyle w:val="46"/>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w:t>
            </w:r>
            <w:r>
              <w:rPr>
                <w:rFonts w:hint="eastAsia" w:ascii="ＭＳ ゴシック" w:hAnsi="ＭＳ ゴシック" w:eastAsia="ＭＳ ゴシック"/>
                <w:sz w:val="21"/>
              </w:rPr>
              <w:t>手当支給者数</w:t>
            </w:r>
            <w:r>
              <w:rPr>
                <w:rFonts w:hint="default" w:ascii="ＭＳ ゴシック" w:hAnsi="ＭＳ ゴシック" w:eastAsia="ＭＳ ゴシック"/>
                <w:sz w:val="21"/>
              </w:rPr>
              <w:t>】</w:t>
            </w:r>
          </w:p>
        </w:tc>
        <w:tc>
          <w:tcPr>
            <w:tcW w:w="3116" w:type="dxa"/>
            <w:gridSpan w:val="3"/>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281" w:type="dxa"/>
            <w:gridSpan w:val="2"/>
            <w:tcMar>
              <w:top w:w="0" w:type="dxa"/>
              <w:bottom w:w="0" w:type="dxa"/>
            </w:tcMar>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rHeight w:val="283" w:hRule="atLeast"/>
        </w:trPr>
        <w:tc>
          <w:tcPr>
            <w:tcW w:w="1985"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39"/>
              <w:snapToGrid w:val="0"/>
              <w:spacing w:before="0" w:beforeLines="0" w:beforeAutospacing="0" w:after="0" w:afterLines="0" w:afterAutospacing="0"/>
              <w:rPr>
                <w:rFonts w:hint="default" w:ascii="ＭＳ ゴシック" w:hAnsi="ＭＳ ゴシック" w:eastAsia="ＭＳ ゴシック"/>
                <w:w w:val="100"/>
                <w:sz w:val="20"/>
              </w:rPr>
            </w:pPr>
          </w:p>
        </w:tc>
        <w:tc>
          <w:tcPr>
            <w:tcW w:w="139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年度</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令和元年度</w:t>
            </w:r>
          </w:p>
        </w:tc>
        <w:tc>
          <w:tcPr>
            <w:tcW w:w="139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令和２年度</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令和３年度</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令和４年度</w:t>
            </w:r>
          </w:p>
        </w:tc>
      </w:tr>
      <w:tr>
        <w:trPr>
          <w:trHeight w:val="283" w:hRule="atLeast"/>
        </w:trPr>
        <w:tc>
          <w:tcPr>
            <w:tcW w:w="1985"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特別児童扶養手当</w:t>
            </w:r>
          </w:p>
        </w:tc>
        <w:tc>
          <w:tcPr>
            <w:tcW w:w="139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259</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276</w:t>
            </w:r>
          </w:p>
        </w:tc>
        <w:tc>
          <w:tcPr>
            <w:tcW w:w="139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265</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288</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301</w:t>
            </w:r>
          </w:p>
        </w:tc>
      </w:tr>
      <w:tr>
        <w:trPr>
          <w:trHeight w:val="283" w:hRule="atLeast"/>
        </w:trPr>
        <w:tc>
          <w:tcPr>
            <w:tcW w:w="1985"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特別障害者手当</w:t>
            </w:r>
          </w:p>
        </w:tc>
        <w:tc>
          <w:tcPr>
            <w:tcW w:w="139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w:t>
            </w:r>
          </w:p>
        </w:tc>
        <w:tc>
          <w:tcPr>
            <w:tcW w:w="139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36</w:t>
            </w:r>
          </w:p>
        </w:tc>
      </w:tr>
      <w:tr>
        <w:trPr>
          <w:trHeight w:val="283" w:hRule="atLeast"/>
        </w:trPr>
        <w:tc>
          <w:tcPr>
            <w:tcW w:w="1985"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障害児福祉手当</w:t>
            </w:r>
          </w:p>
        </w:tc>
        <w:tc>
          <w:tcPr>
            <w:tcW w:w="139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42</w:t>
            </w:r>
          </w:p>
        </w:tc>
        <w:tc>
          <w:tcPr>
            <w:tcW w:w="1397"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42</w:t>
            </w:r>
          </w:p>
        </w:tc>
        <w:tc>
          <w:tcPr>
            <w:tcW w:w="139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42</w:t>
            </w:r>
          </w:p>
        </w:tc>
        <w:tc>
          <w:tcPr>
            <w:tcW w:w="1397"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46</w:t>
            </w:r>
          </w:p>
        </w:tc>
        <w:tc>
          <w:tcPr>
            <w:tcW w:w="1397"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42</w:t>
            </w:r>
          </w:p>
        </w:tc>
      </w:tr>
      <w:tr>
        <w:trPr>
          <w:trHeight w:val="283" w:hRule="atLeast"/>
        </w:trPr>
        <w:tc>
          <w:tcPr>
            <w:tcW w:w="1985" w:type="dxa"/>
            <w:tcBorders>
              <w:top w:val="double" w:color="auto"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計</w:t>
            </w:r>
          </w:p>
        </w:tc>
        <w:tc>
          <w:tcPr>
            <w:tcW w:w="139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329</w:t>
            </w:r>
          </w:p>
        </w:tc>
        <w:tc>
          <w:tcPr>
            <w:tcW w:w="139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353</w:t>
            </w:r>
          </w:p>
        </w:tc>
        <w:tc>
          <w:tcPr>
            <w:tcW w:w="139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342</w:t>
            </w:r>
          </w:p>
        </w:tc>
        <w:tc>
          <w:tcPr>
            <w:tcW w:w="139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369</w:t>
            </w:r>
          </w:p>
        </w:tc>
        <w:tc>
          <w:tcPr>
            <w:tcW w:w="139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379</w:t>
            </w:r>
          </w:p>
        </w:tc>
      </w:tr>
    </w:tbl>
    <w:p>
      <w:pPr>
        <w:pStyle w:val="62"/>
        <w:spacing w:before="37" w:beforeLines="0" w:beforeAutospacing="0" w:after="0" w:afterLines="0" w:afterAutospacing="0"/>
        <w:ind w:left="1172"/>
        <w:rPr>
          <w:rFonts w:hint="default"/>
        </w:rPr>
      </w:pPr>
      <w:r>
        <w:rPr>
          <w:rFonts w:hint="eastAsia"/>
        </w:rPr>
        <w:t>資料：こども課・保健福祉課（各年度８月１日時点）</w:t>
      </w:r>
    </w:p>
    <w:p>
      <w:pPr>
        <w:pStyle w:val="61"/>
        <w:ind w:left="448" w:firstLine="214" w:firstLineChars="100"/>
        <w:rPr>
          <w:rFonts w:hint="default"/>
        </w:rPr>
      </w:pPr>
    </w:p>
    <w:p>
      <w:pPr>
        <w:pStyle w:val="61"/>
        <w:ind w:left="448" w:firstLine="214" w:firstLineChars="100"/>
        <w:rPr>
          <w:rFonts w:hint="default"/>
        </w:rPr>
      </w:pPr>
    </w:p>
    <w:p>
      <w:pPr>
        <w:pStyle w:val="82"/>
        <w:ind w:left="784" w:hanging="336"/>
        <w:rPr>
          <w:rFonts w:hint="default"/>
        </w:rPr>
      </w:pPr>
      <w:r>
        <w:rPr>
          <w:rFonts w:hint="eastAsia"/>
        </w:rPr>
        <w:t>②</w:t>
      </w:r>
      <w:r>
        <w:rPr>
          <w:rFonts w:hint="default"/>
        </w:rPr>
        <w:t>重度心身障</w:t>
      </w:r>
      <w:r>
        <w:rPr>
          <w:rFonts w:hint="eastAsia"/>
        </w:rPr>
        <w:t>がい</w:t>
      </w:r>
      <w:r>
        <w:rPr>
          <w:rFonts w:hint="default"/>
        </w:rPr>
        <w:t>者</w:t>
      </w:r>
      <w:r>
        <w:rPr>
          <w:rFonts w:hint="default"/>
        </w:rPr>
        <w:t>(</w:t>
      </w:r>
      <w:r>
        <w:rPr>
          <w:rFonts w:hint="default"/>
        </w:rPr>
        <w:t>児</w:t>
      </w:r>
      <w:r>
        <w:rPr>
          <w:rFonts w:hint="default"/>
        </w:rPr>
        <w:t>)</w:t>
      </w:r>
      <w:r>
        <w:rPr>
          <w:rFonts w:hint="default"/>
        </w:rPr>
        <w:t>医療費助成</w:t>
      </w:r>
    </w:p>
    <w:p>
      <w:pPr>
        <w:pStyle w:val="61"/>
        <w:ind w:left="672" w:leftChars="300" w:firstLine="214" w:firstLineChars="100"/>
        <w:rPr>
          <w:rFonts w:hint="default"/>
        </w:rPr>
      </w:pPr>
      <w:r>
        <w:rPr>
          <w:rFonts w:hint="default"/>
          <w:vertAlign w:val="superscript"/>
        </w:rPr>
        <w:t>※</w:t>
      </w:r>
      <w:r>
        <w:rPr>
          <w:rFonts w:hint="default"/>
          <w:vertAlign w:val="superscript"/>
        </w:rPr>
        <w:t>４</w:t>
      </w:r>
      <w:r>
        <w:rPr>
          <w:rFonts w:hint="default"/>
        </w:rPr>
        <w:t>重度心身障</w:t>
      </w:r>
      <w:r>
        <w:rPr>
          <w:rFonts w:hint="eastAsia"/>
        </w:rPr>
        <w:t>がい</w:t>
      </w:r>
      <w:r>
        <w:rPr>
          <w:rFonts w:hint="default"/>
        </w:rPr>
        <w:t>者</w:t>
      </w:r>
      <w:r>
        <w:rPr>
          <w:rFonts w:hint="default"/>
        </w:rPr>
        <w:t>(</w:t>
      </w:r>
      <w:r>
        <w:rPr>
          <w:rFonts w:hint="default"/>
        </w:rPr>
        <w:t>児</w:t>
      </w:r>
      <w:r>
        <w:rPr>
          <w:rFonts w:hint="default"/>
        </w:rPr>
        <w:t>)</w:t>
      </w:r>
      <w:r>
        <w:rPr>
          <w:rFonts w:hint="default"/>
        </w:rPr>
        <w:t>医療費助成者数は、毎年</w:t>
      </w:r>
      <w:r>
        <w:rPr>
          <w:rFonts w:hint="eastAsia"/>
        </w:rPr>
        <w:t>度増えており、平成</w:t>
      </w:r>
      <w:r>
        <w:rPr>
          <w:rFonts w:hint="eastAsia"/>
        </w:rPr>
        <w:t>30</w:t>
      </w:r>
      <w:r>
        <w:rPr>
          <w:rFonts w:hint="eastAsia"/>
        </w:rPr>
        <w:t>年度の</w:t>
      </w:r>
      <w:r>
        <w:rPr>
          <w:rFonts w:hint="default"/>
        </w:rPr>
        <w:t>661</w:t>
      </w:r>
      <w:r>
        <w:rPr>
          <w:rFonts w:hint="eastAsia"/>
        </w:rPr>
        <w:t>人から令和４年度では</w:t>
      </w:r>
      <w:r>
        <w:rPr>
          <w:rFonts w:hint="default"/>
        </w:rPr>
        <w:t>709</w:t>
      </w:r>
      <w:r>
        <w:rPr>
          <w:rFonts w:hint="eastAsia"/>
        </w:rPr>
        <w:t>人と、この４年間で</w:t>
      </w:r>
      <w:r>
        <w:rPr>
          <w:rFonts w:hint="eastAsia"/>
        </w:rPr>
        <w:t>48</w:t>
      </w:r>
      <w:r>
        <w:rPr>
          <w:rFonts w:hint="eastAsia"/>
        </w:rPr>
        <w:t>人の増となります</w:t>
      </w:r>
      <w:r>
        <w:rPr>
          <w:rFonts w:hint="default"/>
        </w:rPr>
        <w:t>。</w:t>
      </w:r>
    </w:p>
    <w:p>
      <w:pPr>
        <w:pStyle w:val="61"/>
        <w:spacing w:line="0" w:lineRule="atLeast"/>
        <w:ind w:left="448" w:firstLine="164" w:firstLineChars="100"/>
        <w:rPr>
          <w:rFonts w:hint="default"/>
          <w:sz w:val="16"/>
        </w:rPr>
      </w:pPr>
    </w:p>
    <w:tbl>
      <w:tblPr>
        <w:tblStyle w:val="11"/>
        <w:tblW w:w="8973"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1736"/>
        <w:gridCol w:w="1447"/>
        <w:gridCol w:w="1392"/>
        <w:gridCol w:w="55"/>
        <w:gridCol w:w="686"/>
        <w:gridCol w:w="762"/>
        <w:gridCol w:w="593"/>
        <w:gridCol w:w="854"/>
        <w:gridCol w:w="1415"/>
        <w:gridCol w:w="33"/>
      </w:tblGrid>
      <w:tr>
        <w:trPr>
          <w:gridAfter w:val="1"/>
          <w:wAfter w:w="33" w:type="dxa"/>
          <w:trHeight w:val="270" w:hRule="atLeast"/>
        </w:trPr>
        <w:tc>
          <w:tcPr>
            <w:tcW w:w="4575" w:type="dxa"/>
            <w:gridSpan w:val="3"/>
            <w:tcBorders>
              <w:top w:val="nil"/>
              <w:left w:val="nil"/>
              <w:bottom w:val="none" w:color="auto" w:sz="0" w:space="0"/>
              <w:right w:val="nil"/>
              <w:tl2br w:val="none" w:color="auto" w:sz="0" w:space="0"/>
              <w:tr2bl w:val="none" w:color="auto" w:sz="0" w:space="0"/>
            </w:tcBorders>
            <w:shd w:val="clear" w:color="auto" w:fill="auto"/>
            <w:vAlign w:val="bottom"/>
          </w:tcPr>
          <w:p>
            <w:pPr>
              <w:pStyle w:val="46"/>
              <w:snapToGrid w:val="0"/>
              <w:spacing w:line="0" w:lineRule="atLeast"/>
              <w:ind w:left="-221"/>
              <w:rPr>
                <w:rFonts w:hint="default" w:ascii="ＭＳ ゴシック" w:hAnsi="ＭＳ ゴシック" w:eastAsia="ＭＳ ゴシック"/>
                <w:kern w:val="0"/>
              </w:rPr>
            </w:pPr>
            <w:r>
              <w:rPr>
                <w:rFonts w:hint="eastAsia" w:ascii="ＭＳ ゴシック" w:hAnsi="ＭＳ ゴシック" w:eastAsia="ＭＳ ゴシック"/>
              </w:rPr>
              <w:t>【</w:t>
            </w:r>
            <w:r>
              <w:rPr>
                <w:rFonts w:hint="eastAsia" w:ascii="ＭＳ ゴシック" w:hAnsi="ＭＳ ゴシック" w:eastAsia="ＭＳ ゴシック"/>
                <w:sz w:val="21"/>
              </w:rPr>
              <w:t>重度心身障がい者</w:t>
            </w:r>
            <w:r>
              <w:rPr>
                <w:rFonts w:hint="eastAsia" w:ascii="ＭＳ ゴシック" w:hAnsi="ＭＳ ゴシック" w:eastAsia="ＭＳ ゴシック"/>
                <w:sz w:val="21"/>
              </w:rPr>
              <w:t>(</w:t>
            </w:r>
            <w:r>
              <w:rPr>
                <w:rFonts w:hint="eastAsia" w:ascii="ＭＳ ゴシック" w:hAnsi="ＭＳ ゴシック" w:eastAsia="ＭＳ ゴシック"/>
                <w:sz w:val="21"/>
              </w:rPr>
              <w:t>児</w:t>
            </w:r>
            <w:r>
              <w:rPr>
                <w:rFonts w:hint="eastAsia" w:ascii="ＭＳ ゴシック" w:hAnsi="ＭＳ ゴシック" w:eastAsia="ＭＳ ゴシック"/>
                <w:sz w:val="21"/>
              </w:rPr>
              <w:t>)</w:t>
            </w:r>
            <w:r>
              <w:rPr>
                <w:rFonts w:hint="eastAsia" w:ascii="ＭＳ ゴシック" w:hAnsi="ＭＳ ゴシック" w:eastAsia="ＭＳ ゴシック"/>
                <w:sz w:val="21"/>
              </w:rPr>
              <w:t>医療費助成</w:t>
            </w:r>
            <w:r>
              <w:rPr>
                <w:rFonts w:hint="default" w:ascii="ＭＳ ゴシック" w:hAnsi="ＭＳ ゴシック" w:eastAsia="ＭＳ ゴシック"/>
                <w:sz w:val="21"/>
              </w:rPr>
              <w:t>者数</w:t>
            </w:r>
            <w:r>
              <w:rPr>
                <w:rFonts w:hint="eastAsia" w:ascii="ＭＳ ゴシック" w:hAnsi="ＭＳ ゴシック" w:eastAsia="ＭＳ ゴシック"/>
                <w:sz w:val="21"/>
              </w:rPr>
              <w:t>】</w:t>
            </w:r>
          </w:p>
        </w:tc>
        <w:tc>
          <w:tcPr>
            <w:tcW w:w="741" w:type="dxa"/>
            <w:gridSpan w:val="2"/>
            <w:tcBorders>
              <w:top w:val="nil"/>
              <w:left w:val="nil"/>
              <w:bottom w:val="none" w:color="auto" w:sz="0" w:space="0"/>
              <w:right w:val="nil"/>
              <w:tl2br w:val="none" w:color="auto" w:sz="0" w:space="0"/>
              <w:tr2bl w:val="none" w:color="auto" w:sz="0" w:space="0"/>
            </w:tcBorders>
            <w:shd w:val="clear" w:color="auto" w:fill="auto"/>
            <w:vAlign w:val="bottom"/>
          </w:tcPr>
          <w:p>
            <w:pPr>
              <w:pStyle w:val="0"/>
              <w:snapToGrid w:val="0"/>
              <w:spacing w:line="0" w:lineRule="atLeast"/>
              <w:rPr>
                <w:rFonts w:hint="default" w:ascii="ＭＳ ゴシック" w:hAnsi="ＭＳ ゴシック" w:eastAsia="ＭＳ ゴシック"/>
              </w:rPr>
            </w:pPr>
          </w:p>
        </w:tc>
        <w:tc>
          <w:tcPr>
            <w:tcW w:w="1355" w:type="dxa"/>
            <w:gridSpan w:val="2"/>
            <w:tcBorders>
              <w:top w:val="nil"/>
              <w:left w:val="nil"/>
              <w:bottom w:val="none" w:color="auto" w:sz="0" w:space="0"/>
              <w:right w:val="nil"/>
              <w:tl2br w:val="none" w:color="auto" w:sz="0" w:space="0"/>
              <w:tr2bl w:val="none" w:color="auto" w:sz="0" w:space="0"/>
            </w:tcBorders>
            <w:shd w:val="clear" w:color="auto" w:fill="auto"/>
            <w:vAlign w:val="bottom"/>
          </w:tcPr>
          <w:p>
            <w:pPr>
              <w:pStyle w:val="0"/>
              <w:snapToGrid w:val="0"/>
              <w:spacing w:line="0" w:lineRule="atLeast"/>
              <w:rPr>
                <w:rFonts w:hint="default" w:ascii="ＭＳ ゴシック" w:hAnsi="ＭＳ ゴシック" w:eastAsia="ＭＳ ゴシック"/>
              </w:rPr>
            </w:pPr>
          </w:p>
        </w:tc>
        <w:tc>
          <w:tcPr>
            <w:tcW w:w="2269" w:type="dxa"/>
            <w:gridSpan w:val="2"/>
            <w:tcBorders>
              <w:top w:val="nil"/>
              <w:left w:val="nil"/>
              <w:bottom w:val="none" w:color="auto" w:sz="0" w:space="0"/>
              <w:right w:val="nil"/>
              <w:tl2br w:val="none" w:color="auto" w:sz="0" w:space="0"/>
              <w:tr2bl w:val="none" w:color="auto" w:sz="0" w:space="0"/>
            </w:tcBorders>
            <w:shd w:val="clear" w:color="auto" w:fill="auto"/>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bottom w:w="28" w:type="dxa"/>
          </w:tblCellMar>
          <w:tblLook w:firstRow="0" w:lastRow="0" w:firstColumn="0" w:lastColumn="0" w:noHBand="0" w:noVBand="0" w:val="0000"/>
        </w:tblPrEx>
        <w:trPr>
          <w:trHeight w:val="283" w:hRule="atLeast"/>
        </w:trPr>
        <w:tc>
          <w:tcPr>
            <w:tcW w:w="173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p>
        </w:tc>
        <w:tc>
          <w:tcPr>
            <w:tcW w:w="1447"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年度</w:t>
            </w:r>
          </w:p>
        </w:tc>
        <w:tc>
          <w:tcPr>
            <w:tcW w:w="144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令和元年度</w:t>
            </w:r>
          </w:p>
        </w:tc>
        <w:tc>
          <w:tcPr>
            <w:tcW w:w="144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令和２年度</w:t>
            </w:r>
          </w:p>
        </w:tc>
        <w:tc>
          <w:tcPr>
            <w:tcW w:w="144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令和３年度</w:t>
            </w:r>
          </w:p>
        </w:tc>
        <w:tc>
          <w:tcPr>
            <w:tcW w:w="144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令和４年度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bottom w:w="28" w:type="dxa"/>
          </w:tblCellMar>
          <w:tblLook w:firstRow="0" w:lastRow="0" w:firstColumn="0" w:lastColumn="0" w:noHBand="0" w:noVBand="0" w:val="0000"/>
        </w:tblPrEx>
        <w:trPr>
          <w:trHeight w:val="283" w:hRule="atLeast"/>
        </w:trPr>
        <w:tc>
          <w:tcPr>
            <w:tcW w:w="1736" w:type="dxa"/>
            <w:tcBorders>
              <w:top w:val="none" w:color="auto" w:sz="0" w:space="0"/>
              <w:left w:val="single" w:color="000000"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ＭＳ ゴシック" w:hAnsi="ＭＳ ゴシック" w:eastAsia="ＭＳ ゴシック"/>
                <w:sz w:val="20"/>
              </w:rPr>
            </w:pPr>
            <w:bookmarkStart w:id="21" w:name="_Hlk147485541"/>
            <w:r>
              <w:rPr>
                <w:rFonts w:hint="default" w:ascii="ＭＳ ゴシック" w:hAnsi="ＭＳ ゴシック" w:eastAsia="ＭＳ ゴシック"/>
                <w:sz w:val="20"/>
              </w:rPr>
              <w:t>助成者数</w:t>
            </w:r>
            <w:bookmarkEnd w:id="21"/>
          </w:p>
        </w:tc>
        <w:tc>
          <w:tcPr>
            <w:tcW w:w="1447" w:type="dxa"/>
            <w:tcBorders>
              <w:top w:val="single" w:color="000000"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661</w:t>
            </w:r>
          </w:p>
        </w:tc>
        <w:tc>
          <w:tcPr>
            <w:tcW w:w="144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679</w:t>
            </w:r>
          </w:p>
        </w:tc>
        <w:tc>
          <w:tcPr>
            <w:tcW w:w="144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695</w:t>
            </w:r>
          </w:p>
        </w:tc>
        <w:tc>
          <w:tcPr>
            <w:tcW w:w="144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715</w:t>
            </w:r>
          </w:p>
        </w:tc>
        <w:tc>
          <w:tcPr>
            <w:tcW w:w="144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709</w:t>
            </w:r>
          </w:p>
        </w:tc>
      </w:tr>
    </w:tbl>
    <w:p>
      <w:pPr>
        <w:pStyle w:val="62"/>
        <w:spacing w:before="37" w:beforeLines="0" w:beforeAutospacing="0" w:after="0" w:afterLines="0" w:afterAutospacing="0"/>
        <w:ind w:left="1172"/>
        <w:rPr>
          <w:rFonts w:hint="default"/>
        </w:rPr>
      </w:pPr>
      <w:r>
        <w:rPr>
          <w:rFonts w:hint="eastAsia"/>
        </w:rPr>
        <w:t>資料：保健福祉課（各年度８月１日時点）</w:t>
      </w: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spacing w:line="0" w:lineRule="atLeast"/>
        <w:ind w:left="448" w:firstLine="104" w:firstLineChars="100"/>
        <w:rPr>
          <w:rFonts w:hint="default"/>
          <w:sz w:val="10"/>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76"/>
              <w:spacing w:before="74" w:beforeLines="0" w:beforeAutospacing="0"/>
              <w:ind w:left="224"/>
              <w:rPr>
                <w:rFonts w:hint="default"/>
                <w:color w:val="auto"/>
              </w:rPr>
            </w:pPr>
            <w:r>
              <w:rPr>
                <w:rFonts w:hint="eastAsia"/>
                <w:color w:val="auto"/>
              </w:rPr>
              <w:t>※</w:t>
            </w:r>
            <w:r>
              <w:rPr>
                <w:rFonts w:hint="eastAsia"/>
                <w:color w:val="auto"/>
              </w:rPr>
              <w:t xml:space="preserve">1 </w:t>
            </w:r>
            <w:r>
              <w:rPr>
                <w:rFonts w:hint="eastAsia"/>
                <w:color w:val="auto"/>
              </w:rPr>
              <w:t>特別児童扶養手当</w:t>
            </w:r>
          </w:p>
          <w:p>
            <w:pPr>
              <w:pStyle w:val="75"/>
              <w:ind w:left="448" w:firstLine="204"/>
              <w:rPr>
                <w:rFonts w:hint="default"/>
                <w:color w:val="auto"/>
              </w:rPr>
            </w:pPr>
            <w:r>
              <w:rPr>
                <w:rFonts w:hint="eastAsia"/>
                <w:color w:val="auto"/>
              </w:rPr>
              <w:t>心身に重度または中度の障がいがある</w:t>
            </w:r>
            <w:r>
              <w:rPr>
                <w:rFonts w:hint="eastAsia"/>
                <w:color w:val="auto"/>
              </w:rPr>
              <w:t>20</w:t>
            </w:r>
            <w:r>
              <w:rPr>
                <w:rFonts w:hint="eastAsia"/>
                <w:color w:val="auto"/>
              </w:rPr>
              <w:t>歳未満の児童を扶養している父母、あるいは父母に代わって児童を養育している方を対象に手当を支給します。</w:t>
            </w:r>
          </w:p>
          <w:p>
            <w:pPr>
              <w:pStyle w:val="76"/>
              <w:spacing w:before="74" w:beforeLines="0" w:beforeAutospacing="0"/>
              <w:ind w:left="224"/>
              <w:rPr>
                <w:rFonts w:hint="default"/>
                <w:color w:val="auto"/>
              </w:rPr>
            </w:pPr>
            <w:r>
              <w:rPr>
                <w:rFonts w:hint="eastAsia"/>
                <w:color w:val="auto"/>
              </w:rPr>
              <w:t>※</w:t>
            </w:r>
            <w:r>
              <w:rPr>
                <w:rFonts w:hint="eastAsia"/>
                <w:color w:val="auto"/>
              </w:rPr>
              <w:t xml:space="preserve">2 </w:t>
            </w:r>
            <w:r>
              <w:rPr>
                <w:rFonts w:hint="eastAsia"/>
                <w:color w:val="auto"/>
              </w:rPr>
              <w:t>特別障害者手当</w:t>
            </w:r>
          </w:p>
          <w:p>
            <w:pPr>
              <w:pStyle w:val="75"/>
              <w:ind w:left="448" w:firstLine="204"/>
              <w:rPr>
                <w:rFonts w:hint="default"/>
                <w:color w:val="auto"/>
              </w:rPr>
            </w:pPr>
            <w:r>
              <w:rPr>
                <w:rFonts w:hint="eastAsia"/>
                <w:color w:val="auto"/>
              </w:rPr>
              <w:t>精神又は身体に著しい重度の障がいがあるため、日常生活において常時特別の介護を必要とする</w:t>
            </w:r>
            <w:r>
              <w:rPr>
                <w:rFonts w:hint="eastAsia"/>
                <w:color w:val="auto"/>
              </w:rPr>
              <w:t>20</w:t>
            </w:r>
            <w:r>
              <w:rPr>
                <w:rFonts w:hint="eastAsia"/>
                <w:color w:val="auto"/>
              </w:rPr>
              <w:t>歳以上の在宅の障がい者で、福祉保健所長の認定を受けた方に手当を支給します。</w:t>
            </w:r>
          </w:p>
          <w:p>
            <w:pPr>
              <w:pStyle w:val="76"/>
              <w:spacing w:before="74" w:beforeLines="0" w:beforeAutospacing="0"/>
              <w:ind w:left="224"/>
              <w:rPr>
                <w:rFonts w:hint="default"/>
                <w:color w:val="auto"/>
              </w:rPr>
            </w:pPr>
            <w:r>
              <w:rPr>
                <w:rFonts w:hint="eastAsia"/>
                <w:color w:val="auto"/>
              </w:rPr>
              <w:t>※</w:t>
            </w:r>
            <w:r>
              <w:rPr>
                <w:rFonts w:hint="eastAsia"/>
                <w:color w:val="auto"/>
              </w:rPr>
              <w:t xml:space="preserve">3 </w:t>
            </w:r>
            <w:r>
              <w:rPr>
                <w:rFonts w:hint="eastAsia"/>
                <w:color w:val="auto"/>
              </w:rPr>
              <w:t>障害児福祉手当</w:t>
            </w:r>
          </w:p>
          <w:p>
            <w:pPr>
              <w:pStyle w:val="75"/>
              <w:ind w:left="448" w:firstLine="204"/>
              <w:rPr>
                <w:rFonts w:hint="default"/>
                <w:color w:val="auto"/>
              </w:rPr>
            </w:pPr>
            <w:r>
              <w:rPr>
                <w:rFonts w:hint="eastAsia"/>
                <w:color w:val="auto"/>
              </w:rPr>
              <w:t>精神又は身体に著しい重度の障がいがあるため、日常生活において常時特別の介護を必要とする</w:t>
            </w:r>
            <w:r>
              <w:rPr>
                <w:rFonts w:hint="eastAsia"/>
                <w:color w:val="auto"/>
              </w:rPr>
              <w:t>20</w:t>
            </w:r>
            <w:r>
              <w:rPr>
                <w:rFonts w:hint="eastAsia"/>
                <w:color w:val="auto"/>
              </w:rPr>
              <w:t>歳未満の在宅の障がい児で、福祉保健所長の認定を受けた方に手当を支給します。</w:t>
            </w:r>
          </w:p>
          <w:p>
            <w:pPr>
              <w:pStyle w:val="76"/>
              <w:spacing w:before="74" w:beforeLines="0" w:beforeAutospacing="0"/>
              <w:ind w:left="224"/>
              <w:rPr>
                <w:rFonts w:hint="default"/>
                <w:color w:val="auto"/>
              </w:rPr>
            </w:pPr>
            <w:r>
              <w:rPr>
                <w:rFonts w:hint="eastAsia"/>
                <w:color w:val="auto"/>
              </w:rPr>
              <w:t>※</w:t>
            </w:r>
            <w:r>
              <w:rPr>
                <w:rFonts w:hint="eastAsia"/>
                <w:color w:val="auto"/>
              </w:rPr>
              <w:t xml:space="preserve">4 </w:t>
            </w:r>
            <w:r>
              <w:rPr>
                <w:rFonts w:hint="eastAsia"/>
                <w:color w:val="auto"/>
              </w:rPr>
              <w:t>重度心身障がい者（児）医療費助成</w:t>
            </w:r>
          </w:p>
          <w:p>
            <w:pPr>
              <w:pStyle w:val="75"/>
              <w:ind w:left="448" w:firstLine="204"/>
              <w:rPr>
                <w:rFonts w:hint="default"/>
                <w:color w:val="auto"/>
              </w:rPr>
            </w:pPr>
            <w:r>
              <w:rPr>
                <w:rFonts w:hint="eastAsia"/>
                <w:color w:val="auto"/>
              </w:rPr>
              <w:t>障がい者及び家族の経済的負担を軽減するために、医療機関を受診した場合の医療費の一部負担金を市町村と県で助成する制度です。</w:t>
            </w:r>
          </w:p>
        </w:tc>
      </w:tr>
    </w:tbl>
    <w:p>
      <w:pPr>
        <w:pStyle w:val="0"/>
        <w:widowControl w:val="1"/>
        <w:spacing w:line="20" w:lineRule="exact"/>
        <w:jc w:val="left"/>
        <w:rPr>
          <w:rFonts w:hint="default" w:ascii="ＭＳ ゴシック" w:hAnsi="ＭＳ ゴシック" w:eastAsia="ＭＳ ゴシック"/>
        </w:rPr>
      </w:pPr>
      <w:r>
        <w:rPr>
          <w:rFonts w:hint="default"/>
        </w:rPr>
        <w:br w:type="page"/>
      </w:r>
    </w:p>
    <w:p>
      <w:pPr>
        <w:pStyle w:val="60"/>
        <w:spacing w:after="74" w:afterLines="0" w:afterAutospacing="0"/>
        <w:ind w:left="112"/>
        <w:rPr>
          <w:rFonts w:hint="default"/>
          <w:u w:val="single" w:color="auto"/>
        </w:rPr>
      </w:pPr>
      <w:r>
        <w:rPr>
          <w:rFonts w:hint="eastAsia"/>
        </w:rPr>
        <w:t>（６）</w:t>
      </w:r>
      <w:r>
        <w:rPr>
          <w:rFonts w:hint="eastAsia"/>
          <w:u w:val="single" w:color="auto"/>
        </w:rPr>
        <w:t>自立支援医療の支給状況</w:t>
      </w:r>
    </w:p>
    <w:p>
      <w:pPr>
        <w:pStyle w:val="82"/>
        <w:ind w:left="784" w:hanging="336"/>
        <w:rPr>
          <w:rFonts w:hint="default"/>
        </w:rPr>
      </w:pPr>
      <w:r>
        <w:rPr>
          <w:rFonts w:hint="eastAsia"/>
        </w:rPr>
        <w:t>①</w:t>
      </w:r>
      <w:r>
        <w:rPr>
          <w:rFonts w:hint="default"/>
        </w:rPr>
        <w:t>育成医療</w:t>
      </w:r>
    </w:p>
    <w:p>
      <w:pPr>
        <w:pStyle w:val="61"/>
        <w:ind w:left="672" w:leftChars="300" w:firstLine="214" w:firstLineChars="100"/>
        <w:rPr>
          <w:rFonts w:hint="default"/>
        </w:rPr>
      </w:pPr>
      <w:r>
        <w:rPr>
          <w:rFonts w:hint="default"/>
          <w:vertAlign w:val="superscript"/>
        </w:rPr>
        <w:t>※</w:t>
      </w:r>
      <w:r>
        <w:rPr>
          <w:rFonts w:hint="default"/>
        </w:rPr>
        <w:t>育成医療の支給者数</w:t>
      </w:r>
      <w:r>
        <w:rPr>
          <w:rFonts w:hint="default"/>
        </w:rPr>
        <w:t>(</w:t>
      </w:r>
      <w:r>
        <w:rPr>
          <w:rFonts w:hint="eastAsia"/>
        </w:rPr>
        <w:t>入院＋入院外</w:t>
      </w:r>
      <w:r>
        <w:rPr>
          <w:rFonts w:hint="default"/>
        </w:rPr>
        <w:t>)</w:t>
      </w:r>
      <w:r>
        <w:rPr>
          <w:rFonts w:hint="default"/>
        </w:rPr>
        <w:t>は</w:t>
      </w:r>
      <w:r>
        <w:rPr>
          <w:rFonts w:hint="eastAsia"/>
        </w:rPr>
        <w:t>、平成</w:t>
      </w:r>
      <w:r>
        <w:rPr>
          <w:rFonts w:hint="eastAsia"/>
        </w:rPr>
        <w:t>30</w:t>
      </w:r>
      <w:r>
        <w:rPr>
          <w:rFonts w:hint="eastAsia"/>
        </w:rPr>
        <w:t>年度では</w:t>
      </w:r>
      <w:r>
        <w:rPr>
          <w:rFonts w:hint="eastAsia"/>
        </w:rPr>
        <w:t>76</w:t>
      </w:r>
      <w:r>
        <w:rPr>
          <w:rFonts w:hint="eastAsia"/>
        </w:rPr>
        <w:t>人でしたが、令和４年度では</w:t>
      </w:r>
      <w:r>
        <w:rPr>
          <w:rFonts w:hint="eastAsia"/>
        </w:rPr>
        <w:t>30</w:t>
      </w:r>
      <w:r>
        <w:rPr>
          <w:rFonts w:hint="eastAsia"/>
        </w:rPr>
        <w:t>人まで減少しています。</w:t>
      </w:r>
    </w:p>
    <w:p>
      <w:pPr>
        <w:pStyle w:val="61"/>
        <w:ind w:left="672" w:leftChars="300" w:firstLine="214" w:firstLineChars="100"/>
        <w:rPr>
          <w:rFonts w:hint="default"/>
        </w:rPr>
      </w:pPr>
      <w:r>
        <w:rPr>
          <w:rFonts w:hint="default"/>
        </w:rPr>
        <w:t>支給の内訳</w:t>
      </w:r>
      <w:r>
        <w:rPr>
          <w:rFonts w:hint="eastAsia"/>
        </w:rPr>
        <w:t>をみると</w:t>
      </w:r>
      <w:r>
        <w:rPr>
          <w:rFonts w:hint="default"/>
        </w:rPr>
        <w:t>、</w:t>
      </w:r>
      <w:r>
        <w:rPr>
          <w:rFonts w:hint="eastAsia"/>
        </w:rPr>
        <w:t>令和２年度までは</w:t>
      </w:r>
      <w:r>
        <w:rPr>
          <w:rFonts w:hint="default"/>
        </w:rPr>
        <w:t>「その他</w:t>
      </w:r>
      <w:r>
        <w:rPr>
          <w:rFonts w:hint="eastAsia"/>
        </w:rPr>
        <w:t>内臓機能障害</w:t>
      </w:r>
      <w:r>
        <w:rPr>
          <w:rFonts w:hint="default"/>
        </w:rPr>
        <w:t>」が最も多く</w:t>
      </w:r>
      <w:r>
        <w:rPr>
          <w:rFonts w:hint="eastAsia"/>
        </w:rPr>
        <w:t>、令和３年度・令和４年度では「肢体不自由」が最も多くなっています。</w:t>
      </w:r>
    </w:p>
    <w:p>
      <w:pPr>
        <w:pStyle w:val="61"/>
        <w:ind w:left="672" w:leftChars="300" w:firstLine="214" w:firstLineChars="100"/>
        <w:rPr>
          <w:rFonts w:hint="default"/>
        </w:rPr>
      </w:pPr>
      <w:r>
        <w:rPr>
          <w:rFonts w:hint="eastAsia"/>
        </w:rPr>
        <w:t>入院、入院外でみても、支給者数はほぼ同数となっています。</w:t>
      </w:r>
    </w:p>
    <w:p>
      <w:pPr>
        <w:pStyle w:val="61"/>
        <w:spacing w:line="0" w:lineRule="atLeast"/>
        <w:ind w:left="448" w:firstLine="164" w:firstLineChars="100"/>
        <w:rPr>
          <w:rFonts w:hint="default"/>
          <w:sz w:val="16"/>
        </w:rPr>
      </w:pPr>
    </w:p>
    <w:tbl>
      <w:tblPr>
        <w:tblStyle w:val="11"/>
        <w:tblW w:w="9067" w:type="dxa"/>
        <w:tblInd w:w="567" w:type="dxa"/>
        <w:tblLayout w:type="fixed"/>
        <w:tblCellMar>
          <w:left w:w="99" w:type="dxa"/>
          <w:right w:w="99" w:type="dxa"/>
        </w:tblCellMar>
        <w:tblLook w:firstRow="1" w:lastRow="0" w:firstColumn="1" w:lastColumn="0" w:noHBand="0" w:noVBand="1" w:val="04A0"/>
      </w:tblPr>
      <w:tblGrid>
        <w:gridCol w:w="572"/>
        <w:gridCol w:w="978"/>
        <w:gridCol w:w="2126"/>
        <w:gridCol w:w="1074"/>
        <w:gridCol w:w="362"/>
        <w:gridCol w:w="713"/>
        <w:gridCol w:w="594"/>
        <w:gridCol w:w="481"/>
        <w:gridCol w:w="826"/>
        <w:gridCol w:w="249"/>
        <w:gridCol w:w="1071"/>
        <w:gridCol w:w="21"/>
      </w:tblGrid>
      <w:tr>
        <w:trPr/>
        <w:tc>
          <w:tcPr>
            <w:tcW w:w="3683" w:type="dxa"/>
            <w:gridSpan w:val="3"/>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6"/>
              <w:snapToGrid w:val="0"/>
              <w:spacing w:line="0" w:lineRule="atLeast"/>
              <w:ind w:left="-221"/>
              <w:rPr>
                <w:rFonts w:hint="default" w:ascii="ＭＳ ゴシック" w:hAnsi="ＭＳ ゴシック" w:eastAsia="ＭＳ ゴシック"/>
                <w:kern w:val="0"/>
                <w:sz w:val="20"/>
              </w:rPr>
            </w:pPr>
            <w:r>
              <w:rPr>
                <w:rFonts w:hint="default" w:ascii="ＭＳ ゴシック" w:hAnsi="ＭＳ ゴシック" w:eastAsia="ＭＳ ゴシック"/>
                <w:sz w:val="21"/>
              </w:rPr>
              <w:t>【育成</w:t>
            </w:r>
            <w:r>
              <w:rPr>
                <w:rFonts w:hint="eastAsia" w:ascii="ＭＳ ゴシック" w:hAnsi="ＭＳ ゴシック" w:eastAsia="ＭＳ ゴシック"/>
                <w:sz w:val="21"/>
              </w:rPr>
              <w:t>医療支給者数】</w:t>
            </w:r>
          </w:p>
        </w:tc>
        <w:tc>
          <w:tcPr>
            <w:tcW w:w="1439"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rPr>
                <w:rFonts w:hint="default" w:ascii="ＭＳ ゴシック" w:hAnsi="ＭＳ ゴシック" w:eastAsia="ＭＳ ゴシック"/>
              </w:rPr>
            </w:pPr>
          </w:p>
        </w:tc>
        <w:tc>
          <w:tcPr>
            <w:tcW w:w="1309"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rPr>
                <w:rFonts w:hint="default" w:ascii="ＭＳ ゴシック" w:hAnsi="ＭＳ ゴシック" w:eastAsia="ＭＳ ゴシック"/>
              </w:rPr>
            </w:pPr>
          </w:p>
        </w:tc>
        <w:tc>
          <w:tcPr>
            <w:tcW w:w="1309"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rPr>
                <w:rFonts w:hint="default" w:ascii="ＭＳ ゴシック" w:hAnsi="ＭＳ ゴシック" w:eastAsia="ＭＳ ゴシック"/>
              </w:rPr>
            </w:pPr>
          </w:p>
        </w:tc>
        <w:tc>
          <w:tcPr>
            <w:tcW w:w="1327" w:type="dxa"/>
            <w:gridSpan w:val="3"/>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件</w:t>
            </w:r>
            <w:r>
              <w:rPr>
                <w:rFonts w:hint="default"/>
              </w:rPr>
              <w:t>)</w:t>
            </w:r>
          </w:p>
        </w:tc>
      </w:tr>
      <w:tr>
        <w:trPr/>
        <w:tc>
          <w:tcPr>
            <w:tcW w:w="3683"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jc w:val="center"/>
              <w:rPr>
                <w:rFonts w:hint="default" w:ascii="ＭＳ ゴシック" w:hAnsi="ＭＳ ゴシック" w:eastAsia="ＭＳ ゴシック"/>
                <w:spacing w:val="-4"/>
                <w:kern w:val="0"/>
                <w:sz w:val="20"/>
              </w:rPr>
            </w:pP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p>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年度</w:t>
            </w:r>
          </w:p>
        </w:tc>
        <w:tc>
          <w:tcPr>
            <w:tcW w:w="107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元年度</w:t>
            </w:r>
          </w:p>
        </w:tc>
        <w:tc>
          <w:tcPr>
            <w:tcW w:w="107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２年度</w:t>
            </w:r>
          </w:p>
        </w:tc>
        <w:tc>
          <w:tcPr>
            <w:tcW w:w="107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３年度</w:t>
            </w:r>
          </w:p>
        </w:tc>
        <w:tc>
          <w:tcPr>
            <w:tcW w:w="107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４年度</w:t>
            </w:r>
          </w:p>
        </w:tc>
      </w:tr>
      <w:tr>
        <w:trPr>
          <w:gridAfter w:val="1"/>
          <w:wAfter w:w="21" w:type="dxa"/>
        </w:trPr>
        <w:tc>
          <w:tcPr>
            <w:tcW w:w="57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extDirection w:val="tbRlV"/>
            <w:vAlign w:val="center"/>
          </w:tcPr>
          <w:p>
            <w:pPr>
              <w:pStyle w:val="0"/>
              <w:widowControl w:val="1"/>
              <w:ind w:left="113" w:right="113"/>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入院＋入院外</w:t>
            </w:r>
          </w:p>
        </w:tc>
        <w:tc>
          <w:tcPr>
            <w:tcW w:w="3110"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視覚障害</w:t>
            </w:r>
          </w:p>
        </w:tc>
        <w:tc>
          <w:tcPr>
            <w:tcW w:w="1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gridAfter w:val="1"/>
          <w:wAfter w:w="21" w:type="dxa"/>
        </w:trPr>
        <w:tc>
          <w:tcPr>
            <w:tcW w:w="57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0"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聴覚・平衡機能障害</w:t>
            </w:r>
          </w:p>
        </w:tc>
        <w:tc>
          <w:tcPr>
            <w:tcW w:w="1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gridAfter w:val="1"/>
          <w:wAfter w:w="21" w:type="dxa"/>
        </w:trPr>
        <w:tc>
          <w:tcPr>
            <w:tcW w:w="57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0"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音声・言語・そしゃく機能障害</w:t>
            </w:r>
          </w:p>
        </w:tc>
        <w:tc>
          <w:tcPr>
            <w:tcW w:w="1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107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107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r>
      <w:tr>
        <w:trPr>
          <w:gridAfter w:val="1"/>
          <w:wAfter w:w="21" w:type="dxa"/>
        </w:trPr>
        <w:tc>
          <w:tcPr>
            <w:tcW w:w="57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0"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肢体不自由</w:t>
            </w:r>
          </w:p>
        </w:tc>
        <w:tc>
          <w:tcPr>
            <w:tcW w:w="1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107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107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r>
      <w:tr>
        <w:trPr>
          <w:gridAfter w:val="1"/>
          <w:wAfter w:w="21" w:type="dxa"/>
        </w:trPr>
        <w:tc>
          <w:tcPr>
            <w:tcW w:w="57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98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内臓</w:t>
            </w:r>
            <w:r>
              <w:rPr>
                <w:rFonts w:hint="eastAsia" w:ascii="ＭＳ ゴシック" w:hAnsi="ＭＳ ゴシック" w:eastAsia="ＭＳ ゴシック"/>
                <w:kern w:val="0"/>
                <w:sz w:val="20"/>
              </w:rPr>
              <w:br w:type="textWrapping" w:clear="none"/>
            </w:r>
            <w:r>
              <w:rPr>
                <w:rFonts w:hint="eastAsia" w:ascii="ＭＳ ゴシック" w:hAnsi="ＭＳ ゴシック" w:eastAsia="ＭＳ ゴシック"/>
                <w:kern w:val="0"/>
                <w:sz w:val="20"/>
              </w:rPr>
              <w:t>機能障害</w:t>
            </w:r>
          </w:p>
        </w:tc>
        <w:tc>
          <w:tcPr>
            <w:tcW w:w="21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心臓機能障害</w:t>
            </w:r>
          </w:p>
        </w:tc>
        <w:tc>
          <w:tcPr>
            <w:tcW w:w="1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gridAfter w:val="1"/>
          <w:wAfter w:w="21" w:type="dxa"/>
        </w:trPr>
        <w:tc>
          <w:tcPr>
            <w:tcW w:w="57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980" w:type="dxa"/>
            <w:vMerge w:val="continue"/>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3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その他内臓機能障害</w:t>
            </w:r>
          </w:p>
        </w:tc>
        <w:tc>
          <w:tcPr>
            <w:tcW w:w="107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36</w:t>
            </w:r>
          </w:p>
        </w:tc>
        <w:tc>
          <w:tcPr>
            <w:tcW w:w="1073"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w:t>
            </w:r>
          </w:p>
        </w:tc>
        <w:tc>
          <w:tcPr>
            <w:tcW w:w="1072"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w:t>
            </w:r>
          </w:p>
        </w:tc>
        <w:tc>
          <w:tcPr>
            <w:tcW w:w="1073"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1073"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gridAfter w:val="1"/>
          <w:wAfter w:w="21" w:type="dxa"/>
          <w:trHeight w:val="175" w:hRule="atLeast"/>
        </w:trPr>
        <w:tc>
          <w:tcPr>
            <w:tcW w:w="57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0"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合計</w:t>
            </w:r>
          </w:p>
        </w:tc>
        <w:tc>
          <w:tcPr>
            <w:tcW w:w="1072"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76</w:t>
            </w:r>
          </w:p>
        </w:tc>
        <w:tc>
          <w:tcPr>
            <w:tcW w:w="1073"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59</w:t>
            </w:r>
          </w:p>
        </w:tc>
        <w:tc>
          <w:tcPr>
            <w:tcW w:w="1072"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40</w:t>
            </w:r>
          </w:p>
        </w:tc>
        <w:tc>
          <w:tcPr>
            <w:tcW w:w="1073"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58</w:t>
            </w:r>
          </w:p>
        </w:tc>
        <w:tc>
          <w:tcPr>
            <w:tcW w:w="107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w:t>
            </w:r>
          </w:p>
        </w:tc>
      </w:tr>
    </w:tbl>
    <w:p>
      <w:pPr>
        <w:pStyle w:val="40"/>
        <w:snapToGrid w:val="0"/>
        <w:spacing w:before="0" w:beforeLines="0" w:beforeAutospacing="0" w:after="0" w:afterLines="0" w:afterAutospacing="0"/>
        <w:jc w:val="center"/>
        <w:rPr>
          <w:rFonts w:hint="default" w:ascii="ＭＳ ゴシック" w:hAnsi="ＭＳ ゴシック" w:eastAsia="ＭＳ ゴシック"/>
          <w:sz w:val="8"/>
        </w:rPr>
      </w:pPr>
    </w:p>
    <w:tbl>
      <w:tblPr>
        <w:tblStyle w:val="11"/>
        <w:tblW w:w="9067" w:type="dxa"/>
        <w:tblInd w:w="562" w:type="dxa"/>
        <w:tblLayout w:type="fixed"/>
        <w:tblCellMar>
          <w:left w:w="99" w:type="dxa"/>
          <w:right w:w="99" w:type="dxa"/>
        </w:tblCellMar>
        <w:tblLook w:firstRow="1" w:lastRow="0" w:firstColumn="1" w:lastColumn="0" w:noHBand="0" w:noVBand="1" w:val="04A0"/>
      </w:tblPr>
      <w:tblGrid>
        <w:gridCol w:w="567"/>
        <w:gridCol w:w="993"/>
        <w:gridCol w:w="2126"/>
        <w:gridCol w:w="1076"/>
        <w:gridCol w:w="1076"/>
        <w:gridCol w:w="1076"/>
        <w:gridCol w:w="1076"/>
        <w:gridCol w:w="1077"/>
      </w:tblGrid>
      <w:tr>
        <w:trPr/>
        <w:tc>
          <w:tcPr>
            <w:tcW w:w="56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入院</w:t>
            </w:r>
          </w:p>
        </w:tc>
        <w:tc>
          <w:tcPr>
            <w:tcW w:w="311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視覚障害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聴覚・平衡機能障害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音声・言語・そしゃく機能障害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肢体不自由</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9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内臓</w:t>
            </w:r>
            <w:r>
              <w:rPr>
                <w:rFonts w:hint="eastAsia" w:ascii="ＭＳ ゴシック" w:hAnsi="ＭＳ ゴシック" w:eastAsia="ＭＳ ゴシック"/>
                <w:kern w:val="0"/>
                <w:sz w:val="20"/>
              </w:rPr>
              <w:br w:type="textWrapping" w:clear="none"/>
            </w:r>
            <w:r>
              <w:rPr>
                <w:rFonts w:hint="eastAsia" w:ascii="ＭＳ ゴシック" w:hAnsi="ＭＳ ゴシック" w:eastAsia="ＭＳ ゴシック"/>
                <w:kern w:val="0"/>
                <w:sz w:val="20"/>
              </w:rPr>
              <w:t>機能障害</w:t>
            </w:r>
          </w:p>
        </w:tc>
        <w:tc>
          <w:tcPr>
            <w:tcW w:w="21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心臓機能障害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rHeight w:val="129" w:hRule="atLeast"/>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93" w:type="dxa"/>
            <w:vMerge w:val="continue"/>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その他内臓機能障害</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107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19" w:type="dxa"/>
            <w:gridSpan w:val="2"/>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38</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077"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r>
      <w:tr>
        <w:trPr/>
        <w:tc>
          <w:tcPr>
            <w:tcW w:w="567"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入院外</w:t>
            </w:r>
          </w:p>
        </w:tc>
        <w:tc>
          <w:tcPr>
            <w:tcW w:w="3119" w:type="dxa"/>
            <w:gridSpan w:val="2"/>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視覚障害</w:t>
            </w:r>
          </w:p>
        </w:tc>
        <w:tc>
          <w:tcPr>
            <w:tcW w:w="1076"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6"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7"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聴覚・平衡機能障害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音声・言語・そしゃく機能障害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肢体不自由</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99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内臓</w:t>
            </w:r>
            <w:r>
              <w:rPr>
                <w:rFonts w:hint="eastAsia" w:ascii="ＭＳ ゴシック" w:hAnsi="ＭＳ ゴシック" w:eastAsia="ＭＳ ゴシック"/>
                <w:kern w:val="0"/>
                <w:sz w:val="20"/>
              </w:rPr>
              <w:br w:type="textWrapping" w:clear="none"/>
            </w:r>
            <w:r>
              <w:rPr>
                <w:rFonts w:hint="eastAsia" w:ascii="ＭＳ ゴシック" w:hAnsi="ＭＳ ゴシック" w:eastAsia="ＭＳ ゴシック"/>
                <w:kern w:val="0"/>
                <w:sz w:val="20"/>
              </w:rPr>
              <w:t>機能障害</w:t>
            </w:r>
          </w:p>
        </w:tc>
        <w:tc>
          <w:tcPr>
            <w:tcW w:w="21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心臓機能障害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993" w:type="dxa"/>
            <w:vMerge w:val="continue"/>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その他内臓機能障害</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9"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07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38</w:t>
            </w:r>
          </w:p>
        </w:tc>
        <w:tc>
          <w:tcPr>
            <w:tcW w:w="107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w:t>
            </w:r>
          </w:p>
        </w:tc>
        <w:tc>
          <w:tcPr>
            <w:tcW w:w="107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w:t>
            </w:r>
          </w:p>
        </w:tc>
        <w:tc>
          <w:tcPr>
            <w:tcW w:w="107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07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r>
    </w:tbl>
    <w:p>
      <w:pPr>
        <w:pStyle w:val="62"/>
        <w:spacing w:before="37" w:beforeLines="0" w:beforeAutospacing="0" w:after="0" w:afterLines="0" w:afterAutospacing="0"/>
        <w:ind w:left="1172"/>
        <w:rPr>
          <w:rFonts w:hint="default"/>
        </w:rPr>
      </w:pPr>
      <w:r>
        <w:rPr>
          <w:rFonts w:hint="eastAsia"/>
        </w:rPr>
        <w:t>資料：保健福祉課（各年度末時点）</w:t>
      </w: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spacing w:line="0" w:lineRule="atLeast"/>
        <w:ind w:left="448" w:firstLine="184" w:firstLineChars="100"/>
        <w:rPr>
          <w:rFonts w:hint="default"/>
          <w:sz w:val="18"/>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76"/>
              <w:spacing w:before="74" w:beforeLines="0" w:beforeAutospacing="0"/>
              <w:ind w:left="224"/>
              <w:rPr>
                <w:rFonts w:hint="default"/>
                <w:color w:val="auto"/>
              </w:rPr>
            </w:pPr>
            <w:r>
              <w:rPr>
                <w:rFonts w:hint="eastAsia"/>
                <w:color w:val="auto"/>
              </w:rPr>
              <w:t>※</w:t>
            </w:r>
            <w:r>
              <w:rPr>
                <w:rFonts w:hint="eastAsia"/>
                <w:color w:val="auto"/>
              </w:rPr>
              <w:t xml:space="preserve"> </w:t>
            </w:r>
            <w:r>
              <w:rPr>
                <w:rFonts w:hint="eastAsia"/>
                <w:color w:val="auto"/>
              </w:rPr>
              <w:t>育成医療</w:t>
            </w:r>
          </w:p>
          <w:p>
            <w:pPr>
              <w:pStyle w:val="75"/>
              <w:ind w:left="448" w:firstLine="204"/>
              <w:rPr>
                <w:rFonts w:hint="default"/>
                <w:color w:val="auto"/>
              </w:rPr>
            </w:pPr>
            <w:r>
              <w:rPr>
                <w:rFonts w:hint="eastAsia"/>
                <w:color w:val="auto"/>
              </w:rPr>
              <w:t>児童福祉法に規定する障がい児（障がいに係る医療を行わないときは将来障がいを残すと認められる疾患がある児童を含む。）で、その身体障がいを除去、軽減する手術等の治療によって確実に効果が期待できる者に対して提供される、生活の能力を得るために必要な自立支援医療費の支給を行うものです。</w:t>
            </w:r>
          </w:p>
        </w:tc>
      </w:tr>
    </w:tbl>
    <w:p>
      <w:pPr>
        <w:pStyle w:val="0"/>
        <w:widowControl w:val="1"/>
        <w:spacing w:line="20" w:lineRule="exact"/>
        <w:jc w:val="left"/>
        <w:rPr>
          <w:rFonts w:hint="default" w:ascii="ＭＳ ゴシック" w:hAnsi="ＭＳ ゴシック" w:eastAsia="ＭＳ ゴシック"/>
          <w:sz w:val="21"/>
        </w:rPr>
      </w:pPr>
      <w:r>
        <w:rPr>
          <w:rFonts w:hint="default"/>
        </w:rPr>
        <w:br w:type="page"/>
      </w:r>
    </w:p>
    <w:p>
      <w:pPr>
        <w:pStyle w:val="82"/>
        <w:ind w:left="784" w:hanging="336"/>
        <w:rPr>
          <w:rFonts w:hint="default"/>
        </w:rPr>
      </w:pPr>
      <w:r>
        <w:rPr>
          <w:rFonts w:hint="eastAsia"/>
        </w:rPr>
        <w:t>②</w:t>
      </w:r>
      <w:r>
        <w:rPr>
          <w:rFonts w:hint="default"/>
        </w:rPr>
        <w:t>更生医療</w:t>
      </w:r>
    </w:p>
    <w:p>
      <w:pPr>
        <w:pStyle w:val="61"/>
        <w:ind w:left="672" w:leftChars="300" w:firstLine="214" w:firstLineChars="100"/>
        <w:rPr>
          <w:rFonts w:hint="default"/>
        </w:rPr>
      </w:pPr>
      <w:r>
        <w:rPr>
          <w:rFonts w:hint="default"/>
          <w:vertAlign w:val="superscript"/>
        </w:rPr>
        <w:t>※</w:t>
      </w:r>
      <w:r>
        <w:rPr>
          <w:rFonts w:hint="eastAsia"/>
        </w:rPr>
        <w:t>更生医療の支給者数</w:t>
      </w:r>
      <w:r>
        <w:rPr>
          <w:rFonts w:hint="default"/>
        </w:rPr>
        <w:t>(</w:t>
      </w:r>
      <w:r>
        <w:rPr>
          <w:rFonts w:hint="eastAsia"/>
        </w:rPr>
        <w:t>入院＋入院外</w:t>
      </w:r>
      <w:r>
        <w:rPr>
          <w:rFonts w:hint="default"/>
        </w:rPr>
        <w:t>)</w:t>
      </w:r>
      <w:r>
        <w:rPr>
          <w:rFonts w:hint="eastAsia"/>
        </w:rPr>
        <w:t>は、平成</w:t>
      </w:r>
      <w:r>
        <w:rPr>
          <w:rFonts w:hint="eastAsia"/>
        </w:rPr>
        <w:t>30</w:t>
      </w:r>
      <w:r>
        <w:rPr>
          <w:rFonts w:hint="eastAsia"/>
        </w:rPr>
        <w:t>年度では</w:t>
      </w:r>
      <w:r>
        <w:rPr>
          <w:rFonts w:hint="eastAsia"/>
        </w:rPr>
        <w:t>243</w:t>
      </w:r>
      <w:r>
        <w:rPr>
          <w:rFonts w:hint="eastAsia"/>
        </w:rPr>
        <w:t>人ですが、令和４年度では</w:t>
      </w:r>
      <w:r>
        <w:rPr>
          <w:rFonts w:hint="eastAsia"/>
        </w:rPr>
        <w:t>323</w:t>
      </w:r>
      <w:r>
        <w:rPr>
          <w:rFonts w:hint="eastAsia"/>
        </w:rPr>
        <w:t>人と</w:t>
      </w:r>
      <w:r>
        <w:rPr>
          <w:rFonts w:hint="eastAsia"/>
        </w:rPr>
        <w:t>300</w:t>
      </w:r>
      <w:r>
        <w:rPr>
          <w:rFonts w:hint="eastAsia"/>
        </w:rPr>
        <w:t>人を超えています。</w:t>
      </w:r>
    </w:p>
    <w:p>
      <w:pPr>
        <w:pStyle w:val="61"/>
        <w:ind w:left="672" w:leftChars="300" w:firstLine="214" w:firstLineChars="100"/>
        <w:rPr>
          <w:rFonts w:hint="default"/>
        </w:rPr>
      </w:pPr>
      <w:r>
        <w:rPr>
          <w:rFonts w:hint="eastAsia"/>
        </w:rPr>
        <w:t>支給の内訳をみると、ほとんどが「内臓機能障害」で、そのうち「じん臓機能障害」が毎年度最も多く、</w:t>
      </w:r>
      <w:r>
        <w:rPr>
          <w:rFonts w:hint="eastAsia"/>
        </w:rPr>
        <w:t>200</w:t>
      </w:r>
      <w:r>
        <w:rPr>
          <w:rFonts w:hint="eastAsia"/>
        </w:rPr>
        <w:t>人台で推移しています。次に「心臓機能障害」となっています。</w:t>
      </w:r>
    </w:p>
    <w:p>
      <w:pPr>
        <w:pStyle w:val="61"/>
        <w:ind w:left="672" w:leftChars="300" w:firstLine="214" w:firstLineChars="100"/>
        <w:rPr>
          <w:rFonts w:hint="default"/>
        </w:rPr>
      </w:pPr>
      <w:r>
        <w:rPr>
          <w:rFonts w:hint="eastAsia"/>
        </w:rPr>
        <w:t>入院、入院外別にみても、平成</w:t>
      </w:r>
      <w:r>
        <w:rPr>
          <w:rFonts w:hint="eastAsia"/>
        </w:rPr>
        <w:t>30</w:t>
      </w:r>
      <w:r>
        <w:rPr>
          <w:rFonts w:hint="eastAsia"/>
        </w:rPr>
        <w:t>年度に比べて、令和４年度の支給者数は増加しています。また、いずれも「じん臓機能障害」が毎年度最も多くなっています。</w:t>
      </w:r>
    </w:p>
    <w:p>
      <w:pPr>
        <w:pStyle w:val="61"/>
        <w:spacing w:line="0" w:lineRule="atLeast"/>
        <w:ind w:left="448" w:firstLine="164" w:firstLineChars="100"/>
        <w:rPr>
          <w:rFonts w:hint="default"/>
          <w:sz w:val="16"/>
        </w:rPr>
      </w:pPr>
    </w:p>
    <w:tbl>
      <w:tblPr>
        <w:tblStyle w:val="11"/>
        <w:tblW w:w="9067" w:type="dxa"/>
        <w:tblInd w:w="567" w:type="dxa"/>
        <w:tblLayout w:type="fixed"/>
        <w:tblCellMar>
          <w:left w:w="99" w:type="dxa"/>
          <w:right w:w="99" w:type="dxa"/>
        </w:tblCellMar>
        <w:tblLook w:firstRow="1" w:lastRow="0" w:firstColumn="1" w:lastColumn="0" w:noHBand="0" w:noVBand="1" w:val="04A0"/>
      </w:tblPr>
      <w:tblGrid>
        <w:gridCol w:w="558"/>
        <w:gridCol w:w="1003"/>
        <w:gridCol w:w="2125"/>
        <w:gridCol w:w="1076"/>
        <w:gridCol w:w="375"/>
        <w:gridCol w:w="701"/>
        <w:gridCol w:w="609"/>
        <w:gridCol w:w="467"/>
        <w:gridCol w:w="843"/>
        <w:gridCol w:w="233"/>
        <w:gridCol w:w="1077"/>
      </w:tblGrid>
      <w:tr>
        <w:trPr/>
        <w:tc>
          <w:tcPr>
            <w:tcW w:w="3686" w:type="dxa"/>
            <w:gridSpan w:val="3"/>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6"/>
              <w:snapToGrid w:val="0"/>
              <w:spacing w:line="0" w:lineRule="atLeast"/>
              <w:ind w:left="-221"/>
              <w:rPr>
                <w:rFonts w:hint="default" w:ascii="ＭＳ ゴシック" w:hAnsi="ＭＳ ゴシック" w:eastAsia="ＭＳ ゴシック"/>
                <w:kern w:val="0"/>
                <w:sz w:val="20"/>
              </w:rPr>
            </w:pPr>
            <w:r>
              <w:rPr>
                <w:rFonts w:hint="default" w:ascii="ＭＳ ゴシック" w:hAnsi="ＭＳ ゴシック" w:eastAsia="ＭＳ ゴシック"/>
                <w:sz w:val="21"/>
              </w:rPr>
              <w:t>【</w:t>
            </w:r>
            <w:r>
              <w:rPr>
                <w:rFonts w:hint="eastAsia" w:ascii="ＭＳ ゴシック" w:hAnsi="ＭＳ ゴシック" w:eastAsia="ＭＳ ゴシック"/>
                <w:sz w:val="21"/>
              </w:rPr>
              <w:t>更生医療支給者数】</w:t>
            </w:r>
          </w:p>
        </w:tc>
        <w:tc>
          <w:tcPr>
            <w:tcW w:w="145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rPr>
                <w:rFonts w:hint="default" w:ascii="ＭＳ ゴシック" w:hAnsi="ＭＳ ゴシック" w:eastAsia="ＭＳ ゴシック"/>
              </w:rPr>
            </w:pPr>
          </w:p>
        </w:tc>
        <w:tc>
          <w:tcPr>
            <w:tcW w:w="1310"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rPr>
                <w:rFonts w:hint="default" w:ascii="ＭＳ ゴシック" w:hAnsi="ＭＳ ゴシック" w:eastAsia="ＭＳ ゴシック"/>
              </w:rPr>
            </w:pPr>
          </w:p>
        </w:tc>
        <w:tc>
          <w:tcPr>
            <w:tcW w:w="1310"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rPr>
                <w:rFonts w:hint="default" w:ascii="ＭＳ ゴシック" w:hAnsi="ＭＳ ゴシック" w:eastAsia="ＭＳ ゴシック"/>
              </w:rPr>
            </w:pPr>
          </w:p>
        </w:tc>
        <w:tc>
          <w:tcPr>
            <w:tcW w:w="1310"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件</w:t>
            </w:r>
            <w:r>
              <w:rPr>
                <w:rFonts w:hint="default"/>
              </w:rPr>
              <w:t>)</w:t>
            </w:r>
          </w:p>
        </w:tc>
      </w:tr>
      <w:tr>
        <w:trPr/>
        <w:tc>
          <w:tcPr>
            <w:tcW w:w="3686"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　</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p>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年度</w:t>
            </w:r>
          </w:p>
        </w:tc>
        <w:tc>
          <w:tcPr>
            <w:tcW w:w="107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spacing w:val="-4"/>
                <w:kern w:val="0"/>
                <w:sz w:val="20"/>
              </w:rPr>
              <w:t>元年度</w:t>
            </w:r>
          </w:p>
        </w:tc>
        <w:tc>
          <w:tcPr>
            <w:tcW w:w="107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spacing w:val="-4"/>
                <w:kern w:val="0"/>
                <w:sz w:val="20"/>
              </w:rPr>
              <w:t>２年度</w:t>
            </w:r>
          </w:p>
        </w:tc>
        <w:tc>
          <w:tcPr>
            <w:tcW w:w="107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spacing w:val="-4"/>
                <w:kern w:val="0"/>
                <w:sz w:val="20"/>
              </w:rPr>
              <w:t>３年度</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spacing w:val="-4"/>
                <w:kern w:val="0"/>
                <w:sz w:val="20"/>
              </w:rPr>
              <w:t>４年度</w:t>
            </w:r>
          </w:p>
        </w:tc>
      </w:tr>
      <w:tr>
        <w:trPr/>
        <w:tc>
          <w:tcPr>
            <w:tcW w:w="558"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入院＋入院外</w:t>
            </w:r>
          </w:p>
        </w:tc>
        <w:tc>
          <w:tcPr>
            <w:tcW w:w="3128"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聴覚・平衡機能障害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gridSpan w:val="2"/>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gridSpan w:val="2"/>
            <w:tcBorders>
              <w:top w:val="single" w:color="auto" w:sz="4" w:space="0"/>
              <w:left w:val="nil"/>
              <w:bottom w:val="single" w:color="auto" w:sz="4" w:space="0"/>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7" w:type="dxa"/>
            <w:tcBorders>
              <w:top w:val="sing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58"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28"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肢体不自由</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gridSpan w:val="2"/>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gridSpan w:val="2"/>
            <w:tcBorders>
              <w:top w:val="single" w:color="auto" w:sz="4" w:space="0"/>
              <w:left w:val="nil"/>
              <w:bottom w:val="single" w:color="auto" w:sz="4" w:space="0"/>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7" w:type="dxa"/>
            <w:tcBorders>
              <w:top w:val="sing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58"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03" w:type="dxa"/>
            <w:vMerge w:val="restart"/>
            <w:tcBorders>
              <w:top w:val="single" w:color="auto" w:sz="4" w:space="0"/>
              <w:left w:val="single" w:color="auto" w:sz="4" w:space="0"/>
              <w:bottom w:val="nil"/>
              <w:right w:val="nil"/>
              <w:tl2br w:val="none" w:color="auto" w:sz="0" w:space="0"/>
              <w:tr2bl w:val="none" w:color="auto" w:sz="0" w:space="0"/>
            </w:tcBorders>
            <w:shd w:val="clear" w:color="auto" w:fill="auto"/>
            <w:vAlign w:val="center"/>
          </w:tcPr>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内臓</w:t>
            </w:r>
            <w:r>
              <w:rPr>
                <w:rFonts w:hint="eastAsia" w:ascii="ＭＳ ゴシック" w:hAnsi="ＭＳ ゴシック" w:eastAsia="ＭＳ ゴシック"/>
                <w:kern w:val="0"/>
                <w:sz w:val="20"/>
              </w:rPr>
              <w:br w:type="textWrapping" w:clear="none"/>
            </w:r>
            <w:r>
              <w:rPr>
                <w:rFonts w:hint="eastAsia" w:ascii="ＭＳ ゴシック" w:hAnsi="ＭＳ ゴシック" w:eastAsia="ＭＳ ゴシック"/>
                <w:kern w:val="0"/>
                <w:sz w:val="20"/>
              </w:rPr>
              <w:t>機能障害</w:t>
            </w:r>
          </w:p>
        </w:tc>
        <w:tc>
          <w:tcPr>
            <w:tcW w:w="2125"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心臓機能障害</w:t>
            </w:r>
          </w:p>
        </w:tc>
        <w:tc>
          <w:tcPr>
            <w:tcW w:w="1076" w:type="dxa"/>
            <w:tcBorders>
              <w:top w:val="single" w:color="auto"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076" w:type="dxa"/>
            <w:gridSpan w:val="2"/>
            <w:tcBorders>
              <w:top w:val="single" w:color="auto"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076" w:type="dxa"/>
            <w:gridSpan w:val="2"/>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w:t>
            </w:r>
          </w:p>
        </w:tc>
        <w:tc>
          <w:tcPr>
            <w:tcW w:w="1076" w:type="dxa"/>
            <w:gridSpan w:val="2"/>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1077"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r>
      <w:tr>
        <w:trPr/>
        <w:tc>
          <w:tcPr>
            <w:tcW w:w="558"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03" w:type="dxa"/>
            <w:vMerge w:val="continue"/>
            <w:tcBorders>
              <w:top w:val="single" w:color="auto" w:sz="4" w:space="0"/>
              <w:left w:val="single" w:color="auto" w:sz="4" w:space="0"/>
              <w:bottom w:val="nil"/>
              <w:right w:val="nil"/>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5" w:type="dxa"/>
            <w:tcBorders>
              <w:top w:val="single" w:color="000000"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じん臓機能障害</w:t>
            </w:r>
          </w:p>
        </w:tc>
        <w:tc>
          <w:tcPr>
            <w:tcW w:w="1076" w:type="dxa"/>
            <w:tcBorders>
              <w:top w:val="single" w:color="000000"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206</w:t>
            </w:r>
          </w:p>
        </w:tc>
        <w:tc>
          <w:tcPr>
            <w:tcW w:w="1076" w:type="dxa"/>
            <w:gridSpan w:val="2"/>
            <w:tcBorders>
              <w:top w:val="single" w:color="000000"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235</w:t>
            </w:r>
          </w:p>
        </w:tc>
        <w:tc>
          <w:tcPr>
            <w:tcW w:w="1076" w:type="dxa"/>
            <w:gridSpan w:val="2"/>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276</w:t>
            </w:r>
          </w:p>
        </w:tc>
        <w:tc>
          <w:tcPr>
            <w:tcW w:w="1076" w:type="dxa"/>
            <w:gridSpan w:val="2"/>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241</w:t>
            </w:r>
          </w:p>
        </w:tc>
        <w:tc>
          <w:tcPr>
            <w:tcW w:w="1077"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285</w:t>
            </w:r>
          </w:p>
        </w:tc>
      </w:tr>
      <w:tr>
        <w:trPr/>
        <w:tc>
          <w:tcPr>
            <w:tcW w:w="558"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03" w:type="dxa"/>
            <w:vMerge w:val="continue"/>
            <w:tcBorders>
              <w:top w:val="single" w:color="auto" w:sz="4" w:space="0"/>
              <w:left w:val="single" w:color="auto" w:sz="4" w:space="0"/>
              <w:bottom w:val="double" w:color="auto" w:sz="4" w:space="0"/>
              <w:right w:val="nil"/>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5" w:type="dxa"/>
            <w:tcBorders>
              <w:top w:val="single" w:color="000000"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その他内臓機能障害</w:t>
            </w:r>
          </w:p>
        </w:tc>
        <w:tc>
          <w:tcPr>
            <w:tcW w:w="1076" w:type="dxa"/>
            <w:tcBorders>
              <w:top w:val="single" w:color="000000"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6" w:type="dxa"/>
            <w:gridSpan w:val="2"/>
            <w:tcBorders>
              <w:top w:val="single" w:color="000000"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6" w:type="dxa"/>
            <w:gridSpan w:val="2"/>
            <w:tcBorders>
              <w:top w:val="single" w:color="000000" w:sz="4" w:space="0"/>
              <w:left w:val="single" w:color="auto" w:sz="4" w:space="0"/>
              <w:bottom w:val="double" w:color="auto"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6" w:type="dxa"/>
            <w:gridSpan w:val="2"/>
            <w:tcBorders>
              <w:top w:val="single" w:color="000000" w:sz="4" w:space="0"/>
              <w:left w:val="nil"/>
              <w:bottom w:val="double" w:color="auto" w:sz="4" w:space="0"/>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077"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r>
      <w:tr>
        <w:trPr/>
        <w:tc>
          <w:tcPr>
            <w:tcW w:w="558"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28"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合計</w:t>
            </w:r>
          </w:p>
        </w:tc>
        <w:tc>
          <w:tcPr>
            <w:tcW w:w="107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243</w:t>
            </w:r>
          </w:p>
        </w:tc>
        <w:tc>
          <w:tcPr>
            <w:tcW w:w="1076"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264</w:t>
            </w:r>
          </w:p>
        </w:tc>
        <w:tc>
          <w:tcPr>
            <w:tcW w:w="1076" w:type="dxa"/>
            <w:gridSpan w:val="2"/>
            <w:tcBorders>
              <w:top w:val="doub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308</w:t>
            </w:r>
          </w:p>
        </w:tc>
        <w:tc>
          <w:tcPr>
            <w:tcW w:w="1076" w:type="dxa"/>
            <w:gridSpan w:val="2"/>
            <w:tcBorders>
              <w:top w:val="double" w:color="auto" w:sz="4" w:space="0"/>
              <w:left w:val="nil"/>
              <w:bottom w:val="single" w:color="auto" w:sz="4" w:space="0"/>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274</w:t>
            </w:r>
          </w:p>
        </w:tc>
        <w:tc>
          <w:tcPr>
            <w:tcW w:w="1077" w:type="dxa"/>
            <w:tcBorders>
              <w:top w:val="doub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323</w:t>
            </w:r>
          </w:p>
        </w:tc>
      </w:tr>
    </w:tbl>
    <w:p>
      <w:pPr>
        <w:pStyle w:val="40"/>
        <w:snapToGrid w:val="0"/>
        <w:spacing w:before="0" w:beforeLines="0" w:beforeAutospacing="0" w:after="0" w:afterLines="0" w:afterAutospacing="0"/>
        <w:jc w:val="center"/>
        <w:rPr>
          <w:rFonts w:hint="default" w:ascii="ＭＳ ゴシック" w:hAnsi="ＭＳ ゴシック" w:eastAsia="ＭＳ ゴシック"/>
          <w:sz w:val="8"/>
        </w:rPr>
      </w:pPr>
    </w:p>
    <w:tbl>
      <w:tblPr>
        <w:tblStyle w:val="11"/>
        <w:tblW w:w="9067" w:type="dxa"/>
        <w:tblInd w:w="562" w:type="dxa"/>
        <w:tblLayout w:type="fixed"/>
        <w:tblCellMar>
          <w:left w:w="99" w:type="dxa"/>
          <w:right w:w="99" w:type="dxa"/>
        </w:tblCellMar>
        <w:tblLook w:firstRow="1" w:lastRow="0" w:firstColumn="1" w:lastColumn="0" w:noHBand="0" w:noVBand="1" w:val="04A0"/>
      </w:tblPr>
      <w:tblGrid>
        <w:gridCol w:w="567"/>
        <w:gridCol w:w="993"/>
        <w:gridCol w:w="2126"/>
        <w:gridCol w:w="1076"/>
        <w:gridCol w:w="1076"/>
        <w:gridCol w:w="1076"/>
        <w:gridCol w:w="1076"/>
        <w:gridCol w:w="1077"/>
      </w:tblGrid>
      <w:tr>
        <w:trPr/>
        <w:tc>
          <w:tcPr>
            <w:tcW w:w="56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入院</w:t>
            </w:r>
          </w:p>
        </w:tc>
        <w:tc>
          <w:tcPr>
            <w:tcW w:w="3119"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聴覚・平衡機能障害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nil"/>
              <w:bottom w:val="single" w:color="auto" w:sz="4" w:space="0"/>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7" w:type="dxa"/>
            <w:tcBorders>
              <w:top w:val="sing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肢体不自由</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nil"/>
              <w:bottom w:val="single" w:color="auto" w:sz="4" w:space="0"/>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7" w:type="dxa"/>
            <w:tcBorders>
              <w:top w:val="sing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93" w:type="dxa"/>
            <w:vMerge w:val="restart"/>
            <w:tcBorders>
              <w:top w:val="single" w:color="auto" w:sz="4" w:space="0"/>
              <w:left w:val="single" w:color="auto" w:sz="4" w:space="0"/>
              <w:bottom w:val="nil"/>
              <w:right w:val="nil"/>
              <w:tl2br w:val="none" w:color="auto" w:sz="0" w:space="0"/>
              <w:tr2bl w:val="none" w:color="auto" w:sz="0" w:space="0"/>
            </w:tcBorders>
            <w:shd w:val="clear" w:color="auto" w:fill="auto"/>
            <w:vAlign w:val="center"/>
          </w:tcPr>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内臓</w:t>
            </w:r>
            <w:r>
              <w:rPr>
                <w:rFonts w:hint="eastAsia" w:ascii="ＭＳ ゴシック" w:hAnsi="ＭＳ ゴシック" w:eastAsia="ＭＳ ゴシック"/>
                <w:kern w:val="0"/>
                <w:sz w:val="20"/>
              </w:rPr>
              <w:br w:type="textWrapping" w:clear="none"/>
            </w:r>
            <w:r>
              <w:rPr>
                <w:rFonts w:hint="eastAsia" w:ascii="ＭＳ ゴシック" w:hAnsi="ＭＳ ゴシック" w:eastAsia="ＭＳ ゴシック"/>
                <w:kern w:val="0"/>
                <w:sz w:val="20"/>
              </w:rPr>
              <w:t>機能障害</w:t>
            </w:r>
          </w:p>
        </w:tc>
        <w:tc>
          <w:tcPr>
            <w:tcW w:w="2126"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心臓機能障害</w:t>
            </w:r>
          </w:p>
        </w:tc>
        <w:tc>
          <w:tcPr>
            <w:tcW w:w="1076" w:type="dxa"/>
            <w:tcBorders>
              <w:top w:val="single" w:color="auto"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w:t>
            </w:r>
          </w:p>
        </w:tc>
        <w:tc>
          <w:tcPr>
            <w:tcW w:w="1076" w:type="dxa"/>
            <w:tcBorders>
              <w:top w:val="single" w:color="auto"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076" w:type="dxa"/>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076" w:type="dxa"/>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1077"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r>
      <w:tr>
        <w:trPr/>
        <w:tc>
          <w:tcPr>
            <w:tcW w:w="567"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93" w:type="dxa"/>
            <w:vMerge w:val="continue"/>
            <w:tcBorders>
              <w:top w:val="single" w:color="auto" w:sz="4" w:space="0"/>
              <w:left w:val="single" w:color="auto" w:sz="4" w:space="0"/>
              <w:bottom w:val="nil"/>
              <w:right w:val="nil"/>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6" w:type="dxa"/>
            <w:tcBorders>
              <w:top w:val="single" w:color="000000"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じん臓機能障害</w:t>
            </w:r>
          </w:p>
        </w:tc>
        <w:tc>
          <w:tcPr>
            <w:tcW w:w="1076" w:type="dxa"/>
            <w:tcBorders>
              <w:top w:val="single" w:color="000000"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96</w:t>
            </w:r>
          </w:p>
        </w:tc>
        <w:tc>
          <w:tcPr>
            <w:tcW w:w="1076" w:type="dxa"/>
            <w:tcBorders>
              <w:top w:val="single" w:color="000000"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111</w:t>
            </w:r>
          </w:p>
        </w:tc>
        <w:tc>
          <w:tcPr>
            <w:tcW w:w="1076"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126</w:t>
            </w:r>
          </w:p>
        </w:tc>
        <w:tc>
          <w:tcPr>
            <w:tcW w:w="107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114</w:t>
            </w:r>
          </w:p>
        </w:tc>
        <w:tc>
          <w:tcPr>
            <w:tcW w:w="1077"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134</w:t>
            </w:r>
          </w:p>
        </w:tc>
      </w:tr>
      <w:tr>
        <w:trPr/>
        <w:tc>
          <w:tcPr>
            <w:tcW w:w="567"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93" w:type="dxa"/>
            <w:vMerge w:val="continue"/>
            <w:tcBorders>
              <w:top w:val="single" w:color="auto" w:sz="4" w:space="0"/>
              <w:left w:val="single" w:color="auto" w:sz="4" w:space="0"/>
              <w:bottom w:val="double" w:color="auto" w:sz="4" w:space="0"/>
              <w:right w:val="nil"/>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6" w:type="dxa"/>
            <w:tcBorders>
              <w:top w:val="single" w:color="000000"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その他内臓機能障害</w:t>
            </w:r>
          </w:p>
        </w:tc>
        <w:tc>
          <w:tcPr>
            <w:tcW w:w="1076" w:type="dxa"/>
            <w:tcBorders>
              <w:top w:val="single" w:color="000000"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000000"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000000" w:sz="4" w:space="0"/>
              <w:left w:val="single" w:color="auto" w:sz="4" w:space="0"/>
              <w:bottom w:val="double" w:color="auto"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000000" w:sz="4" w:space="0"/>
              <w:left w:val="nil"/>
              <w:bottom w:val="double" w:color="auto" w:sz="4" w:space="0"/>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077"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r>
      <w:tr>
        <w:trPr/>
        <w:tc>
          <w:tcPr>
            <w:tcW w:w="567" w:type="dxa"/>
            <w:vMerge w:val="continue"/>
            <w:tcBorders>
              <w:top w:val="single" w:color="000000" w:sz="4" w:space="0"/>
              <w:left w:val="single" w:color="auto" w:sz="4" w:space="0"/>
              <w:bottom w:val="single" w:color="auto" w:sz="12"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19" w:type="dxa"/>
            <w:gridSpan w:val="2"/>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127</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136</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153</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139</w:t>
            </w:r>
          </w:p>
        </w:tc>
        <w:tc>
          <w:tcPr>
            <w:tcW w:w="1077"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168</w:t>
            </w:r>
          </w:p>
        </w:tc>
      </w:tr>
      <w:tr>
        <w:trPr/>
        <w:tc>
          <w:tcPr>
            <w:tcW w:w="567"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入院外</w:t>
            </w:r>
          </w:p>
        </w:tc>
        <w:tc>
          <w:tcPr>
            <w:tcW w:w="3119" w:type="dxa"/>
            <w:gridSpan w:val="2"/>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聴覚・平衡機能障害</w:t>
            </w:r>
          </w:p>
        </w:tc>
        <w:tc>
          <w:tcPr>
            <w:tcW w:w="1076"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12"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12" w:space="0"/>
              <w:left w:val="nil"/>
              <w:bottom w:val="single" w:color="auto" w:sz="4" w:space="0"/>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7" w:type="dxa"/>
            <w:tcBorders>
              <w:top w:val="single" w:color="auto" w:sz="12"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double" w:color="auto"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肢体不自由</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nil"/>
              <w:bottom w:val="single" w:color="auto" w:sz="4" w:space="0"/>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7" w:type="dxa"/>
            <w:tcBorders>
              <w:top w:val="sing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993" w:type="dxa"/>
            <w:vMerge w:val="restart"/>
            <w:tcBorders>
              <w:top w:val="single" w:color="000000" w:sz="4" w:space="0"/>
              <w:left w:val="nil"/>
              <w:bottom w:val="nil"/>
              <w:right w:val="nil"/>
              <w:tl2br w:val="none" w:color="auto" w:sz="0" w:space="0"/>
              <w:tr2bl w:val="none" w:color="auto" w:sz="0" w:space="0"/>
            </w:tcBorders>
            <w:shd w:val="clear" w:color="auto" w:fill="auto"/>
            <w:vAlign w:val="center"/>
          </w:tcPr>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内臓</w:t>
            </w:r>
            <w:r>
              <w:rPr>
                <w:rFonts w:hint="eastAsia" w:ascii="ＭＳ ゴシック" w:hAnsi="ＭＳ ゴシック" w:eastAsia="ＭＳ ゴシック"/>
                <w:kern w:val="0"/>
                <w:sz w:val="20"/>
              </w:rPr>
              <w:br w:type="textWrapping" w:clear="none"/>
            </w:r>
            <w:r>
              <w:rPr>
                <w:rFonts w:hint="eastAsia" w:ascii="ＭＳ ゴシック" w:hAnsi="ＭＳ ゴシック" w:eastAsia="ＭＳ ゴシック"/>
                <w:kern w:val="0"/>
                <w:sz w:val="20"/>
              </w:rPr>
              <w:t>機能障害</w:t>
            </w:r>
          </w:p>
        </w:tc>
        <w:tc>
          <w:tcPr>
            <w:tcW w:w="2126"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心臓機能障害</w:t>
            </w:r>
          </w:p>
        </w:tc>
        <w:tc>
          <w:tcPr>
            <w:tcW w:w="10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993" w:type="dxa"/>
            <w:vMerge w:val="continue"/>
            <w:tcBorders>
              <w:top w:val="single" w:color="000000" w:sz="4" w:space="0"/>
              <w:left w:val="nil"/>
              <w:bottom w:val="nil"/>
              <w:right w:val="nil"/>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6"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じん臓機能障害</w:t>
            </w:r>
          </w:p>
        </w:tc>
        <w:tc>
          <w:tcPr>
            <w:tcW w:w="1076" w:type="dxa"/>
            <w:tcBorders>
              <w:top w:val="single" w:color="auto"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110</w:t>
            </w:r>
          </w:p>
        </w:tc>
        <w:tc>
          <w:tcPr>
            <w:tcW w:w="1076" w:type="dxa"/>
            <w:tcBorders>
              <w:top w:val="single" w:color="auto"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124</w:t>
            </w:r>
          </w:p>
        </w:tc>
        <w:tc>
          <w:tcPr>
            <w:tcW w:w="1076" w:type="dxa"/>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150</w:t>
            </w:r>
          </w:p>
        </w:tc>
        <w:tc>
          <w:tcPr>
            <w:tcW w:w="1076" w:type="dxa"/>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127</w:t>
            </w:r>
          </w:p>
        </w:tc>
        <w:tc>
          <w:tcPr>
            <w:tcW w:w="1077"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151</w:t>
            </w:r>
          </w:p>
        </w:tc>
      </w:tr>
      <w:tr>
        <w:trPr/>
        <w:tc>
          <w:tcPr>
            <w:tcW w:w="567"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993" w:type="dxa"/>
            <w:vMerge w:val="continue"/>
            <w:tcBorders>
              <w:top w:val="single" w:color="000000" w:sz="4" w:space="0"/>
              <w:left w:val="nil"/>
              <w:bottom w:val="double" w:color="auto" w:sz="4" w:space="0"/>
              <w:right w:val="nil"/>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6" w:type="dxa"/>
            <w:tcBorders>
              <w:top w:val="single" w:color="000000"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その他内臓機能障害</w:t>
            </w:r>
          </w:p>
        </w:tc>
        <w:tc>
          <w:tcPr>
            <w:tcW w:w="1076" w:type="dxa"/>
            <w:tcBorders>
              <w:top w:val="single" w:color="000000"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000000"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000000" w:sz="4" w:space="0"/>
              <w:left w:val="single" w:color="auto" w:sz="4" w:space="0"/>
              <w:bottom w:val="double" w:color="auto"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000000" w:sz="4" w:space="0"/>
              <w:left w:val="nil"/>
              <w:bottom w:val="double" w:color="auto" w:sz="4" w:space="0"/>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077"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r>
      <w:tr>
        <w:trPr/>
        <w:tc>
          <w:tcPr>
            <w:tcW w:w="567"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9"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07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116</w:t>
            </w:r>
          </w:p>
        </w:tc>
        <w:tc>
          <w:tcPr>
            <w:tcW w:w="107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128</w:t>
            </w:r>
          </w:p>
        </w:tc>
        <w:tc>
          <w:tcPr>
            <w:tcW w:w="1076" w:type="dxa"/>
            <w:tcBorders>
              <w:top w:val="double" w:color="auto" w:sz="4" w:space="0"/>
              <w:left w:val="single" w:color="auto" w:sz="4" w:space="0"/>
              <w:bottom w:val="single" w:color="auto" w:sz="4" w:space="0"/>
              <w:right w:val="single" w:color="000000"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155</w:t>
            </w:r>
          </w:p>
        </w:tc>
        <w:tc>
          <w:tcPr>
            <w:tcW w:w="1076" w:type="dxa"/>
            <w:tcBorders>
              <w:top w:val="double" w:color="auto" w:sz="4" w:space="0"/>
              <w:left w:val="nil"/>
              <w:bottom w:val="single" w:color="auto" w:sz="4" w:space="0"/>
              <w:right w:val="nil"/>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135</w:t>
            </w:r>
          </w:p>
        </w:tc>
        <w:tc>
          <w:tcPr>
            <w:tcW w:w="1077" w:type="dxa"/>
            <w:tcBorders>
              <w:top w:val="double" w:color="auto" w:sz="4" w:space="0"/>
              <w:left w:val="single" w:color="000000" w:sz="4" w:space="0"/>
              <w:bottom w:val="single" w:color="auto" w:sz="4" w:space="0"/>
              <w:right w:val="single" w:color="auto" w:sz="4" w:space="0"/>
              <w:tl2br w:val="none" w:color="auto" w:sz="0" w:space="0"/>
              <w:tr2bl w:val="none" w:color="auto" w:sz="0" w:space="0"/>
            </w:tcBorders>
            <w:shd w:val="clear" w:color="auto" w:fill="EAEAEA"/>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155</w:t>
            </w:r>
          </w:p>
        </w:tc>
      </w:tr>
    </w:tbl>
    <w:p>
      <w:pPr>
        <w:pStyle w:val="62"/>
        <w:spacing w:before="37" w:beforeLines="0" w:beforeAutospacing="0" w:after="0" w:afterLines="0" w:afterAutospacing="0"/>
        <w:ind w:left="1172"/>
        <w:rPr>
          <w:rFonts w:hint="default"/>
        </w:rPr>
      </w:pPr>
      <w:r>
        <w:rPr>
          <w:rFonts w:hint="eastAsia"/>
        </w:rPr>
        <w:t>資料：保健福祉課（各年度末時点）</w:t>
      </w: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spacing w:line="0" w:lineRule="atLeast"/>
        <w:ind w:left="448" w:firstLine="204" w:firstLineChars="100"/>
        <w:rPr>
          <w:rFonts w:hint="default"/>
          <w:sz w:val="20"/>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76"/>
              <w:spacing w:before="74" w:beforeLines="0" w:beforeAutospacing="0"/>
              <w:ind w:left="224"/>
              <w:rPr>
                <w:rFonts w:hint="default"/>
                <w:color w:val="auto"/>
              </w:rPr>
            </w:pPr>
            <w:r>
              <w:rPr>
                <w:rFonts w:hint="eastAsia"/>
                <w:color w:val="auto"/>
              </w:rPr>
              <w:t>※</w:t>
            </w:r>
            <w:r>
              <w:rPr>
                <w:rFonts w:hint="eastAsia"/>
                <w:color w:val="auto"/>
              </w:rPr>
              <w:t xml:space="preserve"> </w:t>
            </w:r>
            <w:r>
              <w:rPr>
                <w:rFonts w:hint="eastAsia"/>
                <w:color w:val="auto"/>
              </w:rPr>
              <w:t>更生医療</w:t>
            </w:r>
          </w:p>
          <w:p>
            <w:pPr>
              <w:pStyle w:val="75"/>
              <w:ind w:left="448" w:firstLine="204"/>
              <w:rPr>
                <w:rFonts w:hint="default"/>
                <w:color w:val="auto"/>
              </w:rPr>
            </w:pPr>
            <w:r>
              <w:rPr>
                <w:rFonts w:hint="eastAsia"/>
                <w:color w:val="auto"/>
              </w:rPr>
              <w:t>身体障害者福祉法に規定する身体障がい者で、その障がいを除去・軽減する手術等の治療によって確実に効果が期待できるものに対して提供される、更生のために必要な自立支援医療費の支給を行うものです。</w:t>
            </w:r>
          </w:p>
        </w:tc>
      </w:tr>
    </w:tbl>
    <w:p>
      <w:pPr>
        <w:pStyle w:val="0"/>
        <w:widowControl w:val="1"/>
        <w:spacing w:line="20" w:lineRule="exact"/>
        <w:jc w:val="left"/>
        <w:rPr>
          <w:rFonts w:hint="default"/>
        </w:rPr>
      </w:pPr>
      <w:r>
        <w:rPr>
          <w:rFonts w:hint="default"/>
        </w:rPr>
        <w:br w:type="page"/>
      </w:r>
    </w:p>
    <w:p>
      <w:pPr>
        <w:pStyle w:val="82"/>
        <w:ind w:left="784" w:hanging="336"/>
        <w:rPr>
          <w:rFonts w:hint="default"/>
        </w:rPr>
      </w:pPr>
      <w:r>
        <w:rPr>
          <w:rFonts w:hint="default"/>
        </w:rPr>
        <w:t>③</w:t>
      </w:r>
      <w:r>
        <w:rPr>
          <w:rFonts w:hint="default"/>
        </w:rPr>
        <w:t>精神通院医療費</w:t>
      </w:r>
    </w:p>
    <w:p>
      <w:pPr>
        <w:pStyle w:val="61"/>
        <w:ind w:left="672" w:leftChars="300" w:firstLine="214" w:firstLineChars="100"/>
        <w:rPr>
          <w:rFonts w:hint="default"/>
        </w:rPr>
      </w:pPr>
      <w:r>
        <w:rPr>
          <w:rFonts w:hint="default"/>
          <w:vertAlign w:val="superscript"/>
        </w:rPr>
        <w:t>※</w:t>
      </w:r>
      <w:r>
        <w:rPr>
          <w:rFonts w:hint="eastAsia"/>
        </w:rPr>
        <w:t>精神通院医療費の支給認定者数は、増加傾向で推移しており、平成</w:t>
      </w:r>
      <w:r>
        <w:rPr>
          <w:rFonts w:hint="eastAsia"/>
        </w:rPr>
        <w:t>30</w:t>
      </w:r>
      <w:r>
        <w:rPr>
          <w:rFonts w:hint="eastAsia"/>
        </w:rPr>
        <w:t>年度の</w:t>
      </w:r>
      <w:r>
        <w:rPr>
          <w:rFonts w:hint="eastAsia"/>
        </w:rPr>
        <w:t>1,083</w:t>
      </w:r>
      <w:r>
        <w:rPr>
          <w:rFonts w:hint="eastAsia"/>
        </w:rPr>
        <w:t>人から令和４年度では</w:t>
      </w:r>
      <w:r>
        <w:rPr>
          <w:rFonts w:hint="eastAsia"/>
        </w:rPr>
        <w:t>1,383</w:t>
      </w:r>
      <w:r>
        <w:rPr>
          <w:rFonts w:hint="eastAsia"/>
        </w:rPr>
        <w:t>人と、この４年間で</w:t>
      </w:r>
      <w:r>
        <w:rPr>
          <w:rFonts w:hint="eastAsia"/>
        </w:rPr>
        <w:t>300</w:t>
      </w:r>
      <w:r>
        <w:rPr>
          <w:rFonts w:hint="eastAsia"/>
        </w:rPr>
        <w:t>人の増</w:t>
      </w:r>
      <w:r>
        <w:rPr>
          <w:rFonts w:hint="default"/>
        </w:rPr>
        <w:t>(</w:t>
      </w:r>
      <w:r>
        <w:rPr>
          <w:rFonts w:hint="eastAsia"/>
        </w:rPr>
        <w:t>伸び率</w:t>
      </w:r>
      <w:r>
        <w:rPr>
          <w:rFonts w:hint="eastAsia"/>
        </w:rPr>
        <w:t>27.7</w:t>
      </w:r>
      <w:r>
        <w:rPr>
          <w:rFonts w:hint="eastAsia"/>
        </w:rPr>
        <w:t>％</w:t>
      </w:r>
      <w:r>
        <w:rPr>
          <w:rFonts w:hint="default"/>
        </w:rPr>
        <w:t>)</w:t>
      </w:r>
      <w:r>
        <w:rPr>
          <w:rFonts w:hint="default"/>
        </w:rPr>
        <w:t>と</w:t>
      </w:r>
      <w:r>
        <w:rPr>
          <w:rFonts w:hint="eastAsia"/>
        </w:rPr>
        <w:t>なっています。</w:t>
      </w:r>
    </w:p>
    <w:p>
      <w:pPr>
        <w:pStyle w:val="61"/>
        <w:ind w:left="672" w:leftChars="300" w:firstLine="214" w:firstLineChars="100"/>
        <w:rPr>
          <w:rFonts w:hint="default"/>
        </w:rPr>
      </w:pPr>
      <w:r>
        <w:rPr>
          <w:rFonts w:hint="default"/>
        </w:rPr>
        <w:t>病類としては、</w:t>
      </w:r>
      <w:r>
        <w:rPr>
          <w:rFonts w:hint="eastAsia"/>
        </w:rPr>
        <w:t>毎年度</w:t>
      </w:r>
      <w:r>
        <w:rPr>
          <w:rFonts w:hint="default"/>
        </w:rPr>
        <w:t>「気分</w:t>
      </w:r>
      <w:r>
        <w:rPr>
          <w:rFonts w:hint="default"/>
        </w:rPr>
        <w:t>(</w:t>
      </w:r>
      <w:r>
        <w:rPr>
          <w:rFonts w:hint="default"/>
        </w:rPr>
        <w:t>感情</w:t>
      </w:r>
      <w:r>
        <w:rPr>
          <w:rFonts w:hint="default"/>
        </w:rPr>
        <w:t>)</w:t>
      </w:r>
      <w:r>
        <w:rPr>
          <w:rFonts w:hint="default"/>
        </w:rPr>
        <w:t>障害」</w:t>
      </w:r>
      <w:r>
        <w:rPr>
          <w:rFonts w:hint="eastAsia"/>
        </w:rPr>
        <w:t>が最も多くなっています。次に</w:t>
      </w:r>
      <w:r>
        <w:rPr>
          <w:rFonts w:hint="default"/>
        </w:rPr>
        <w:t>「総合失調症」</w:t>
      </w:r>
      <w:r>
        <w:rPr>
          <w:rFonts w:hint="eastAsia"/>
        </w:rPr>
        <w:t>、「てんかん」と続きます。また、</w:t>
      </w:r>
      <w:r>
        <w:rPr>
          <w:rFonts w:hint="default"/>
        </w:rPr>
        <w:t>「てんかん」</w:t>
      </w:r>
      <w:r>
        <w:rPr>
          <w:rFonts w:hint="eastAsia"/>
        </w:rPr>
        <w:t>に次いで多いのは、「神経症圏の障害」、「アルツハイマー」、「心理的発達障害」と</w:t>
      </w:r>
      <w:r>
        <w:rPr>
          <w:rFonts w:hint="default"/>
        </w:rPr>
        <w:t>な</w:t>
      </w:r>
      <w:r>
        <w:rPr>
          <w:rFonts w:hint="eastAsia"/>
        </w:rPr>
        <w:t>ってい</w:t>
      </w:r>
      <w:r>
        <w:rPr>
          <w:rFonts w:hint="default"/>
        </w:rPr>
        <w:t>ます。</w:t>
      </w:r>
    </w:p>
    <w:p>
      <w:pPr>
        <w:pStyle w:val="61"/>
        <w:spacing w:line="0" w:lineRule="atLeast"/>
        <w:ind w:left="448" w:firstLine="164" w:firstLineChars="100"/>
        <w:rPr>
          <w:rFonts w:hint="default"/>
          <w:sz w:val="16"/>
        </w:rPr>
      </w:pPr>
    </w:p>
    <w:tbl>
      <w:tblPr>
        <w:tblStyle w:val="11"/>
        <w:tblW w:w="8929" w:type="dxa"/>
        <w:tblInd w:w="567" w:type="dxa"/>
        <w:tblLayout w:type="fixed"/>
        <w:tblCellMar>
          <w:left w:w="99" w:type="dxa"/>
          <w:right w:w="99" w:type="dxa"/>
        </w:tblCellMar>
        <w:tblLook w:firstRow="1" w:lastRow="0" w:firstColumn="1" w:lastColumn="0" w:noHBand="0" w:noVBand="1" w:val="04A0"/>
      </w:tblPr>
      <w:tblGrid>
        <w:gridCol w:w="1061"/>
        <w:gridCol w:w="2340"/>
        <w:gridCol w:w="1105"/>
        <w:gridCol w:w="1106"/>
        <w:gridCol w:w="1105"/>
        <w:gridCol w:w="1106"/>
        <w:gridCol w:w="1106"/>
      </w:tblGrid>
      <w:tr>
        <w:trPr/>
        <w:tc>
          <w:tcPr>
            <w:tcW w:w="340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6"/>
              <w:snapToGrid w:val="0"/>
              <w:spacing w:line="0" w:lineRule="atLeast"/>
              <w:ind w:left="-221"/>
              <w:rPr>
                <w:rFonts w:hint="default" w:ascii="ＭＳ ゴシック" w:hAnsi="ＭＳ ゴシック" w:eastAsia="ＭＳ ゴシック"/>
                <w:kern w:val="0"/>
                <w:sz w:val="20"/>
              </w:rPr>
            </w:pPr>
            <w:r>
              <w:rPr>
                <w:rFonts w:hint="default" w:ascii="ＭＳ ゴシック" w:hAnsi="ＭＳ ゴシック" w:eastAsia="ＭＳ ゴシック"/>
                <w:sz w:val="21"/>
              </w:rPr>
              <w:t>【精神通院医療費の支給認定状況</w:t>
            </w:r>
            <w:r>
              <w:rPr>
                <w:rFonts w:hint="eastAsia" w:ascii="ＭＳ ゴシック" w:hAnsi="ＭＳ ゴシック" w:eastAsia="ＭＳ ゴシック"/>
                <w:sz w:val="21"/>
              </w:rPr>
              <w:t>】</w:t>
            </w:r>
          </w:p>
        </w:tc>
        <w:tc>
          <w:tcPr>
            <w:tcW w:w="110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rPr>
                <w:rFonts w:hint="default" w:ascii="ＭＳ ゴシック" w:hAnsi="ＭＳ ゴシック" w:eastAsia="ＭＳ ゴシック"/>
              </w:rPr>
            </w:pPr>
          </w:p>
        </w:tc>
        <w:tc>
          <w:tcPr>
            <w:tcW w:w="110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ind w:left="-45" w:leftChars="-20" w:right="-45" w:rightChars="-20"/>
              <w:rPr>
                <w:rFonts w:hint="default" w:ascii="ＭＳ ゴシック" w:hAnsi="ＭＳ ゴシック" w:eastAsia="ＭＳ ゴシック"/>
              </w:rPr>
            </w:pPr>
          </w:p>
        </w:tc>
        <w:tc>
          <w:tcPr>
            <w:tcW w:w="110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ind w:left="-45" w:leftChars="-20" w:right="-45" w:rightChars="-20"/>
              <w:rPr>
                <w:rFonts w:hint="default" w:ascii="ＭＳ ゴシック" w:hAnsi="ＭＳ ゴシック" w:eastAsia="ＭＳ ゴシック"/>
              </w:rPr>
            </w:pPr>
          </w:p>
        </w:tc>
        <w:tc>
          <w:tcPr>
            <w:tcW w:w="110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ind w:left="-45" w:leftChars="-20" w:right="-45" w:rightChars="-20"/>
              <w:rPr>
                <w:rFonts w:hint="default" w:ascii="ＭＳ ゴシック" w:hAnsi="ＭＳ ゴシック" w:eastAsia="ＭＳ ゴシック"/>
              </w:rPr>
            </w:pPr>
          </w:p>
        </w:tc>
        <w:tc>
          <w:tcPr>
            <w:tcW w:w="110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340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病類</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spacing w:val="-8"/>
                <w:w w:val="88"/>
                <w:sz w:val="20"/>
              </w:rPr>
            </w:pPr>
            <w:r>
              <w:rPr>
                <w:rFonts w:hint="eastAsia" w:ascii="ＭＳ ゴシック" w:hAnsi="ＭＳ ゴシック" w:eastAsia="ＭＳ ゴシック"/>
                <w:spacing w:val="-8"/>
                <w:w w:val="88"/>
                <w:sz w:val="20"/>
              </w:rPr>
              <w:t>平成</w:t>
            </w:r>
            <w:r>
              <w:rPr>
                <w:rFonts w:hint="default" w:ascii="ＭＳ ゴシック" w:hAnsi="ＭＳ ゴシック" w:eastAsia="ＭＳ ゴシック"/>
                <w:spacing w:val="-8"/>
                <w:w w:val="88"/>
                <w:sz w:val="20"/>
              </w:rPr>
              <w:t>30</w:t>
            </w:r>
            <w:r>
              <w:rPr>
                <w:rFonts w:hint="default" w:ascii="ＭＳ ゴシック" w:hAnsi="ＭＳ ゴシック" w:eastAsia="ＭＳ ゴシック"/>
                <w:spacing w:val="-8"/>
                <w:w w:val="88"/>
                <w:sz w:val="20"/>
              </w:rPr>
              <w:t>年度</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spacing w:val="-8"/>
                <w:w w:val="88"/>
                <w:sz w:val="20"/>
              </w:rPr>
            </w:pPr>
            <w:r>
              <w:rPr>
                <w:rFonts w:hint="eastAsia" w:ascii="ＭＳ ゴシック" w:hAnsi="ＭＳ ゴシック" w:eastAsia="ＭＳ ゴシック"/>
                <w:spacing w:val="-8"/>
                <w:w w:val="88"/>
                <w:sz w:val="20"/>
              </w:rPr>
              <w:t>令和元年度</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spacing w:val="-8"/>
                <w:w w:val="88"/>
                <w:sz w:val="20"/>
              </w:rPr>
            </w:pPr>
            <w:r>
              <w:rPr>
                <w:rFonts w:hint="eastAsia" w:ascii="ＭＳ ゴシック" w:hAnsi="ＭＳ ゴシック" w:eastAsia="ＭＳ ゴシック"/>
                <w:spacing w:val="-8"/>
                <w:w w:val="88"/>
                <w:sz w:val="20"/>
              </w:rPr>
              <w:t>令和２年度</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spacing w:val="-8"/>
                <w:w w:val="88"/>
                <w:sz w:val="20"/>
              </w:rPr>
            </w:pPr>
            <w:r>
              <w:rPr>
                <w:rFonts w:hint="eastAsia" w:ascii="ＭＳ ゴシック" w:hAnsi="ＭＳ ゴシック" w:eastAsia="ＭＳ ゴシック"/>
                <w:spacing w:val="-8"/>
                <w:w w:val="88"/>
                <w:sz w:val="20"/>
              </w:rPr>
              <w:t>令和３年度</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spacing w:val="-8"/>
                <w:w w:val="88"/>
                <w:sz w:val="20"/>
              </w:rPr>
            </w:pPr>
            <w:r>
              <w:rPr>
                <w:rFonts w:hint="eastAsia" w:ascii="ＭＳ ゴシック" w:hAnsi="ＭＳ ゴシック" w:eastAsia="ＭＳ ゴシック"/>
                <w:spacing w:val="-8"/>
                <w:w w:val="88"/>
                <w:sz w:val="20"/>
              </w:rPr>
              <w:t>令和４年度</w:t>
            </w:r>
          </w:p>
        </w:tc>
      </w:tr>
      <w:tr>
        <w:trPr/>
        <w:tc>
          <w:tcPr>
            <w:tcW w:w="3401" w:type="dxa"/>
            <w:gridSpan w:val="2"/>
            <w:tcBorders>
              <w:top w:val="single" w:color="auto" w:sz="4" w:space="0"/>
              <w:left w:val="single" w:color="auto" w:sz="4" w:space="0"/>
              <w:bottom w:val="nil"/>
              <w:right w:val="single" w:color="000000"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統合失調症</w:t>
            </w:r>
          </w:p>
        </w:tc>
        <w:tc>
          <w:tcPr>
            <w:tcW w:w="1105"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296</w:t>
            </w:r>
          </w:p>
        </w:tc>
        <w:tc>
          <w:tcPr>
            <w:tcW w:w="1106"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304</w:t>
            </w:r>
          </w:p>
        </w:tc>
        <w:tc>
          <w:tcPr>
            <w:tcW w:w="1105"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352</w:t>
            </w:r>
          </w:p>
        </w:tc>
        <w:tc>
          <w:tcPr>
            <w:tcW w:w="1106" w:type="dxa"/>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321</w:t>
            </w:r>
          </w:p>
        </w:tc>
        <w:tc>
          <w:tcPr>
            <w:tcW w:w="1106"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310</w:t>
            </w:r>
          </w:p>
        </w:tc>
      </w:tr>
      <w:tr>
        <w:trPr/>
        <w:tc>
          <w:tcPr>
            <w:tcW w:w="3401" w:type="dxa"/>
            <w:gridSpan w:val="2"/>
            <w:tcBorders>
              <w:top w:val="single" w:color="000000" w:sz="4" w:space="0"/>
              <w:left w:val="single" w:color="auto" w:sz="4" w:space="0"/>
              <w:bottom w:val="nil"/>
              <w:right w:val="single" w:color="000000"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気分</w:t>
            </w:r>
            <w:r>
              <w:rPr>
                <w:rFonts w:hint="eastAsia" w:ascii="ＭＳ ゴシック" w:hAnsi="ＭＳ ゴシック" w:eastAsia="ＭＳ ゴシック"/>
                <w:w w:val="100"/>
                <w:sz w:val="20"/>
              </w:rPr>
              <w:t>(</w:t>
            </w:r>
            <w:r>
              <w:rPr>
                <w:rFonts w:hint="eastAsia" w:ascii="ＭＳ ゴシック" w:hAnsi="ＭＳ ゴシック" w:eastAsia="ＭＳ ゴシック"/>
                <w:w w:val="100"/>
                <w:sz w:val="20"/>
              </w:rPr>
              <w:t>感情</w:t>
            </w:r>
            <w:r>
              <w:rPr>
                <w:rFonts w:hint="eastAsia" w:ascii="ＭＳ ゴシック" w:hAnsi="ＭＳ ゴシック" w:eastAsia="ＭＳ ゴシック"/>
                <w:w w:val="100"/>
                <w:sz w:val="20"/>
              </w:rPr>
              <w:t>)</w:t>
            </w:r>
            <w:r>
              <w:rPr>
                <w:rFonts w:hint="eastAsia" w:ascii="ＭＳ ゴシック" w:hAnsi="ＭＳ ゴシック" w:eastAsia="ＭＳ ゴシック"/>
                <w:w w:val="100"/>
                <w:sz w:val="20"/>
              </w:rPr>
              <w:t>障害</w:t>
            </w:r>
          </w:p>
        </w:tc>
        <w:tc>
          <w:tcPr>
            <w:tcW w:w="1105"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304</w:t>
            </w:r>
          </w:p>
        </w:tc>
        <w:tc>
          <w:tcPr>
            <w:tcW w:w="1106"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333</w:t>
            </w:r>
          </w:p>
        </w:tc>
        <w:tc>
          <w:tcPr>
            <w:tcW w:w="1105"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410</w:t>
            </w:r>
          </w:p>
        </w:tc>
        <w:tc>
          <w:tcPr>
            <w:tcW w:w="1106" w:type="dxa"/>
            <w:tcBorders>
              <w:top w:val="single" w:color="000000" w:sz="4" w:space="0"/>
              <w:left w:val="nil"/>
              <w:bottom w:val="single" w:color="auto"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414</w:t>
            </w:r>
          </w:p>
        </w:tc>
        <w:tc>
          <w:tcPr>
            <w:tcW w:w="1106" w:type="dxa"/>
            <w:tcBorders>
              <w:top w:val="single" w:color="000000"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469</w:t>
            </w:r>
          </w:p>
        </w:tc>
      </w:tr>
      <w:tr>
        <w:trPr/>
        <w:tc>
          <w:tcPr>
            <w:tcW w:w="3401" w:type="dxa"/>
            <w:gridSpan w:val="2"/>
            <w:tcBorders>
              <w:top w:val="single" w:color="000000"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てんかん</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160</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164</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178</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164</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169</w:t>
            </w:r>
          </w:p>
        </w:tc>
      </w:tr>
      <w:tr>
        <w:trPr/>
        <w:tc>
          <w:tcPr>
            <w:tcW w:w="1061"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脳器質性</w:t>
            </w:r>
          </w:p>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精神障害</w:t>
            </w:r>
          </w:p>
        </w:tc>
        <w:tc>
          <w:tcPr>
            <w:tcW w:w="23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アルツハイマー</w:t>
            </w:r>
          </w:p>
        </w:tc>
        <w:tc>
          <w:tcPr>
            <w:tcW w:w="11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70</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71</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84</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79</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93</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脳血管性認知症</w:t>
            </w:r>
          </w:p>
        </w:tc>
        <w:tc>
          <w:tcPr>
            <w:tcW w:w="1105"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w:t>
            </w:r>
          </w:p>
        </w:tc>
        <w:tc>
          <w:tcPr>
            <w:tcW w:w="1106"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105" w:type="dxa"/>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106" w:type="dxa"/>
            <w:tcBorders>
              <w:top w:val="single" w:color="auto"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その他認知症</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w:t>
            </w:r>
          </w:p>
        </w:tc>
        <w:tc>
          <w:tcPr>
            <w:tcW w:w="1106" w:type="dxa"/>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19</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その他器質性精神障害</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r>
      <w:tr>
        <w:trPr/>
        <w:tc>
          <w:tcPr>
            <w:tcW w:w="1061"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中毒性</w:t>
            </w:r>
          </w:p>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精神障害</w:t>
            </w: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アルコール依存症</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アルコール性精神病</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覚醒剤依存症</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覚醒剤精神病</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spacing w:val="-8"/>
                <w:w w:val="88"/>
                <w:sz w:val="20"/>
              </w:rPr>
            </w:pPr>
            <w:r>
              <w:rPr>
                <w:rFonts w:hint="eastAsia" w:ascii="ＭＳ ゴシック" w:hAnsi="ＭＳ ゴシック" w:eastAsia="ＭＳ ゴシック"/>
                <w:spacing w:val="-8"/>
                <w:w w:val="88"/>
                <w:sz w:val="20"/>
              </w:rPr>
              <w:t>有機溶液材中毒</w:t>
            </w:r>
            <w:r>
              <w:rPr>
                <w:rFonts w:hint="default" w:ascii="ＭＳ ゴシック" w:hAnsi="ＭＳ ゴシック" w:eastAsia="ＭＳ ゴシック"/>
                <w:spacing w:val="-8"/>
                <w:w w:val="88"/>
                <w:sz w:val="20"/>
              </w:rPr>
              <w:t>(</w:t>
            </w:r>
            <w:r>
              <w:rPr>
                <w:rFonts w:hint="eastAsia" w:ascii="ＭＳ ゴシック" w:hAnsi="ＭＳ ゴシック" w:eastAsia="ＭＳ ゴシック"/>
                <w:spacing w:val="-8"/>
                <w:w w:val="88"/>
                <w:sz w:val="20"/>
              </w:rPr>
              <w:t>シンナー等</w:t>
            </w:r>
            <w:r>
              <w:rPr>
                <w:rFonts w:hint="default" w:ascii="ＭＳ ゴシック" w:hAnsi="ＭＳ ゴシック" w:eastAsia="ＭＳ ゴシック"/>
                <w:spacing w:val="-8"/>
                <w:w w:val="88"/>
                <w:sz w:val="20"/>
              </w:rPr>
              <w:t>)</w:t>
            </w:r>
          </w:p>
        </w:tc>
        <w:tc>
          <w:tcPr>
            <w:tcW w:w="1105"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5"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nil"/>
              <w:bottom w:val="single" w:color="auto"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その他中毒性精神病</w:t>
            </w:r>
          </w:p>
        </w:tc>
        <w:tc>
          <w:tcPr>
            <w:tcW w:w="11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r>
      <w:tr>
        <w:trPr/>
        <w:tc>
          <w:tcPr>
            <w:tcW w:w="3401" w:type="dxa"/>
            <w:gridSpan w:val="2"/>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神経症圏の障害</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73</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82</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92</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120</w:t>
            </w:r>
          </w:p>
        </w:tc>
      </w:tr>
      <w:tr>
        <w:trPr/>
        <w:tc>
          <w:tcPr>
            <w:tcW w:w="3401" w:type="dxa"/>
            <w:gridSpan w:val="2"/>
            <w:tcBorders>
              <w:top w:val="single" w:color="000000" w:sz="4" w:space="0"/>
              <w:left w:val="single" w:color="auto" w:sz="4" w:space="0"/>
              <w:bottom w:val="nil"/>
              <w:right w:val="single" w:color="000000"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人格障害</w:t>
            </w:r>
          </w:p>
        </w:tc>
        <w:tc>
          <w:tcPr>
            <w:tcW w:w="1105"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05"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06" w:type="dxa"/>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06"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3401" w:type="dxa"/>
            <w:gridSpan w:val="2"/>
            <w:tcBorders>
              <w:top w:val="single" w:color="000000" w:sz="4" w:space="0"/>
              <w:left w:val="single" w:color="auto" w:sz="4" w:space="0"/>
              <w:bottom w:val="nil"/>
              <w:right w:val="single" w:color="000000"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知的障害</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r>
      <w:tr>
        <w:trPr/>
        <w:tc>
          <w:tcPr>
            <w:tcW w:w="3401" w:type="dxa"/>
            <w:gridSpan w:val="2"/>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生理的障害及び身体的要因</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r>
      <w:tr>
        <w:trPr/>
        <w:tc>
          <w:tcPr>
            <w:tcW w:w="340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心理的発達障害</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67</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69</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85</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80</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81</w:t>
            </w:r>
          </w:p>
        </w:tc>
      </w:tr>
      <w:tr>
        <w:trPr/>
        <w:tc>
          <w:tcPr>
            <w:tcW w:w="340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小児青年期の行動情緒障害</w:t>
            </w:r>
          </w:p>
        </w:tc>
        <w:tc>
          <w:tcPr>
            <w:tcW w:w="1105"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106"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105"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106" w:type="dxa"/>
            <w:tcBorders>
              <w:top w:val="single" w:color="000000" w:sz="4" w:space="0"/>
              <w:left w:val="nil"/>
              <w:bottom w:val="single" w:color="auto" w:sz="4" w:space="0"/>
              <w:right w:val="nil"/>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w:t>
            </w:r>
          </w:p>
        </w:tc>
        <w:tc>
          <w:tcPr>
            <w:tcW w:w="1106" w:type="dxa"/>
            <w:tcBorders>
              <w:top w:val="single" w:color="000000"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r>
      <w:tr>
        <w:trPr/>
        <w:tc>
          <w:tcPr>
            <w:tcW w:w="1061"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w:t>
            </w:r>
          </w:p>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精神病</w:t>
            </w:r>
          </w:p>
        </w:tc>
        <w:tc>
          <w:tcPr>
            <w:tcW w:w="2340" w:type="dxa"/>
            <w:tcBorders>
              <w:top w:val="nil"/>
              <w:left w:val="nil"/>
              <w:bottom w:val="nil"/>
              <w:right w:val="nil"/>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心因反応</w:t>
            </w:r>
          </w:p>
        </w:tc>
        <w:tc>
          <w:tcPr>
            <w:tcW w:w="1105"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5"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1061"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single" w:color="000000" w:sz="4" w:space="0"/>
              <w:left w:val="nil"/>
              <w:bottom w:val="nil"/>
              <w:right w:val="nil"/>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非定型精神病</w:t>
            </w:r>
          </w:p>
        </w:tc>
        <w:tc>
          <w:tcPr>
            <w:tcW w:w="110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1061"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single" w:color="000000" w:sz="4" w:space="0"/>
              <w:left w:val="nil"/>
              <w:bottom w:val="nil"/>
              <w:right w:val="nil"/>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接枝分裂症</w:t>
            </w:r>
          </w:p>
        </w:tc>
        <w:tc>
          <w:tcPr>
            <w:tcW w:w="1105" w:type="dxa"/>
            <w:tcBorders>
              <w:top w:val="single" w:color="000000" w:sz="4" w:space="0"/>
              <w:left w:val="single" w:color="000000" w:sz="4" w:space="0"/>
              <w:bottom w:val="single" w:color="auto"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5"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nil"/>
              <w:bottom w:val="single" w:color="auto" w:sz="4" w:space="0"/>
              <w:right w:val="nil"/>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3401" w:type="dxa"/>
            <w:gridSpan w:val="2"/>
            <w:tcBorders>
              <w:top w:val="single" w:color="000000" w:sz="4" w:space="0"/>
              <w:left w:val="single" w:color="auto" w:sz="4" w:space="0"/>
              <w:bottom w:val="nil"/>
              <w:right w:val="single" w:color="000000"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その他精神障害</w:t>
            </w:r>
          </w:p>
        </w:tc>
        <w:tc>
          <w:tcPr>
            <w:tcW w:w="1105" w:type="dxa"/>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5" w:type="dxa"/>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06" w:type="dxa"/>
            <w:tcBorders>
              <w:top w:val="single" w:color="auto" w:sz="4" w:space="0"/>
              <w:left w:val="nil"/>
              <w:bottom w:val="single" w:color="auto" w:sz="4" w:space="0"/>
              <w:right w:val="nil"/>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06" w:type="dxa"/>
            <w:tcBorders>
              <w:top w:val="sing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3401" w:type="dxa"/>
            <w:gridSpan w:val="2"/>
            <w:tcBorders>
              <w:top w:val="single" w:color="auto" w:sz="4" w:space="0"/>
              <w:left w:val="single" w:color="auto" w:sz="4" w:space="0"/>
              <w:bottom w:val="double" w:color="auto" w:sz="6"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不明</w:t>
            </w:r>
          </w:p>
        </w:tc>
        <w:tc>
          <w:tcPr>
            <w:tcW w:w="1105" w:type="dxa"/>
            <w:tcBorders>
              <w:top w:val="single" w:color="auto" w:sz="4" w:space="0"/>
              <w:left w:val="nil"/>
              <w:bottom w:val="double" w:color="auto" w:sz="6"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nil"/>
              <w:bottom w:val="double" w:color="auto" w:sz="6"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5" w:type="dxa"/>
            <w:tcBorders>
              <w:top w:val="single" w:color="auto" w:sz="4" w:space="0"/>
              <w:left w:val="nil"/>
              <w:bottom w:val="double" w:color="auto" w:sz="6"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nil"/>
              <w:bottom w:val="double" w:color="auto" w:sz="6" w:space="0"/>
              <w:right w:val="nil"/>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single" w:color="000000" w:sz="4" w:space="0"/>
              <w:bottom w:val="double" w:color="auto" w:sz="6" w:space="0"/>
              <w:right w:val="single" w:color="auto"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3401" w:type="dxa"/>
            <w:gridSpan w:val="2"/>
            <w:tcBorders>
              <w:top w:val="nil"/>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105" w:type="dxa"/>
            <w:tcBorders>
              <w:top w:val="double" w:color="auto" w:sz="6" w:space="0"/>
              <w:left w:val="nil"/>
              <w:bottom w:val="single" w:color="auto" w:sz="4"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1,083</w:t>
            </w:r>
          </w:p>
        </w:tc>
        <w:tc>
          <w:tcPr>
            <w:tcW w:w="1106" w:type="dxa"/>
            <w:tcBorders>
              <w:top w:val="double" w:color="auto" w:sz="6" w:space="0"/>
              <w:left w:val="nil"/>
              <w:bottom w:val="single" w:color="auto" w:sz="4"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1,139</w:t>
            </w:r>
          </w:p>
        </w:tc>
        <w:tc>
          <w:tcPr>
            <w:tcW w:w="1105" w:type="dxa"/>
            <w:tcBorders>
              <w:top w:val="double" w:color="auto" w:sz="6" w:space="0"/>
              <w:left w:val="nil"/>
              <w:bottom w:val="single" w:color="auto" w:sz="4"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1,360</w:t>
            </w:r>
          </w:p>
        </w:tc>
        <w:tc>
          <w:tcPr>
            <w:tcW w:w="1106" w:type="dxa"/>
            <w:tcBorders>
              <w:top w:val="double" w:color="auto" w:sz="6" w:space="0"/>
              <w:left w:val="nil"/>
              <w:bottom w:val="single" w:color="auto" w:sz="4" w:space="0"/>
              <w:right w:val="single" w:color="000000"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1,285</w:t>
            </w:r>
          </w:p>
        </w:tc>
        <w:tc>
          <w:tcPr>
            <w:tcW w:w="1106" w:type="dxa"/>
            <w:tcBorders>
              <w:top w:val="double" w:color="auto" w:sz="6" w:space="0"/>
              <w:left w:val="nil"/>
              <w:bottom w:val="single" w:color="auto" w:sz="4" w:space="0"/>
              <w:right w:val="single" w:color="auto" w:sz="4" w:space="0"/>
              <w:tl2br w:val="none" w:color="auto" w:sz="0" w:space="0"/>
              <w:tr2bl w:val="none" w:color="auto" w:sz="0" w:space="0"/>
            </w:tcBorders>
            <w:shd w:val="clear" w:color="auto" w:fill="auto"/>
            <w:vAlign w:val="top"/>
          </w:tcPr>
          <w:p>
            <w:pPr>
              <w:pStyle w:val="39"/>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1,383</w:t>
            </w:r>
          </w:p>
        </w:tc>
      </w:tr>
    </w:tbl>
    <w:p>
      <w:pPr>
        <w:pStyle w:val="62"/>
        <w:spacing w:before="37" w:beforeLines="0" w:beforeAutospacing="0" w:after="0" w:afterLines="0" w:afterAutospacing="0"/>
        <w:ind w:left="1160" w:hanging="600"/>
        <w:rPr>
          <w:rFonts w:hint="default"/>
          <w:spacing w:val="-2"/>
        </w:rPr>
      </w:pPr>
      <w:r>
        <w:rPr>
          <w:rFonts w:hint="eastAsia"/>
          <w:spacing w:val="-2"/>
        </w:rPr>
        <w:t>資料：保健福祉課（各年度末時点）※各年度の４月１日～３</w:t>
      </w:r>
      <w:r>
        <w:rPr>
          <w:rFonts w:hint="default"/>
          <w:spacing w:val="-2"/>
        </w:rPr>
        <w:t>月</w:t>
      </w:r>
      <w:r>
        <w:rPr>
          <w:rFonts w:hint="default"/>
          <w:spacing w:val="-2"/>
        </w:rPr>
        <w:t>31</w:t>
      </w:r>
      <w:r>
        <w:rPr>
          <w:rFonts w:hint="default"/>
          <w:spacing w:val="-2"/>
        </w:rPr>
        <w:t>日の間に有効期間のあった方の数字。</w:t>
      </w: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76"/>
              <w:spacing w:before="74" w:beforeLines="0" w:beforeAutospacing="0"/>
              <w:ind w:left="224"/>
              <w:rPr>
                <w:rFonts w:hint="default"/>
                <w:color w:val="auto"/>
              </w:rPr>
            </w:pPr>
            <w:r>
              <w:rPr>
                <w:rFonts w:hint="eastAsia"/>
                <w:color w:val="auto"/>
              </w:rPr>
              <w:t>※</w:t>
            </w:r>
            <w:r>
              <w:rPr>
                <w:rFonts w:hint="eastAsia"/>
                <w:color w:val="auto"/>
              </w:rPr>
              <w:t xml:space="preserve"> </w:t>
            </w:r>
            <w:r>
              <w:rPr>
                <w:rFonts w:hint="eastAsia"/>
                <w:color w:val="auto"/>
              </w:rPr>
              <w:t>精神通院医療</w:t>
            </w:r>
          </w:p>
          <w:p>
            <w:pPr>
              <w:pStyle w:val="75"/>
              <w:ind w:left="448" w:firstLine="204"/>
              <w:rPr>
                <w:rFonts w:hint="default"/>
                <w:color w:val="auto"/>
              </w:rPr>
            </w:pPr>
            <w:r>
              <w:rPr>
                <w:rFonts w:hint="eastAsia"/>
                <w:color w:val="auto"/>
              </w:rPr>
              <w:t>精神通院医療は、精神保健及び精神障害者福祉に関する法律に規定する精神疾患</w:t>
            </w:r>
            <w:r>
              <w:rPr>
                <w:rFonts w:hint="default"/>
                <w:color w:val="auto"/>
              </w:rPr>
              <w:t>(</w:t>
            </w:r>
            <w:r>
              <w:rPr>
                <w:rFonts w:hint="eastAsia"/>
                <w:color w:val="auto"/>
              </w:rPr>
              <w:t>てんかんを含む。</w:t>
            </w:r>
            <w:r>
              <w:rPr>
                <w:rFonts w:hint="default"/>
                <w:color w:val="auto"/>
              </w:rPr>
              <w:t>)</w:t>
            </w:r>
            <w:r>
              <w:rPr>
                <w:rFonts w:hint="eastAsia"/>
                <w:color w:val="auto"/>
              </w:rPr>
              <w:t>を有する者で、通院による精神医療を継続的に要する病状にある者に対し、その通院医療に係る自立支援医療費の支給を行うものです。１割は原則自己負担であるが、沖縄県では、復帰特別措置法に基づき自己負担分についても公費負担となっています。</w:t>
            </w:r>
          </w:p>
        </w:tc>
      </w:tr>
    </w:tbl>
    <w:p>
      <w:pPr>
        <w:pStyle w:val="0"/>
        <w:widowControl w:val="1"/>
        <w:spacing w:line="20" w:lineRule="exact"/>
        <w:jc w:val="left"/>
        <w:rPr>
          <w:rFonts w:hint="default"/>
        </w:rPr>
      </w:pPr>
      <w:r>
        <w:rPr>
          <w:rFonts w:hint="default"/>
        </w:rPr>
        <w:br w:type="page"/>
      </w:r>
    </w:p>
    <w:p>
      <w:pPr>
        <w:pStyle w:val="60"/>
        <w:spacing w:after="74" w:afterLines="0" w:afterAutospacing="0"/>
        <w:ind w:left="112"/>
        <w:rPr>
          <w:rFonts w:hint="default"/>
          <w:u w:val="single" w:color="auto"/>
        </w:rPr>
      </w:pPr>
      <w:r>
        <w:rPr>
          <w:rFonts w:hint="eastAsia"/>
        </w:rPr>
        <w:t>（７）</w:t>
      </w:r>
      <w:r>
        <w:rPr>
          <w:rFonts w:hint="eastAsia"/>
          <w:u w:val="single" w:color="auto"/>
        </w:rPr>
        <w:t>補装具費の交付状況</w:t>
      </w:r>
    </w:p>
    <w:p>
      <w:pPr>
        <w:pStyle w:val="61"/>
        <w:ind w:left="448" w:firstLine="214" w:firstLineChars="100"/>
        <w:rPr>
          <w:rFonts w:hint="default"/>
          <w:vertAlign w:val="superscript"/>
        </w:rPr>
      </w:pPr>
      <w:r>
        <w:rPr>
          <w:rFonts w:hint="default"/>
          <w:vertAlign w:val="superscript"/>
        </w:rPr>
        <w:t>※</w:t>
      </w:r>
      <w:r>
        <w:rPr>
          <w:rFonts w:hint="default"/>
        </w:rPr>
        <w:t>補装具費の交付件数は、</w:t>
      </w:r>
      <w:r>
        <w:rPr>
          <w:rFonts w:hint="eastAsia"/>
        </w:rPr>
        <w:t>平成</w:t>
      </w:r>
      <w:r>
        <w:rPr>
          <w:rFonts w:hint="eastAsia"/>
        </w:rPr>
        <w:t>30</w:t>
      </w:r>
      <w:r>
        <w:rPr>
          <w:rFonts w:hint="eastAsia"/>
        </w:rPr>
        <w:t>年度以降では令和２</w:t>
      </w:r>
      <w:r>
        <w:rPr>
          <w:rFonts w:hint="default"/>
        </w:rPr>
        <w:t>年度</w:t>
      </w:r>
      <w:r>
        <w:rPr>
          <w:rFonts w:hint="eastAsia"/>
        </w:rPr>
        <w:t>・令和３</w:t>
      </w:r>
      <w:r>
        <w:rPr>
          <w:rFonts w:hint="default"/>
        </w:rPr>
        <w:t>年度</w:t>
      </w:r>
      <w:r>
        <w:rPr>
          <w:rFonts w:hint="eastAsia"/>
        </w:rPr>
        <w:t>が</w:t>
      </w:r>
      <w:r>
        <w:rPr>
          <w:rFonts w:hint="eastAsia"/>
        </w:rPr>
        <w:t>90</w:t>
      </w:r>
      <w:r>
        <w:rPr>
          <w:rFonts w:hint="default"/>
        </w:rPr>
        <w:t>件</w:t>
      </w:r>
      <w:r>
        <w:rPr>
          <w:rFonts w:hint="eastAsia"/>
        </w:rPr>
        <w:t>台で</w:t>
      </w:r>
      <w:r>
        <w:rPr>
          <w:rFonts w:hint="default"/>
        </w:rPr>
        <w:t>多く</w:t>
      </w:r>
      <w:r>
        <w:rPr>
          <w:rFonts w:hint="eastAsia"/>
        </w:rPr>
        <w:t>なっていますが、令和４年度では</w:t>
      </w:r>
      <w:r>
        <w:rPr>
          <w:rFonts w:hint="eastAsia"/>
        </w:rPr>
        <w:t>74</w:t>
      </w:r>
      <w:r>
        <w:rPr>
          <w:rFonts w:hint="eastAsia"/>
        </w:rPr>
        <w:t>件に減少してい</w:t>
      </w:r>
      <w:r>
        <w:rPr>
          <w:rFonts w:hint="default"/>
        </w:rPr>
        <w:t>ます。</w:t>
      </w:r>
    </w:p>
    <w:p>
      <w:pPr>
        <w:pStyle w:val="61"/>
        <w:ind w:left="448" w:firstLine="214" w:firstLineChars="100"/>
        <w:rPr>
          <w:rFonts w:hint="default"/>
        </w:rPr>
      </w:pPr>
      <w:r>
        <w:rPr>
          <w:rFonts w:hint="default"/>
        </w:rPr>
        <w:t>補装具としては、</w:t>
      </w:r>
      <w:r>
        <w:rPr>
          <w:rFonts w:hint="eastAsia"/>
        </w:rPr>
        <w:t>毎年度</w:t>
      </w:r>
      <w:r>
        <w:rPr>
          <w:rFonts w:hint="default"/>
        </w:rPr>
        <w:t>「装具</w:t>
      </w:r>
      <w:r>
        <w:rPr>
          <w:rFonts w:hint="default"/>
        </w:rPr>
        <w:t>(</w:t>
      </w:r>
      <w:r>
        <w:rPr>
          <w:rFonts w:hint="default"/>
        </w:rPr>
        <w:t>下肢</w:t>
      </w:r>
      <w:r>
        <w:rPr>
          <w:rFonts w:hint="default"/>
        </w:rPr>
        <w:t>)</w:t>
      </w:r>
      <w:r>
        <w:rPr>
          <w:rFonts w:hint="default"/>
        </w:rPr>
        <w:t>」</w:t>
      </w:r>
      <w:r>
        <w:rPr>
          <w:rFonts w:hint="eastAsia"/>
        </w:rPr>
        <w:t>、「車いす</w:t>
      </w:r>
      <w:r>
        <w:rPr>
          <w:rFonts w:hint="eastAsia"/>
        </w:rPr>
        <w:t>(</w:t>
      </w:r>
      <w:r>
        <w:rPr>
          <w:rFonts w:hint="eastAsia"/>
        </w:rPr>
        <w:t>普通型</w:t>
      </w:r>
      <w:r>
        <w:rPr>
          <w:rFonts w:hint="eastAsia"/>
        </w:rPr>
        <w:t>)</w:t>
      </w:r>
      <w:r>
        <w:rPr>
          <w:rFonts w:hint="eastAsia"/>
        </w:rPr>
        <w:t>」、「補聴器</w:t>
      </w:r>
      <w:r>
        <w:rPr>
          <w:rFonts w:hint="eastAsia"/>
        </w:rPr>
        <w:t>(</w:t>
      </w:r>
      <w:r>
        <w:rPr>
          <w:rFonts w:hint="eastAsia"/>
        </w:rPr>
        <w:t>重度難聴用耳掛形」、「補聴器</w:t>
      </w:r>
      <w:r>
        <w:rPr>
          <w:rFonts w:hint="eastAsia"/>
        </w:rPr>
        <w:t>(</w:t>
      </w:r>
      <w:r>
        <w:rPr>
          <w:rFonts w:hint="eastAsia"/>
        </w:rPr>
        <w:t>高度難聴用耳掛形</w:t>
      </w:r>
      <w:r>
        <w:rPr>
          <w:rFonts w:hint="eastAsia"/>
        </w:rPr>
        <w:t>)</w:t>
      </w:r>
      <w:r>
        <w:rPr>
          <w:rFonts w:hint="eastAsia"/>
        </w:rPr>
        <w:t>」の４つが</w:t>
      </w:r>
      <w:r>
        <w:rPr>
          <w:rFonts w:hint="default"/>
        </w:rPr>
        <w:t>比較的多い状況</w:t>
      </w:r>
      <w:r>
        <w:rPr>
          <w:rFonts w:hint="eastAsia"/>
        </w:rPr>
        <w:t>にあり、令和４年度では</w:t>
      </w:r>
      <w:r>
        <w:rPr>
          <w:rFonts w:hint="default"/>
        </w:rPr>
        <w:t>「装具</w:t>
      </w:r>
      <w:r>
        <w:rPr>
          <w:rFonts w:hint="default"/>
        </w:rPr>
        <w:t>(</w:t>
      </w:r>
      <w:r>
        <w:rPr>
          <w:rFonts w:hint="default"/>
        </w:rPr>
        <w:t>下肢</w:t>
      </w:r>
      <w:r>
        <w:rPr>
          <w:rFonts w:hint="default"/>
        </w:rPr>
        <w:t>)</w:t>
      </w:r>
      <w:r>
        <w:rPr>
          <w:rFonts w:hint="default"/>
        </w:rPr>
        <w:t>」</w:t>
      </w:r>
      <w:r>
        <w:rPr>
          <w:rFonts w:hint="eastAsia"/>
        </w:rPr>
        <w:t>が</w:t>
      </w:r>
      <w:r>
        <w:rPr>
          <w:rFonts w:hint="eastAsia"/>
        </w:rPr>
        <w:t>14</w:t>
      </w:r>
      <w:r>
        <w:rPr>
          <w:rFonts w:hint="eastAsia"/>
        </w:rPr>
        <w:t>件と最も多く、次に「補聴器</w:t>
      </w:r>
      <w:r>
        <w:rPr>
          <w:rFonts w:hint="eastAsia"/>
        </w:rPr>
        <w:t>(</w:t>
      </w:r>
      <w:r>
        <w:rPr>
          <w:rFonts w:hint="eastAsia"/>
        </w:rPr>
        <w:t>重度難聴用耳掛形</w:t>
      </w:r>
      <w:r>
        <w:rPr>
          <w:rFonts w:hint="eastAsia"/>
        </w:rPr>
        <w:t>)</w:t>
      </w:r>
      <w:r>
        <w:rPr>
          <w:rFonts w:hint="eastAsia"/>
        </w:rPr>
        <w:t>」が</w:t>
      </w:r>
      <w:r>
        <w:rPr>
          <w:rFonts w:hint="eastAsia"/>
        </w:rPr>
        <w:t>12</w:t>
      </w:r>
      <w:r>
        <w:rPr>
          <w:rFonts w:hint="eastAsia"/>
        </w:rPr>
        <w:t>件、「車いす</w:t>
      </w:r>
      <w:r>
        <w:rPr>
          <w:rFonts w:hint="eastAsia"/>
        </w:rPr>
        <w:t>(</w:t>
      </w:r>
      <w:r>
        <w:rPr>
          <w:rFonts w:hint="eastAsia"/>
        </w:rPr>
        <w:t>普通型</w:t>
      </w:r>
      <w:r>
        <w:rPr>
          <w:rFonts w:hint="eastAsia"/>
        </w:rPr>
        <w:t>)</w:t>
      </w:r>
      <w:r>
        <w:rPr>
          <w:rFonts w:hint="eastAsia"/>
        </w:rPr>
        <w:t>」が</w:t>
      </w:r>
      <w:r>
        <w:rPr>
          <w:rFonts w:hint="eastAsia"/>
        </w:rPr>
        <w:t>10</w:t>
      </w:r>
      <w:r>
        <w:rPr>
          <w:rFonts w:hint="eastAsia"/>
        </w:rPr>
        <w:t>件となっています。</w:t>
      </w:r>
    </w:p>
    <w:p>
      <w:pPr>
        <w:pStyle w:val="61"/>
        <w:spacing w:line="0" w:lineRule="atLeast"/>
        <w:ind w:left="448" w:firstLine="164" w:firstLineChars="100"/>
        <w:rPr>
          <w:rFonts w:hint="default"/>
          <w:sz w:val="16"/>
        </w:rPr>
      </w:pPr>
    </w:p>
    <w:tbl>
      <w:tblPr>
        <w:tblStyle w:val="11"/>
        <w:tblW w:w="8834" w:type="dxa"/>
        <w:tblInd w:w="567" w:type="dxa"/>
        <w:tblLayout w:type="fixed"/>
        <w:tblCellMar>
          <w:left w:w="99" w:type="dxa"/>
          <w:right w:w="99" w:type="dxa"/>
        </w:tblCellMar>
        <w:tblLook w:firstRow="1" w:lastRow="0" w:firstColumn="1" w:lastColumn="0" w:noHBand="0" w:noVBand="1" w:val="04A0"/>
      </w:tblPr>
      <w:tblGrid>
        <w:gridCol w:w="567"/>
        <w:gridCol w:w="1418"/>
        <w:gridCol w:w="2086"/>
        <w:gridCol w:w="952"/>
        <w:gridCol w:w="953"/>
        <w:gridCol w:w="952"/>
        <w:gridCol w:w="953"/>
        <w:gridCol w:w="953"/>
      </w:tblGrid>
      <w:tr>
        <w:trPr/>
        <w:tc>
          <w:tcPr>
            <w:tcW w:w="5976" w:type="dxa"/>
            <w:gridSpan w:val="5"/>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left w:w="96" w:type="dxa"/>
              <w:right w:w="96" w:type="dxa"/>
            </w:tcMar>
            <w:vAlign w:val="bottom"/>
          </w:tcPr>
          <w:p>
            <w:pPr>
              <w:pStyle w:val="46"/>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sz w:val="21"/>
              </w:rPr>
              <w:t>【補装具費の交付状況】</w:t>
            </w:r>
          </w:p>
        </w:tc>
        <w:tc>
          <w:tcPr>
            <w:tcW w:w="2858" w:type="dxa"/>
            <w:gridSpan w:val="3"/>
            <w:tcBorders>
              <w:top w:val="none" w:color="auto" w:sz="0" w:space="0"/>
              <w:left w:val="nil"/>
              <w:bottom w:val="single" w:color="auto" w:sz="4" w:space="0"/>
              <w:right w:val="none" w:color="auto" w:sz="0" w:space="0"/>
              <w:tl2br w:val="none" w:color="auto" w:sz="0" w:space="0"/>
              <w:tr2bl w:val="none" w:color="auto" w:sz="0" w:space="0"/>
            </w:tcBorders>
            <w:shd w:val="clear" w:color="auto" w:fill="auto"/>
            <w:tcMar>
              <w:left w:w="96" w:type="dxa"/>
              <w:right w:w="96" w:type="dxa"/>
            </w:tcMar>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件</w:t>
            </w:r>
            <w:r>
              <w:rPr>
                <w:rFonts w:hint="default"/>
              </w:rPr>
              <w:t>)</w:t>
            </w:r>
          </w:p>
        </w:tc>
      </w:tr>
      <w:tr>
        <w:trPr/>
        <w:tc>
          <w:tcPr>
            <w:tcW w:w="4071"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tcMar>
              <w:left w:w="57" w:type="dxa"/>
              <w:right w:w="57"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kern w:val="0"/>
                <w:sz w:val="20"/>
              </w:rPr>
              <w:t>種　目</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tcMar>
              <w:left w:w="57" w:type="dxa"/>
              <w:right w:w="57"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p>
          <w:p>
            <w:pPr>
              <w:pStyle w:val="0"/>
              <w:widowControl w:val="1"/>
              <w:spacing w:line="0" w:lineRule="atLeast"/>
              <w:jc w:val="center"/>
              <w:rPr>
                <w:rFonts w:hint="default" w:ascii="ＭＳ ゴシック" w:hAnsi="ＭＳ ゴシック" w:eastAsia="ＭＳ ゴシック"/>
                <w:spacing w:val="-4"/>
                <w:kern w:val="0"/>
                <w:sz w:val="20"/>
              </w:rPr>
            </w:pP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年度</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tcMar>
              <w:left w:w="57" w:type="dxa"/>
              <w:right w:w="57"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元年度</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２年度</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３年度</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４年度</w:t>
            </w:r>
          </w:p>
        </w:tc>
      </w:tr>
      <w:tr>
        <w:trPr/>
        <w:tc>
          <w:tcPr>
            <w:tcW w:w="567"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肢体不自由</w:t>
            </w:r>
          </w:p>
        </w:tc>
        <w:tc>
          <w:tcPr>
            <w:tcW w:w="14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義肢</w:t>
            </w: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義足</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装具</w:t>
            </w: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下肢</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靴型</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体幹</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上肢</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座位保持装置</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車いす</w:t>
            </w: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普通型</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電動車いす</w:t>
            </w: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普通型</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歩行器</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歩行補助つえ</w:t>
            </w: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spacing w:val="-4"/>
                <w:w w:val="85"/>
                <w:kern w:val="0"/>
                <w:sz w:val="20"/>
              </w:rPr>
            </w:pPr>
            <w:r>
              <w:rPr>
                <w:rFonts w:hint="eastAsia" w:ascii="ＭＳ ゴシック" w:hAnsi="ＭＳ ゴシック" w:eastAsia="ＭＳ ゴシック"/>
                <w:spacing w:val="-4"/>
                <w:w w:val="85"/>
                <w:kern w:val="0"/>
                <w:sz w:val="20"/>
              </w:rPr>
              <w:t>つえ</w:t>
            </w:r>
            <w:r>
              <w:rPr>
                <w:rFonts w:hint="default" w:ascii="ＭＳ ゴシック" w:hAnsi="ＭＳ ゴシック" w:eastAsia="ＭＳ ゴシック"/>
                <w:spacing w:val="-4"/>
                <w:w w:val="85"/>
                <w:kern w:val="0"/>
                <w:sz w:val="20"/>
              </w:rPr>
              <w:t>(T</w:t>
            </w:r>
            <w:r>
              <w:rPr>
                <w:rFonts w:hint="default" w:ascii="ＭＳ ゴシック" w:hAnsi="ＭＳ ゴシック" w:eastAsia="ＭＳ ゴシック"/>
                <w:spacing w:val="-4"/>
                <w:w w:val="85"/>
                <w:kern w:val="0"/>
                <w:sz w:val="20"/>
              </w:rPr>
              <w:t>字状・棒状のつえ</w:t>
            </w:r>
            <w:r>
              <w:rPr>
                <w:rFonts w:hint="default" w:ascii="ＭＳ ゴシック" w:hAnsi="ＭＳ ゴシック" w:eastAsia="ＭＳ ゴシック"/>
                <w:spacing w:val="-4"/>
                <w:w w:val="85"/>
                <w:kern w:val="0"/>
                <w:sz w:val="20"/>
              </w:rPr>
              <w:t>)</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重度障害者用意思伝達装置</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座位保持いす</w:t>
            </w:r>
            <w:r>
              <w:rPr>
                <w:rFonts w:hint="default" w:ascii="ＭＳ ゴシック" w:hAnsi="ＭＳ ゴシック" w:eastAsia="ＭＳ ゴシック"/>
                <w:kern w:val="0"/>
                <w:sz w:val="20"/>
              </w:rPr>
              <w:t>(</w:t>
            </w:r>
            <w:r>
              <w:rPr>
                <w:rFonts w:hint="default" w:ascii="ＭＳ ゴシック" w:hAnsi="ＭＳ ゴシック" w:eastAsia="ＭＳ ゴシック"/>
                <w:kern w:val="0"/>
                <w:sz w:val="20"/>
              </w:rPr>
              <w:t>児童のみ対象）</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起立保持具（児童のみ対象）</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頭部保持具</w:t>
            </w:r>
            <w:r>
              <w:rPr>
                <w:rFonts w:hint="default" w:ascii="ＭＳ ゴシック" w:hAnsi="ＭＳ ゴシック" w:eastAsia="ＭＳ ゴシック"/>
                <w:kern w:val="0"/>
                <w:sz w:val="20"/>
              </w:rPr>
              <w:t>(</w:t>
            </w:r>
            <w:r>
              <w:rPr>
                <w:rFonts w:hint="default" w:ascii="ＭＳ ゴシック" w:hAnsi="ＭＳ ゴシック" w:eastAsia="ＭＳ ゴシック"/>
                <w:kern w:val="0"/>
                <w:sz w:val="20"/>
              </w:rPr>
              <w:t>児童のみ対象</w:t>
            </w:r>
            <w:r>
              <w:rPr>
                <w:rFonts w:hint="default" w:ascii="ＭＳ ゴシック" w:hAnsi="ＭＳ ゴシック" w:eastAsia="ＭＳ ゴシック"/>
                <w:kern w:val="0"/>
                <w:sz w:val="20"/>
              </w:rPr>
              <w:t>)</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視覚障害</w:t>
            </w: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盲人安全つえ</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義眼</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眼鏡</w:t>
            </w: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矯正眼鏡</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56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遮光眼鏡</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聴覚障害</w:t>
            </w:r>
          </w:p>
        </w:tc>
        <w:tc>
          <w:tcPr>
            <w:tcW w:w="1418"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補聴器</w:t>
            </w: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重度難聴用箱形</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jc w:val="left"/>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重度難聴用耳掛形</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jc w:val="left"/>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spacing w:val="-4"/>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高度難聴用箱形</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jc w:val="left"/>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高度難聴用耳掛形</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jc w:val="left"/>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挿耳型</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jc w:val="left"/>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0"/>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骨導型</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jc w:val="left"/>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spacing w:val="-8"/>
                <w:w w:val="88"/>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ＦＭ補聴器</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jc w:val="lef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人工</w:t>
            </w:r>
          </w:p>
          <w:p>
            <w:pPr>
              <w:pStyle w:val="0"/>
              <w:widowControl w:val="1"/>
              <w:spacing w:line="0" w:lineRule="atLeast"/>
              <w:jc w:val="lef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内耳</w:t>
            </w:r>
          </w:p>
        </w:tc>
        <w:tc>
          <w:tcPr>
            <w:tcW w:w="3504" w:type="dxa"/>
            <w:gridSpan w:val="2"/>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人工内耳音声信号処理装置</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4071" w:type="dxa"/>
            <w:gridSpan w:val="3"/>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952"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75</w:t>
            </w:r>
          </w:p>
        </w:tc>
        <w:tc>
          <w:tcPr>
            <w:tcW w:w="95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73</w:t>
            </w:r>
          </w:p>
        </w:tc>
        <w:tc>
          <w:tcPr>
            <w:tcW w:w="952"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97</w:t>
            </w:r>
          </w:p>
        </w:tc>
        <w:tc>
          <w:tcPr>
            <w:tcW w:w="95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96</w:t>
            </w:r>
          </w:p>
        </w:tc>
        <w:tc>
          <w:tcPr>
            <w:tcW w:w="95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74</w:t>
            </w:r>
          </w:p>
        </w:tc>
      </w:tr>
    </w:tbl>
    <w:p>
      <w:pPr>
        <w:pStyle w:val="62"/>
        <w:spacing w:before="37" w:beforeLines="0" w:beforeAutospacing="0" w:after="0" w:afterLines="0" w:afterAutospacing="0"/>
        <w:ind w:left="1172"/>
        <w:rPr>
          <w:rFonts w:hint="default"/>
        </w:rPr>
      </w:pPr>
      <w:r>
        <w:rPr>
          <w:rFonts w:hint="eastAsia"/>
        </w:rPr>
        <w:t>資料：保健福祉課（各年度末時点）</w:t>
      </w:r>
    </w:p>
    <w:p>
      <w:pPr>
        <w:pStyle w:val="61"/>
        <w:ind w:left="448" w:firstLine="214" w:firstLineChars="100"/>
        <w:rPr>
          <w:rFonts w:hint="default"/>
        </w:rPr>
      </w:pPr>
    </w:p>
    <w:p>
      <w:pPr>
        <w:pStyle w:val="61"/>
        <w:spacing w:line="0" w:lineRule="atLeast"/>
        <w:ind w:left="448" w:firstLine="144" w:firstLineChars="100"/>
        <w:rPr>
          <w:rFonts w:hint="default"/>
          <w:sz w:val="14"/>
        </w:rPr>
      </w:pPr>
    </w:p>
    <w:p>
      <w:pPr>
        <w:pStyle w:val="61"/>
        <w:spacing w:line="0" w:lineRule="atLeast"/>
        <w:ind w:left="448" w:firstLine="84" w:firstLineChars="100"/>
        <w:rPr>
          <w:rFonts w:hint="default"/>
          <w:sz w:val="8"/>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76"/>
              <w:spacing w:before="74" w:beforeLines="0" w:beforeAutospacing="0"/>
              <w:ind w:left="224"/>
              <w:rPr>
                <w:rFonts w:hint="default"/>
                <w:color w:val="auto"/>
              </w:rPr>
            </w:pPr>
            <w:r>
              <w:rPr>
                <w:rFonts w:hint="eastAsia"/>
                <w:color w:val="auto"/>
              </w:rPr>
              <w:t>※</w:t>
            </w:r>
            <w:r>
              <w:rPr>
                <w:rFonts w:hint="eastAsia"/>
                <w:color w:val="auto"/>
              </w:rPr>
              <w:t xml:space="preserve"> </w:t>
            </w:r>
            <w:r>
              <w:rPr>
                <w:rFonts w:hint="default"/>
                <w:color w:val="auto"/>
              </w:rPr>
              <w:t>補装具費</w:t>
            </w:r>
          </w:p>
          <w:p>
            <w:pPr>
              <w:pStyle w:val="75"/>
              <w:ind w:left="448" w:firstLine="204"/>
              <w:rPr>
                <w:rFonts w:hint="default"/>
                <w:color w:val="auto"/>
              </w:rPr>
            </w:pPr>
            <w:r>
              <w:rPr>
                <w:rFonts w:hint="eastAsia"/>
                <w:color w:val="auto"/>
              </w:rPr>
              <w:t>身体障がい者</w:t>
            </w:r>
            <w:r>
              <w:rPr>
                <w:rFonts w:hint="default"/>
                <w:color w:val="auto"/>
              </w:rPr>
              <w:t>・障がい児の失われた身体機能を補完・代替し、身体障がい者の就労その他日常生活の能力の向上、また、身体障がい児については、将来、社会人として自立するための素地を育成・助長することを目的に、補装具の購入又は修理に要した費用について補装具費</w:t>
            </w:r>
            <w:r>
              <w:rPr>
                <w:rFonts w:hint="default"/>
                <w:color w:val="auto"/>
              </w:rPr>
              <w:t>(</w:t>
            </w:r>
            <w:r>
              <w:rPr>
                <w:rFonts w:hint="default"/>
                <w:color w:val="auto"/>
              </w:rPr>
              <w:t>原則利用</w:t>
            </w:r>
            <w:r>
              <w:rPr>
                <w:rFonts w:hint="eastAsia"/>
                <w:color w:val="auto"/>
              </w:rPr>
              <w:t>者１</w:t>
            </w:r>
            <w:r>
              <w:rPr>
                <w:rFonts w:hint="default"/>
                <w:color w:val="auto"/>
              </w:rPr>
              <w:t>割負担</w:t>
            </w:r>
            <w:r>
              <w:rPr>
                <w:rFonts w:hint="default"/>
                <w:color w:val="auto"/>
              </w:rPr>
              <w:t>)</w:t>
            </w:r>
            <w:r>
              <w:rPr>
                <w:rFonts w:hint="default"/>
                <w:color w:val="auto"/>
              </w:rPr>
              <w:t>を支給しています。</w:t>
            </w:r>
          </w:p>
        </w:tc>
      </w:tr>
    </w:tbl>
    <w:p>
      <w:pPr>
        <w:pStyle w:val="62"/>
        <w:spacing w:before="0" w:beforeLines="0" w:beforeAutospacing="0" w:after="0" w:afterLines="0" w:afterAutospacing="0" w:line="20" w:lineRule="exact"/>
        <w:ind w:left="1172"/>
        <w:rPr>
          <w:rFonts w:hint="default"/>
        </w:rPr>
      </w:pPr>
      <w:r>
        <w:rPr>
          <w:rFonts w:hint="default"/>
        </w:rPr>
        <w:br w:type="page"/>
      </w:r>
    </w:p>
    <w:p>
      <w:pPr>
        <w:pStyle w:val="60"/>
        <w:spacing w:after="74" w:afterLines="0" w:afterAutospacing="0"/>
        <w:ind w:left="112"/>
        <w:rPr>
          <w:rFonts w:hint="default"/>
          <w:u w:val="single" w:color="auto"/>
        </w:rPr>
      </w:pPr>
      <w:r>
        <w:rPr>
          <w:rFonts w:hint="eastAsia"/>
        </w:rPr>
        <w:t>（８）</w:t>
      </w:r>
      <w:r>
        <w:rPr>
          <w:rFonts w:hint="eastAsia"/>
          <w:u w:val="single" w:color="auto"/>
        </w:rPr>
        <w:t>発達支援保育</w:t>
      </w:r>
    </w:p>
    <w:p>
      <w:pPr>
        <w:pStyle w:val="61"/>
        <w:ind w:left="448" w:firstLine="210" w:firstLineChars="100"/>
        <w:rPr>
          <w:rFonts w:hint="default"/>
          <w:spacing w:val="-2"/>
        </w:rPr>
      </w:pPr>
      <w:r>
        <w:rPr>
          <w:rFonts w:hint="default"/>
          <w:spacing w:val="-2"/>
        </w:rPr>
        <w:t>本町では、障がいのある子や発育・発達が気になる未就学の子について、早期療育の観点から、集団生活の訓練、発達に関する指導等を行うために「親子通園事業」を実施しています。利用している子は</w:t>
      </w:r>
      <w:r>
        <w:rPr>
          <w:rFonts w:hint="eastAsia"/>
          <w:spacing w:val="-2"/>
        </w:rPr>
        <w:t>令和２年・令和４年の</w:t>
      </w:r>
      <w:r>
        <w:rPr>
          <w:rFonts w:hint="eastAsia"/>
          <w:spacing w:val="-2"/>
        </w:rPr>
        <w:t>11</w:t>
      </w:r>
      <w:r>
        <w:rPr>
          <w:rFonts w:hint="eastAsia"/>
          <w:spacing w:val="-2"/>
        </w:rPr>
        <w:t>人が最も多くなっています。</w:t>
      </w:r>
    </w:p>
    <w:p>
      <w:pPr>
        <w:pStyle w:val="61"/>
        <w:ind w:left="448" w:firstLine="214" w:firstLineChars="100"/>
        <w:rPr>
          <w:rFonts w:hint="default"/>
        </w:rPr>
      </w:pPr>
      <w:r>
        <w:rPr>
          <w:rFonts w:hint="default"/>
        </w:rPr>
        <w:t>また、</w:t>
      </w:r>
      <w:r>
        <w:rPr>
          <w:rFonts w:hint="eastAsia"/>
        </w:rPr>
        <w:t>町立保育所</w:t>
      </w:r>
      <w:r>
        <w:rPr>
          <w:rFonts w:hint="eastAsia"/>
        </w:rPr>
        <w:t>(1</w:t>
      </w:r>
      <w:r>
        <w:rPr>
          <w:rFonts w:hint="eastAsia"/>
        </w:rPr>
        <w:t>施設</w:t>
      </w:r>
      <w:r>
        <w:rPr>
          <w:rFonts w:hint="eastAsia"/>
        </w:rPr>
        <w:t>)</w:t>
      </w:r>
      <w:r>
        <w:rPr>
          <w:rFonts w:hint="eastAsia"/>
        </w:rPr>
        <w:t>と認可保育園</w:t>
      </w:r>
      <w:r>
        <w:rPr>
          <w:rFonts w:hint="eastAsia"/>
        </w:rPr>
        <w:t>(14</w:t>
      </w:r>
      <w:r>
        <w:rPr>
          <w:rFonts w:hint="eastAsia"/>
        </w:rPr>
        <w:t>施設</w:t>
      </w:r>
      <w:r>
        <w:rPr>
          <w:rFonts w:hint="eastAsia"/>
        </w:rPr>
        <w:t>)</w:t>
      </w:r>
      <w:r>
        <w:rPr>
          <w:rFonts w:hint="eastAsia"/>
        </w:rPr>
        <w:t>で</w:t>
      </w:r>
      <w:r>
        <w:rPr>
          <w:rFonts w:hint="default"/>
        </w:rPr>
        <w:t>、発達支援児保育として障がいのある子を受け入れて</w:t>
      </w:r>
      <w:r>
        <w:rPr>
          <w:rFonts w:hint="default"/>
          <w:spacing w:val="-2"/>
        </w:rPr>
        <w:t>います</w:t>
      </w:r>
      <w:r>
        <w:rPr>
          <w:rFonts w:hint="default"/>
        </w:rPr>
        <w:t>。発達支援児保育の対象となる子は、</w:t>
      </w:r>
      <w:r>
        <w:rPr>
          <w:rFonts w:hint="eastAsia"/>
        </w:rPr>
        <w:t>令和２年までは</w:t>
      </w:r>
      <w:r>
        <w:rPr>
          <w:rFonts w:hint="eastAsia"/>
        </w:rPr>
        <w:t>20</w:t>
      </w:r>
      <w:r>
        <w:rPr>
          <w:rFonts w:hint="eastAsia"/>
        </w:rPr>
        <w:t>人程度ですが、令和４年では</w:t>
      </w:r>
      <w:r>
        <w:rPr>
          <w:rFonts w:hint="eastAsia"/>
        </w:rPr>
        <w:t>43</w:t>
      </w:r>
      <w:r>
        <w:rPr>
          <w:rFonts w:hint="eastAsia"/>
        </w:rPr>
        <w:t>人となっています</w:t>
      </w:r>
      <w:r>
        <w:rPr>
          <w:rFonts w:hint="default"/>
        </w:rPr>
        <w:t>。</w:t>
      </w:r>
    </w:p>
    <w:p>
      <w:pPr>
        <w:pStyle w:val="61"/>
        <w:spacing w:line="0" w:lineRule="atLeast"/>
        <w:ind w:left="448" w:firstLine="164" w:firstLineChars="100"/>
        <w:rPr>
          <w:rFonts w:hint="default"/>
          <w:sz w:val="16"/>
        </w:rPr>
      </w:pPr>
    </w:p>
    <w:tbl>
      <w:tblPr>
        <w:tblStyle w:val="11"/>
        <w:tblW w:w="8940" w:type="dxa"/>
        <w:tblInd w:w="567" w:type="dxa"/>
        <w:tblLayout w:type="fixed"/>
        <w:tblCellMar>
          <w:top w:w="28" w:type="dxa"/>
          <w:bottom w:w="28" w:type="dxa"/>
        </w:tblCellMar>
        <w:tblLook w:firstRow="0" w:lastRow="0" w:firstColumn="0" w:lastColumn="0" w:noHBand="0" w:noVBand="0" w:val="0000"/>
      </w:tblPr>
      <w:tblGrid>
        <w:gridCol w:w="2694"/>
        <w:gridCol w:w="1249"/>
        <w:gridCol w:w="1249"/>
        <w:gridCol w:w="1249"/>
        <w:gridCol w:w="222"/>
        <w:gridCol w:w="1027"/>
        <w:gridCol w:w="1250"/>
      </w:tblGrid>
      <w:tr>
        <w:trPr/>
        <w:tc>
          <w:tcPr>
            <w:tcW w:w="2694" w:type="dxa"/>
            <w:vAlign w:val="bottom"/>
          </w:tcPr>
          <w:p>
            <w:pPr>
              <w:pStyle w:val="46"/>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sz w:val="21"/>
              </w:rPr>
              <w:t>【発達支援保育】</w:t>
            </w:r>
          </w:p>
        </w:tc>
        <w:tc>
          <w:tcPr>
            <w:tcW w:w="3969" w:type="dxa"/>
            <w:gridSpan w:val="4"/>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277" w:type="dxa"/>
            <w:gridSpan w:val="2"/>
            <w:tcMar>
              <w:top w:w="0" w:type="dxa"/>
              <w:bottom w:w="0" w:type="dxa"/>
            </w:tcMar>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2694" w:type="dxa"/>
            <w:tcBorders>
              <w:top w:val="single" w:color="000000" w:sz="4" w:space="0"/>
              <w:left w:val="single" w:color="000000"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施設等名称</w:t>
            </w:r>
          </w:p>
        </w:tc>
        <w:tc>
          <w:tcPr>
            <w:tcW w:w="1249" w:type="dxa"/>
            <w:tcBorders>
              <w:top w:val="single" w:color="000000" w:sz="4"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w:t>
            </w:r>
          </w:p>
        </w:tc>
        <w:tc>
          <w:tcPr>
            <w:tcW w:w="1249" w:type="dxa"/>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令和元年</w:t>
            </w:r>
          </w:p>
        </w:tc>
        <w:tc>
          <w:tcPr>
            <w:tcW w:w="1249" w:type="dxa"/>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令和２年</w:t>
            </w:r>
          </w:p>
        </w:tc>
        <w:tc>
          <w:tcPr>
            <w:tcW w:w="1249" w:type="dxa"/>
            <w:gridSpan w:val="2"/>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令和３年</w:t>
            </w:r>
          </w:p>
        </w:tc>
        <w:tc>
          <w:tcPr>
            <w:tcW w:w="1250" w:type="dxa"/>
            <w:tcBorders>
              <w:top w:val="single" w:color="000000" w:sz="4" w:space="0"/>
              <w:left w:val="single" w:color="000000" w:sz="4" w:space="0"/>
              <w:bottom w:val="single" w:color="auto" w:sz="4" w:space="0"/>
              <w:right w:val="single" w:color="000000" w:sz="4" w:space="0"/>
              <w:tl2br w:val="none" w:color="auto" w:sz="0" w:space="0"/>
              <w:tr2bl w:val="none" w:color="auto" w:sz="0" w:space="0"/>
            </w:tcBorders>
            <w:shd w:val="clear" w:color="auto" w:themeFill="background1" w:themeFillTint="FF" w:themeFillShade="D9"/>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令和４年</w:t>
            </w:r>
          </w:p>
        </w:tc>
      </w:tr>
      <w:tr>
        <w:trPr/>
        <w:tc>
          <w:tcPr>
            <w:tcW w:w="26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親子通園事業（ゆうな園）</w:t>
            </w:r>
          </w:p>
        </w:tc>
        <w:tc>
          <w:tcPr>
            <w:tcW w:w="1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24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r>
      <w:tr>
        <w:trPr/>
        <w:tc>
          <w:tcPr>
            <w:tcW w:w="26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39"/>
              <w:snapToGrid w:val="0"/>
              <w:spacing w:before="0" w:beforeLines="0" w:beforeAutospacing="0" w:after="0" w:afterLines="0" w:afterAutospacing="0" w:line="240" w:lineRule="auto"/>
              <w:jc w:val="lef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保育所（園）</w:t>
            </w:r>
          </w:p>
        </w:tc>
        <w:tc>
          <w:tcPr>
            <w:tcW w:w="1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24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w:t>
            </w:r>
          </w:p>
        </w:tc>
        <w:tc>
          <w:tcPr>
            <w:tcW w:w="1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w:t>
            </w:r>
          </w:p>
        </w:tc>
      </w:tr>
    </w:tbl>
    <w:p>
      <w:pPr>
        <w:pStyle w:val="62"/>
        <w:spacing w:before="37" w:beforeLines="0" w:beforeAutospacing="0" w:after="0" w:afterLines="0" w:afterAutospacing="0"/>
        <w:ind w:left="1172"/>
        <w:rPr>
          <w:rFonts w:hint="default"/>
        </w:rPr>
      </w:pPr>
      <w:r>
        <w:rPr>
          <w:rFonts w:hint="eastAsia"/>
        </w:rPr>
        <w:t>資料：通園事業は保健福祉課、保育所</w:t>
      </w:r>
      <w:r>
        <w:rPr>
          <w:rFonts w:hint="eastAsia"/>
        </w:rPr>
        <w:t>(</w:t>
      </w:r>
      <w:r>
        <w:rPr>
          <w:rFonts w:hint="eastAsia"/>
        </w:rPr>
        <w:t>園</w:t>
      </w:r>
      <w:r>
        <w:rPr>
          <w:rFonts w:hint="eastAsia"/>
        </w:rPr>
        <w:t>)</w:t>
      </w:r>
      <w:r>
        <w:rPr>
          <w:rFonts w:hint="eastAsia"/>
        </w:rPr>
        <w:t>はこども課（各年度４月１日現在）</w:t>
      </w: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0"/>
        <w:spacing w:after="74" w:afterLines="0" w:afterAutospacing="0"/>
        <w:ind w:left="112"/>
        <w:rPr>
          <w:rFonts w:hint="default"/>
          <w:u w:val="single" w:color="auto"/>
        </w:rPr>
      </w:pPr>
      <w:r>
        <w:rPr>
          <w:rFonts w:hint="eastAsia"/>
        </w:rPr>
        <w:t>（９）</w:t>
      </w:r>
      <w:r>
        <w:rPr>
          <w:rFonts w:hint="eastAsia"/>
          <w:u w:val="single" w:color="auto"/>
        </w:rPr>
        <w:t>特別支援教育</w:t>
      </w:r>
    </w:p>
    <w:p>
      <w:pPr>
        <w:pStyle w:val="82"/>
        <w:ind w:left="784" w:hanging="336"/>
        <w:rPr>
          <w:rFonts w:hint="default"/>
        </w:rPr>
      </w:pPr>
      <w:r>
        <w:rPr>
          <w:rFonts w:hint="default"/>
        </w:rPr>
        <w:t>①</w:t>
      </w:r>
      <w:r>
        <w:rPr>
          <w:rFonts w:hint="default"/>
        </w:rPr>
        <w:t>幼稚園</w:t>
      </w:r>
    </w:p>
    <w:p>
      <w:pPr>
        <w:pStyle w:val="61"/>
        <w:ind w:left="672" w:leftChars="300" w:firstLine="214" w:firstLineChars="100"/>
        <w:rPr>
          <w:rFonts w:hint="default"/>
        </w:rPr>
      </w:pPr>
      <w:r>
        <w:rPr>
          <w:rFonts w:hint="default"/>
        </w:rPr>
        <w:t>特別な</w:t>
      </w:r>
      <w:r>
        <w:rPr>
          <w:rFonts w:hint="eastAsia"/>
        </w:rPr>
        <w:t>配慮</w:t>
      </w:r>
      <w:r>
        <w:rPr>
          <w:rFonts w:hint="default"/>
        </w:rPr>
        <w:t>を必要とする幼稚園児は、</w:t>
      </w:r>
      <w:r>
        <w:rPr>
          <w:rFonts w:hint="eastAsia"/>
        </w:rPr>
        <w:t>令和３年では</w:t>
      </w:r>
      <w:r>
        <w:rPr>
          <w:rFonts w:hint="eastAsia"/>
        </w:rPr>
        <w:t>29</w:t>
      </w:r>
      <w:r>
        <w:rPr>
          <w:rFonts w:hint="eastAsia"/>
        </w:rPr>
        <w:t>人と平成</w:t>
      </w:r>
      <w:r>
        <w:rPr>
          <w:rFonts w:hint="eastAsia"/>
        </w:rPr>
        <w:t>30</w:t>
      </w:r>
      <w:r>
        <w:rPr>
          <w:rFonts w:hint="eastAsia"/>
        </w:rPr>
        <w:t>年以降では最も多く、令和４年</w:t>
      </w:r>
      <w:r>
        <w:rPr>
          <w:rFonts w:hint="default"/>
        </w:rPr>
        <w:t>では</w:t>
      </w:r>
      <w:r>
        <w:rPr>
          <w:rFonts w:hint="eastAsia"/>
        </w:rPr>
        <w:t>24</w:t>
      </w:r>
      <w:r>
        <w:rPr>
          <w:rFonts w:hint="default"/>
        </w:rPr>
        <w:t>人とな</w:t>
      </w:r>
      <w:r>
        <w:rPr>
          <w:rFonts w:hint="eastAsia"/>
        </w:rPr>
        <w:t>ってい</w:t>
      </w:r>
      <w:r>
        <w:rPr>
          <w:rFonts w:hint="default"/>
        </w:rPr>
        <w:t>ます。</w:t>
      </w:r>
    </w:p>
    <w:p>
      <w:pPr>
        <w:pStyle w:val="61"/>
        <w:spacing w:line="0" w:lineRule="atLeast"/>
        <w:ind w:left="448" w:firstLine="164" w:firstLineChars="100"/>
        <w:rPr>
          <w:rFonts w:hint="default"/>
          <w:sz w:val="16"/>
        </w:rPr>
      </w:pPr>
    </w:p>
    <w:tbl>
      <w:tblPr>
        <w:tblStyle w:val="11"/>
        <w:tblW w:w="8940" w:type="dxa"/>
        <w:tblInd w:w="567" w:type="dxa"/>
        <w:tblLayout w:type="fixed"/>
        <w:tblCellMar>
          <w:top w:w="28" w:type="dxa"/>
          <w:bottom w:w="28" w:type="dxa"/>
        </w:tblCellMar>
        <w:tblLook w:firstRow="0" w:lastRow="0" w:firstColumn="0" w:lastColumn="0" w:noHBand="0" w:noVBand="0" w:val="0000"/>
      </w:tblPr>
      <w:tblGrid>
        <w:gridCol w:w="2268"/>
        <w:gridCol w:w="1334"/>
        <w:gridCol w:w="1334"/>
        <w:gridCol w:w="26"/>
        <w:gridCol w:w="1275"/>
        <w:gridCol w:w="34"/>
        <w:gridCol w:w="1334"/>
        <w:gridCol w:w="1335"/>
      </w:tblGrid>
      <w:tr>
        <w:trPr/>
        <w:tc>
          <w:tcPr>
            <w:tcW w:w="4962" w:type="dxa"/>
            <w:gridSpan w:val="4"/>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bottom"/>
          </w:tcPr>
          <w:p>
            <w:pPr>
              <w:pStyle w:val="46"/>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sz w:val="21"/>
              </w:rPr>
              <w:t>【特別支援教育対象園児</w:t>
            </w:r>
            <w:r>
              <w:rPr>
                <w:rFonts w:hint="default" w:ascii="ＭＳ ゴシック" w:hAnsi="ＭＳ ゴシック" w:eastAsia="ＭＳ ゴシック"/>
                <w:sz w:val="21"/>
              </w:rPr>
              <w:t>(</w:t>
            </w:r>
            <w:r>
              <w:rPr>
                <w:rFonts w:hint="default" w:ascii="ＭＳ ゴシック" w:hAnsi="ＭＳ ゴシック" w:eastAsia="ＭＳ ゴシック"/>
                <w:sz w:val="21"/>
              </w:rPr>
              <w:t>幼稚園</w:t>
            </w:r>
            <w:r>
              <w:rPr>
                <w:rFonts w:hint="default" w:ascii="ＭＳ ゴシック" w:hAnsi="ＭＳ ゴシック" w:eastAsia="ＭＳ ゴシック"/>
                <w:sz w:val="21"/>
              </w:rPr>
              <w:t>)</w:t>
            </w:r>
            <w:r>
              <w:rPr>
                <w:rFonts w:hint="default" w:ascii="ＭＳ ゴシック" w:hAnsi="ＭＳ ゴシック" w:eastAsia="ＭＳ ゴシック"/>
                <w:sz w:val="21"/>
              </w:rPr>
              <w:t>】</w:t>
            </w:r>
          </w:p>
        </w:tc>
        <w:tc>
          <w:tcPr>
            <w:tcW w:w="127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703" w:type="dxa"/>
            <w:gridSpan w:val="3"/>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w:t>
            </w: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令和元年</w:t>
            </w:r>
          </w:p>
        </w:tc>
        <w:tc>
          <w:tcPr>
            <w:tcW w:w="1335"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令和２年</w:t>
            </w: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令和３年</w:t>
            </w:r>
          </w:p>
        </w:tc>
        <w:tc>
          <w:tcPr>
            <w:tcW w:w="13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令和４年</w:t>
            </w:r>
          </w:p>
        </w:tc>
      </w:tr>
      <w:tr>
        <w:trPr/>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幼稚園</w:t>
            </w: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26</w:t>
            </w: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335"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w:t>
            </w: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3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w:t>
            </w:r>
          </w:p>
        </w:tc>
      </w:tr>
    </w:tbl>
    <w:p>
      <w:pPr>
        <w:pStyle w:val="62"/>
        <w:spacing w:before="37" w:beforeLines="0" w:beforeAutospacing="0" w:after="0" w:afterLines="0" w:afterAutospacing="0"/>
        <w:ind w:left="1172"/>
        <w:rPr>
          <w:rFonts w:hint="default"/>
        </w:rPr>
      </w:pPr>
      <w:r>
        <w:rPr>
          <w:rFonts w:hint="eastAsia"/>
        </w:rPr>
        <w:t>資料：町教育委員会（各年５月１日現在）</w:t>
      </w:r>
    </w:p>
    <w:p>
      <w:pPr>
        <w:pStyle w:val="0"/>
        <w:widowControl w:val="1"/>
        <w:jc w:val="left"/>
        <w:rPr>
          <w:rFonts w:hint="default" w:ascii="ＭＳ ゴシック" w:hAnsi="ＭＳ ゴシック" w:eastAsia="ＭＳ ゴシック"/>
          <w:sz w:val="21"/>
        </w:rPr>
      </w:pPr>
      <w:r>
        <w:rPr>
          <w:rFonts w:hint="default"/>
        </w:rPr>
        <w:br w:type="page"/>
      </w:r>
    </w:p>
    <w:p>
      <w:pPr>
        <w:pStyle w:val="82"/>
        <w:ind w:left="784" w:hanging="336"/>
        <w:rPr>
          <w:rFonts w:hint="default"/>
        </w:rPr>
      </w:pPr>
      <w:r>
        <w:rPr>
          <w:rFonts w:hint="eastAsia"/>
        </w:rPr>
        <w:t>②</w:t>
      </w:r>
      <w:r>
        <w:rPr>
          <w:rFonts w:hint="default"/>
        </w:rPr>
        <w:t>特別支援学級</w:t>
      </w:r>
    </w:p>
    <w:p>
      <w:pPr>
        <w:pStyle w:val="61"/>
        <w:ind w:left="672" w:leftChars="300" w:firstLine="214" w:firstLineChars="100"/>
        <w:rPr>
          <w:rFonts w:hint="default"/>
        </w:rPr>
      </w:pPr>
      <w:r>
        <w:rPr>
          <w:rFonts w:hint="eastAsia"/>
        </w:rPr>
        <w:t>小中学校では、通常の学級における教育では十分な教育効果を上げることが困難な特別な配慮を必要とする子について、一人ひとりの障がいの状況や特性に応じた指導・支援を行うために、特別支援学級を設置しています。在籍する児童生徒数は年々増え、小中学校合わせた人数は平成</w:t>
      </w:r>
      <w:r>
        <w:rPr>
          <w:rFonts w:hint="eastAsia"/>
        </w:rPr>
        <w:t>30</w:t>
      </w:r>
      <w:r>
        <w:rPr>
          <w:rFonts w:hint="eastAsia"/>
        </w:rPr>
        <w:t>年の</w:t>
      </w:r>
      <w:r>
        <w:rPr>
          <w:rFonts w:hint="eastAsia"/>
        </w:rPr>
        <w:t>137</w:t>
      </w:r>
      <w:r>
        <w:rPr>
          <w:rFonts w:hint="eastAsia"/>
        </w:rPr>
        <w:t>人から令和４年では</w:t>
      </w:r>
      <w:r>
        <w:rPr>
          <w:rFonts w:hint="eastAsia"/>
        </w:rPr>
        <w:t>226</w:t>
      </w:r>
      <w:r>
        <w:rPr>
          <w:rFonts w:hint="eastAsia"/>
        </w:rPr>
        <w:t>人となっています。</w:t>
      </w:r>
    </w:p>
    <w:p>
      <w:pPr>
        <w:pStyle w:val="61"/>
        <w:ind w:left="672" w:leftChars="300" w:firstLine="214" w:firstLineChars="100"/>
        <w:rPr>
          <w:rFonts w:hint="default"/>
        </w:rPr>
      </w:pPr>
      <w:r>
        <w:rPr>
          <w:rFonts w:hint="eastAsia"/>
        </w:rPr>
        <w:t>また、学級の中では「</w:t>
      </w:r>
      <w:r>
        <w:rPr>
          <w:rFonts w:hint="default"/>
        </w:rPr>
        <w:t>情緒</w:t>
      </w:r>
      <w:r>
        <w:rPr>
          <w:rFonts w:hint="eastAsia"/>
        </w:rPr>
        <w:t>」</w:t>
      </w:r>
      <w:r>
        <w:rPr>
          <w:rFonts w:hint="default"/>
        </w:rPr>
        <w:t>の学級</w:t>
      </w:r>
      <w:r>
        <w:rPr>
          <w:rFonts w:hint="eastAsia"/>
        </w:rPr>
        <w:t>の人数が最も多く、次に「知的」が多くなっています。</w:t>
      </w:r>
    </w:p>
    <w:p>
      <w:pPr>
        <w:pStyle w:val="61"/>
        <w:spacing w:line="0" w:lineRule="atLeast"/>
        <w:ind w:left="448" w:firstLine="164" w:firstLineChars="100"/>
        <w:rPr>
          <w:rFonts w:hint="default"/>
          <w:sz w:val="16"/>
        </w:rPr>
      </w:pPr>
    </w:p>
    <w:tbl>
      <w:tblPr>
        <w:tblStyle w:val="11"/>
        <w:tblW w:w="9069" w:type="dxa"/>
        <w:tblInd w:w="5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989"/>
        <w:gridCol w:w="447"/>
        <w:gridCol w:w="448"/>
        <w:gridCol w:w="449"/>
        <w:gridCol w:w="449"/>
        <w:gridCol w:w="449"/>
        <w:gridCol w:w="449"/>
        <w:gridCol w:w="448"/>
        <w:gridCol w:w="449"/>
        <w:gridCol w:w="449"/>
        <w:gridCol w:w="449"/>
        <w:gridCol w:w="449"/>
        <w:gridCol w:w="449"/>
        <w:gridCol w:w="448"/>
        <w:gridCol w:w="449"/>
        <w:gridCol w:w="449"/>
        <w:gridCol w:w="449"/>
        <w:gridCol w:w="449"/>
        <w:gridCol w:w="452"/>
      </w:tblGrid>
      <w:tr>
        <w:trPr>
          <w:trHeight w:val="270" w:hRule="atLeast"/>
        </w:trPr>
        <w:tc>
          <w:tcPr>
            <w:tcW w:w="6373" w:type="dxa"/>
            <w:gridSpan w:val="13"/>
            <w:tcBorders>
              <w:top w:val="nil"/>
              <w:left w:val="nil"/>
              <w:bottom w:val="none" w:color="auto" w:sz="0" w:space="0"/>
              <w:right w:val="nil"/>
              <w:tl2br w:val="none" w:color="auto" w:sz="0" w:space="0"/>
              <w:tr2bl w:val="none" w:color="auto" w:sz="0" w:space="0"/>
            </w:tcBorders>
            <w:shd w:val="clear" w:color="auto" w:fill="auto"/>
            <w:vAlign w:val="bottom"/>
          </w:tcPr>
          <w:p>
            <w:pPr>
              <w:pStyle w:val="46"/>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rPr>
              <w:t>【特別支援学級】</w:t>
            </w:r>
          </w:p>
        </w:tc>
        <w:tc>
          <w:tcPr>
            <w:tcW w:w="2696" w:type="dxa"/>
            <w:gridSpan w:val="6"/>
            <w:tcBorders>
              <w:top w:val="nil"/>
              <w:left w:val="nil"/>
              <w:bottom w:val="none" w:color="auto" w:sz="0" w:space="0"/>
              <w:right w:val="nil"/>
              <w:tl2br w:val="none" w:color="auto" w:sz="0" w:space="0"/>
              <w:tr2bl w:val="none" w:color="auto" w:sz="0" w:space="0"/>
            </w:tcBorders>
            <w:shd w:val="clear" w:color="auto" w:fill="auto"/>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rHeight w:val="270" w:hRule="atLeast"/>
        </w:trPr>
        <w:tc>
          <w:tcPr>
            <w:tcW w:w="989" w:type="dxa"/>
            <w:vMerge w:val="restart"/>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学校名</w:t>
            </w:r>
          </w:p>
        </w:tc>
        <w:tc>
          <w:tcPr>
            <w:tcW w:w="2691" w:type="dxa"/>
            <w:gridSpan w:val="6"/>
            <w:tcBorders>
              <w:top w:val="none" w:color="auto" w:sz="0" w:space="0"/>
              <w:left w:val="none" w:color="auto" w:sz="0" w:space="0"/>
              <w:bottom w:val="none" w:color="auto" w:sz="0"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w:t>
            </w:r>
          </w:p>
        </w:tc>
        <w:tc>
          <w:tcPr>
            <w:tcW w:w="2693" w:type="dxa"/>
            <w:gridSpan w:val="6"/>
            <w:tcBorders>
              <w:top w:val="none" w:color="auto" w:sz="0" w:space="0"/>
              <w:left w:val="single" w:color="auto" w:sz="12" w:space="0"/>
              <w:bottom w:val="none" w:color="auto" w:sz="0"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令和元年</w:t>
            </w:r>
          </w:p>
        </w:tc>
        <w:tc>
          <w:tcPr>
            <w:tcW w:w="2696" w:type="dxa"/>
            <w:gridSpan w:val="6"/>
            <w:tcBorders>
              <w:top w:val="none" w:color="auto" w:sz="0" w:space="0"/>
              <w:left w:val="single" w:color="auto" w:sz="12" w:space="0"/>
              <w:bottom w:val="none" w:color="auto" w:sz="0" w:space="0"/>
              <w:right w:val="single" w:color="auto" w:sz="4"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令和２年</w:t>
            </w:r>
          </w:p>
        </w:tc>
      </w:tr>
      <w:tr>
        <w:trPr>
          <w:cantSplit/>
          <w:trHeight w:val="473" w:hRule="atLeast"/>
        </w:trPr>
        <w:tc>
          <w:tcPr>
            <w:tcW w:w="989"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p>
        </w:tc>
        <w:tc>
          <w:tcPr>
            <w:tcW w:w="44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知的</w:t>
            </w:r>
          </w:p>
        </w:tc>
        <w:tc>
          <w:tcPr>
            <w:tcW w:w="44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言語</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情緒</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肢体</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病弱</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難聴</w:t>
            </w:r>
          </w:p>
        </w:tc>
        <w:tc>
          <w:tcPr>
            <w:tcW w:w="448" w:type="dxa"/>
            <w:tcBorders>
              <w:top w:val="none" w:color="auto" w:sz="0" w:space="0"/>
              <w:left w:val="single" w:color="auto" w:sz="12"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知的</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言語</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情緒</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肢体</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病弱</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難聴</w:t>
            </w:r>
          </w:p>
        </w:tc>
        <w:tc>
          <w:tcPr>
            <w:tcW w:w="448" w:type="dxa"/>
            <w:tcBorders>
              <w:top w:val="none" w:color="auto" w:sz="0" w:space="0"/>
              <w:left w:val="single" w:color="auto" w:sz="12"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知的</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言語</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情緒</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肢体</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病弱</w:t>
            </w:r>
          </w:p>
        </w:tc>
        <w:tc>
          <w:tcPr>
            <w:tcW w:w="452" w:type="dxa"/>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難聴</w:t>
            </w:r>
          </w:p>
        </w:tc>
      </w:tr>
      <w:tr>
        <w:trPr>
          <w:trHeight w:val="285" w:hRule="atLeast"/>
        </w:trPr>
        <w:tc>
          <w:tcPr>
            <w:tcW w:w="98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小学校</w:t>
            </w:r>
          </w:p>
        </w:tc>
        <w:tc>
          <w:tcPr>
            <w:tcW w:w="44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34</w:t>
            </w:r>
          </w:p>
        </w:tc>
        <w:tc>
          <w:tcPr>
            <w:tcW w:w="44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53</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0</w:t>
            </w:r>
          </w:p>
        </w:tc>
        <w:tc>
          <w:tcPr>
            <w:tcW w:w="448" w:type="dxa"/>
            <w:tcBorders>
              <w:top w:val="none" w:color="auto" w:sz="0" w:space="0"/>
              <w:left w:val="single" w:color="auto" w:sz="12"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38</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61</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8" w:type="dxa"/>
            <w:tcBorders>
              <w:top w:val="none" w:color="auto" w:sz="0" w:space="0"/>
              <w:left w:val="single" w:color="auto" w:sz="12"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39</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66</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452" w:type="dxa"/>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rHeight w:val="285" w:hRule="atLeast"/>
        </w:trPr>
        <w:tc>
          <w:tcPr>
            <w:tcW w:w="98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中学校</w:t>
            </w:r>
          </w:p>
        </w:tc>
        <w:tc>
          <w:tcPr>
            <w:tcW w:w="44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w:t>
            </w:r>
          </w:p>
        </w:tc>
        <w:tc>
          <w:tcPr>
            <w:tcW w:w="448"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8" w:type="dxa"/>
            <w:tcBorders>
              <w:top w:val="none" w:color="auto" w:sz="0" w:space="0"/>
              <w:left w:val="single" w:color="auto" w:sz="12"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8" w:type="dxa"/>
            <w:tcBorders>
              <w:top w:val="none" w:color="auto" w:sz="0" w:space="0"/>
              <w:left w:val="single" w:color="auto" w:sz="12"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52" w:type="dxa"/>
            <w:tcBorders>
              <w:top w:val="none" w:color="auto" w:sz="0" w:space="0"/>
              <w:left w:val="none" w:color="auto" w:sz="0" w:space="0"/>
              <w:bottom w:val="double" w:color="auto" w:sz="4" w:space="0"/>
              <w:right w:val="single" w:color="auto" w:sz="4"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rHeight w:val="285" w:hRule="atLeast"/>
        </w:trPr>
        <w:tc>
          <w:tcPr>
            <w:tcW w:w="98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447"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56</w:t>
            </w:r>
          </w:p>
        </w:tc>
        <w:tc>
          <w:tcPr>
            <w:tcW w:w="448"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70</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double" w:color="auto" w:sz="4"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0</w:t>
            </w:r>
          </w:p>
        </w:tc>
        <w:tc>
          <w:tcPr>
            <w:tcW w:w="448" w:type="dxa"/>
            <w:tcBorders>
              <w:top w:val="double" w:color="auto" w:sz="4" w:space="0"/>
              <w:left w:val="single" w:color="auto" w:sz="12"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62</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91</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double" w:color="auto" w:sz="4"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8" w:type="dxa"/>
            <w:tcBorders>
              <w:top w:val="double" w:color="auto" w:sz="4" w:space="0"/>
              <w:left w:val="single" w:color="auto" w:sz="12"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64</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103</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452" w:type="dxa"/>
            <w:tcBorders>
              <w:top w:val="double" w:color="auto" w:sz="4" w:space="0"/>
              <w:left w:val="none" w:color="auto" w:sz="0" w:space="0"/>
              <w:bottom w:val="double" w:color="auto" w:sz="4" w:space="0"/>
              <w:right w:val="single" w:color="auto" w:sz="4"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rHeight w:val="285" w:hRule="atLeast"/>
        </w:trPr>
        <w:tc>
          <w:tcPr>
            <w:tcW w:w="989"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合計</w:t>
            </w:r>
          </w:p>
        </w:tc>
        <w:tc>
          <w:tcPr>
            <w:tcW w:w="2691" w:type="dxa"/>
            <w:gridSpan w:val="6"/>
            <w:tcBorders>
              <w:top w:val="double" w:color="auto" w:sz="4" w:space="0"/>
              <w:left w:val="none" w:color="auto" w:sz="0" w:space="0"/>
              <w:bottom w:val="single" w:color="auto" w:sz="12"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137</w:t>
            </w:r>
          </w:p>
        </w:tc>
        <w:tc>
          <w:tcPr>
            <w:tcW w:w="2693" w:type="dxa"/>
            <w:gridSpan w:val="6"/>
            <w:tcBorders>
              <w:top w:val="double" w:color="auto" w:sz="4" w:space="0"/>
              <w:left w:val="single" w:color="auto" w:sz="12" w:space="0"/>
              <w:bottom w:val="single" w:color="auto" w:sz="12"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167</w:t>
            </w:r>
          </w:p>
        </w:tc>
        <w:tc>
          <w:tcPr>
            <w:tcW w:w="2696" w:type="dxa"/>
            <w:gridSpan w:val="6"/>
            <w:tcBorders>
              <w:top w:val="double" w:color="auto" w:sz="4" w:space="0"/>
              <w:left w:val="single" w:color="auto" w:sz="12" w:space="0"/>
              <w:bottom w:val="single" w:color="auto" w:sz="12" w:space="0"/>
              <w:right w:val="single" w:color="auto" w:sz="4"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183</w:t>
            </w:r>
          </w:p>
        </w:tc>
      </w:tr>
      <w:tr>
        <w:trPr>
          <w:trHeight w:val="270" w:hRule="atLeast"/>
        </w:trPr>
        <w:tc>
          <w:tcPr>
            <w:tcW w:w="989"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学校名</w:t>
            </w:r>
          </w:p>
        </w:tc>
        <w:tc>
          <w:tcPr>
            <w:tcW w:w="2691" w:type="dxa"/>
            <w:gridSpan w:val="6"/>
            <w:tcBorders>
              <w:top w:val="single" w:color="auto" w:sz="12" w:space="0"/>
              <w:left w:val="none" w:color="auto" w:sz="0" w:space="0"/>
              <w:bottom w:val="none" w:color="auto" w:sz="0"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令和３年</w:t>
            </w:r>
          </w:p>
        </w:tc>
        <w:tc>
          <w:tcPr>
            <w:tcW w:w="2693" w:type="dxa"/>
            <w:gridSpan w:val="6"/>
            <w:tcBorders>
              <w:top w:val="single" w:color="auto" w:sz="12" w:space="0"/>
              <w:left w:val="single" w:color="auto" w:sz="12" w:space="0"/>
              <w:bottom w:val="none" w:color="auto" w:sz="0"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令和４年</w:t>
            </w:r>
          </w:p>
        </w:tc>
        <w:tc>
          <w:tcPr>
            <w:tcW w:w="2696" w:type="dxa"/>
            <w:gridSpan w:val="6"/>
            <w:tcBorders>
              <w:top w:val="single" w:color="auto" w:sz="12" w:space="0"/>
              <w:left w:val="single" w:color="auto" w:sz="12" w:space="0"/>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p>
        </w:tc>
      </w:tr>
      <w:tr>
        <w:trPr>
          <w:cantSplit/>
          <w:trHeight w:val="473" w:hRule="atLeast"/>
        </w:trPr>
        <w:tc>
          <w:tcPr>
            <w:tcW w:w="989"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p>
        </w:tc>
        <w:tc>
          <w:tcPr>
            <w:tcW w:w="44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知的</w:t>
            </w:r>
          </w:p>
        </w:tc>
        <w:tc>
          <w:tcPr>
            <w:tcW w:w="44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言語</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情緒</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肢体</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病弱</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難聴</w:t>
            </w:r>
          </w:p>
        </w:tc>
        <w:tc>
          <w:tcPr>
            <w:tcW w:w="448" w:type="dxa"/>
            <w:tcBorders>
              <w:top w:val="none" w:color="auto" w:sz="0" w:space="0"/>
              <w:left w:val="single" w:color="auto" w:sz="12"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知的</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言語</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情緒</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肢体</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病弱</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難聴</w:t>
            </w:r>
          </w:p>
        </w:tc>
        <w:tc>
          <w:tcPr>
            <w:tcW w:w="448" w:type="dxa"/>
            <w:tcBorders>
              <w:top w:val="nil"/>
              <w:left w:val="single" w:color="auto" w:sz="12" w:space="0"/>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0"/>
              <w:spacing w:line="0" w:lineRule="atLeast"/>
              <w:jc w:val="center"/>
              <w:rPr>
                <w:rFonts w:hint="default" w:ascii="ＭＳ ゴシック" w:hAnsi="ＭＳ ゴシック" w:eastAsia="ＭＳ ゴシック"/>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0"/>
              <w:spacing w:line="0" w:lineRule="atLeast"/>
              <w:jc w:val="center"/>
              <w:rPr>
                <w:rFonts w:hint="default" w:ascii="ＭＳ ゴシック" w:hAnsi="ＭＳ ゴシック" w:eastAsia="ＭＳ ゴシック"/>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0"/>
              <w:spacing w:line="0" w:lineRule="atLeast"/>
              <w:jc w:val="center"/>
              <w:rPr>
                <w:rFonts w:hint="default" w:ascii="ＭＳ ゴシック" w:hAnsi="ＭＳ ゴシック" w:eastAsia="ＭＳ ゴシック"/>
                <w:sz w:val="20"/>
              </w:rPr>
            </w:pPr>
          </w:p>
        </w:tc>
        <w:tc>
          <w:tcPr>
            <w:tcW w:w="449"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p>
        </w:tc>
        <w:tc>
          <w:tcPr>
            <w:tcW w:w="452"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p>
        </w:tc>
      </w:tr>
      <w:tr>
        <w:trPr>
          <w:trHeight w:val="285" w:hRule="atLeast"/>
        </w:trPr>
        <w:tc>
          <w:tcPr>
            <w:tcW w:w="98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小学校</w:t>
            </w:r>
          </w:p>
        </w:tc>
        <w:tc>
          <w:tcPr>
            <w:tcW w:w="44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41</w:t>
            </w:r>
          </w:p>
        </w:tc>
        <w:tc>
          <w:tcPr>
            <w:tcW w:w="44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88</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8" w:type="dxa"/>
            <w:tcBorders>
              <w:top w:val="none" w:color="auto" w:sz="0" w:space="0"/>
              <w:left w:val="single" w:color="auto" w:sz="12"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45</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102</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8" w:type="dxa"/>
            <w:tcBorders>
              <w:top w:val="nil"/>
              <w:left w:val="single" w:color="auto" w:sz="12" w:space="0"/>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52"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r>
      <w:tr>
        <w:trPr>
          <w:trHeight w:val="285" w:hRule="atLeast"/>
        </w:trPr>
        <w:tc>
          <w:tcPr>
            <w:tcW w:w="98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中学校</w:t>
            </w:r>
          </w:p>
        </w:tc>
        <w:tc>
          <w:tcPr>
            <w:tcW w:w="44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448"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8" w:type="dxa"/>
            <w:tcBorders>
              <w:top w:val="none" w:color="auto" w:sz="0" w:space="0"/>
              <w:left w:val="single" w:color="auto" w:sz="12"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8" w:type="dxa"/>
            <w:tcBorders>
              <w:top w:val="nil"/>
              <w:left w:val="single" w:color="auto" w:sz="12" w:space="0"/>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52"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r>
      <w:tr>
        <w:trPr>
          <w:trHeight w:val="285" w:hRule="atLeast"/>
        </w:trPr>
        <w:tc>
          <w:tcPr>
            <w:tcW w:w="98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447"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62</w:t>
            </w:r>
          </w:p>
        </w:tc>
        <w:tc>
          <w:tcPr>
            <w:tcW w:w="448"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128</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449" w:type="dxa"/>
            <w:tcBorders>
              <w:top w:val="double" w:color="auto" w:sz="4"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448" w:type="dxa"/>
            <w:tcBorders>
              <w:top w:val="double" w:color="auto" w:sz="4" w:space="0"/>
              <w:left w:val="single" w:color="auto" w:sz="12"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63</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142</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449" w:type="dxa"/>
            <w:tcBorders>
              <w:top w:val="double" w:color="auto" w:sz="4"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448" w:type="dxa"/>
            <w:tcBorders>
              <w:top w:val="nil"/>
              <w:left w:val="single" w:color="auto" w:sz="12" w:space="0"/>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52"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39"/>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r>
      <w:tr>
        <w:trPr>
          <w:trHeight w:val="285" w:hRule="atLeast"/>
        </w:trPr>
        <w:tc>
          <w:tcPr>
            <w:tcW w:w="989"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合計</w:t>
            </w:r>
          </w:p>
        </w:tc>
        <w:tc>
          <w:tcPr>
            <w:tcW w:w="2691" w:type="dxa"/>
            <w:gridSpan w:val="6"/>
            <w:tcBorders>
              <w:top w:val="double" w:color="auto" w:sz="4" w:space="0"/>
              <w:left w:val="none" w:color="auto" w:sz="0" w:space="0"/>
              <w:bottom w:val="none" w:color="auto" w:sz="0"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208</w:t>
            </w:r>
          </w:p>
        </w:tc>
        <w:tc>
          <w:tcPr>
            <w:tcW w:w="2693" w:type="dxa"/>
            <w:gridSpan w:val="6"/>
            <w:tcBorders>
              <w:top w:val="double" w:color="auto" w:sz="4" w:space="0"/>
              <w:left w:val="single" w:color="auto" w:sz="12" w:space="0"/>
              <w:bottom w:val="none" w:color="auto" w:sz="0"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226</w:t>
            </w:r>
          </w:p>
        </w:tc>
        <w:tc>
          <w:tcPr>
            <w:tcW w:w="2696" w:type="dxa"/>
            <w:gridSpan w:val="6"/>
            <w:tcBorders>
              <w:top w:val="nil"/>
              <w:left w:val="single" w:color="auto" w:sz="12" w:space="0"/>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0"/>
              <w:snapToGrid w:val="0"/>
              <w:spacing w:line="0" w:lineRule="atLeast"/>
              <w:jc w:val="center"/>
              <w:rPr>
                <w:rFonts w:hint="default" w:ascii="ＭＳ ゴシック" w:hAnsi="ＭＳ ゴシック" w:eastAsia="ＭＳ ゴシック"/>
                <w:sz w:val="20"/>
              </w:rPr>
            </w:pPr>
          </w:p>
        </w:tc>
      </w:tr>
    </w:tbl>
    <w:p>
      <w:pPr>
        <w:pStyle w:val="62"/>
        <w:spacing w:before="37" w:beforeLines="0" w:beforeAutospacing="0" w:after="0" w:afterLines="0" w:afterAutospacing="0"/>
        <w:ind w:left="1172"/>
        <w:rPr>
          <w:rFonts w:hint="default"/>
        </w:rPr>
      </w:pPr>
      <w:r>
        <w:rPr>
          <w:rFonts w:hint="eastAsia"/>
        </w:rPr>
        <w:t>資料：学校教育課（各年５月１日現在）</w:t>
      </w: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r>
        <w:rPr>
          <w:rFonts w:hint="default"/>
        </w:rPr>
        <w:br w:type="page"/>
      </w:r>
    </w:p>
    <w:p>
      <w:pPr>
        <w:pStyle w:val="60"/>
        <w:spacing w:after="74" w:afterLines="0" w:afterAutospacing="0"/>
        <w:ind w:left="112"/>
        <w:rPr>
          <w:rFonts w:hint="default"/>
          <w:u w:val="single" w:color="auto"/>
        </w:rPr>
      </w:pPr>
      <w:r>
        <w:rPr>
          <w:rFonts w:hint="eastAsia"/>
        </w:rPr>
        <w:t>（</w:t>
      </w:r>
      <w:r>
        <w:rPr>
          <w:rFonts w:hint="eastAsia"/>
        </w:rPr>
        <w:t>10</w:t>
      </w:r>
      <w:r>
        <w:rPr>
          <w:rFonts w:hint="eastAsia"/>
        </w:rPr>
        <w:t>）</w:t>
      </w:r>
      <w:r>
        <w:rPr>
          <w:rFonts w:hint="eastAsia"/>
          <w:u w:val="single" w:color="auto"/>
        </w:rPr>
        <w:t>障害福祉サービス等の利用状況</w:t>
      </w:r>
    </w:p>
    <w:p>
      <w:pPr>
        <w:pStyle w:val="61"/>
        <w:ind w:left="448" w:firstLine="214" w:firstLineChars="100"/>
        <w:rPr>
          <w:rFonts w:hint="default"/>
        </w:rPr>
      </w:pPr>
      <w:r>
        <w:rPr>
          <w:rFonts w:hint="eastAsia"/>
        </w:rPr>
        <w:t>平成</w:t>
      </w:r>
      <w:r>
        <w:rPr>
          <w:rFonts w:hint="eastAsia"/>
        </w:rPr>
        <w:t>30</w:t>
      </w:r>
      <w:r>
        <w:rPr>
          <w:rFonts w:hint="eastAsia"/>
        </w:rPr>
        <w:t>年度以降の障害福祉サービス等の利用実績</w:t>
      </w:r>
      <w:r>
        <w:rPr>
          <w:rFonts w:hint="eastAsia"/>
        </w:rPr>
        <w:t>(</w:t>
      </w:r>
      <w:r>
        <w:rPr>
          <w:rFonts w:hint="eastAsia"/>
        </w:rPr>
        <w:t>各年度実績平均</w:t>
      </w:r>
      <w:r>
        <w:rPr>
          <w:rFonts w:hint="eastAsia"/>
        </w:rPr>
        <w:t>)</w:t>
      </w:r>
      <w:r>
        <w:rPr>
          <w:rFonts w:hint="eastAsia"/>
        </w:rPr>
        <w:t>をみると、毎年度「就労継続支援</w:t>
      </w:r>
      <w:r>
        <w:rPr>
          <w:rFonts w:hint="eastAsia"/>
        </w:rPr>
        <w:t>(</w:t>
      </w:r>
      <w:r>
        <w:rPr>
          <w:rFonts w:hint="eastAsia"/>
        </w:rPr>
        <w:t>Ｂ型</w:t>
      </w:r>
      <w:r>
        <w:rPr>
          <w:rFonts w:hint="eastAsia"/>
        </w:rPr>
        <w:t>)</w:t>
      </w:r>
      <w:r>
        <w:rPr>
          <w:rFonts w:hint="eastAsia"/>
        </w:rPr>
        <w:t>」の</w:t>
      </w:r>
      <w:r>
        <w:rPr>
          <w:rFonts w:hint="eastAsia"/>
          <w:spacing w:val="-2"/>
        </w:rPr>
        <w:t>利用者</w:t>
      </w:r>
      <w:r>
        <w:rPr>
          <w:rFonts w:hint="eastAsia"/>
        </w:rPr>
        <w:t>が最も多く、かつ増加傾向にあり、平成</w:t>
      </w:r>
      <w:r>
        <w:rPr>
          <w:rFonts w:hint="eastAsia"/>
        </w:rPr>
        <w:t>30</w:t>
      </w:r>
      <w:r>
        <w:rPr>
          <w:rFonts w:hint="eastAsia"/>
        </w:rPr>
        <w:t>年度の</w:t>
      </w:r>
      <w:r>
        <w:rPr>
          <w:rFonts w:hint="eastAsia"/>
        </w:rPr>
        <w:t>141</w:t>
      </w:r>
      <w:r>
        <w:rPr>
          <w:rFonts w:hint="eastAsia"/>
        </w:rPr>
        <w:t>人から令和４年度では</w:t>
      </w:r>
      <w:r>
        <w:rPr>
          <w:rFonts w:hint="eastAsia"/>
        </w:rPr>
        <w:t>160</w:t>
      </w:r>
      <w:r>
        <w:rPr>
          <w:rFonts w:hint="eastAsia"/>
        </w:rPr>
        <w:t>人が利用しています。</w:t>
      </w:r>
    </w:p>
    <w:p>
      <w:pPr>
        <w:pStyle w:val="61"/>
        <w:ind w:left="448" w:firstLine="214" w:firstLineChars="100"/>
        <w:rPr>
          <w:rFonts w:hint="default"/>
        </w:rPr>
      </w:pPr>
      <w:r>
        <w:rPr>
          <w:rFonts w:hint="eastAsia"/>
        </w:rPr>
        <w:t>次に「生活介護」、「居宅介護」、「施設入所支援」、「計画相談支援」が多くなっていますが、横ばい傾向となっています。</w:t>
      </w:r>
    </w:p>
    <w:p>
      <w:pPr>
        <w:pStyle w:val="61"/>
        <w:spacing w:line="0" w:lineRule="atLeast"/>
        <w:ind w:left="448" w:firstLine="164" w:firstLineChars="100"/>
        <w:rPr>
          <w:rFonts w:hint="default"/>
          <w:sz w:val="16"/>
        </w:rPr>
      </w:pPr>
    </w:p>
    <w:tbl>
      <w:tblPr>
        <w:tblStyle w:val="11"/>
        <w:tblW w:w="9072" w:type="dxa"/>
        <w:tblInd w:w="567" w:type="dxa"/>
        <w:tblLayout w:type="fixed"/>
        <w:tblCellMar>
          <w:top w:w="28" w:type="dxa"/>
          <w:bottom w:w="28" w:type="dxa"/>
        </w:tblCellMar>
        <w:tblLook w:firstRow="0" w:lastRow="0" w:firstColumn="0" w:lastColumn="0" w:noHBand="0" w:noVBand="0" w:val="0000"/>
      </w:tblPr>
      <w:tblGrid>
        <w:gridCol w:w="3261"/>
        <w:gridCol w:w="1162"/>
        <w:gridCol w:w="50"/>
        <w:gridCol w:w="1112"/>
        <w:gridCol w:w="1141"/>
        <w:gridCol w:w="21"/>
        <w:gridCol w:w="1162"/>
        <w:gridCol w:w="1163"/>
      </w:tblGrid>
      <w:tr>
        <w:trPr/>
        <w:tc>
          <w:tcPr>
            <w:tcW w:w="4473" w:type="dxa"/>
            <w:gridSpan w:val="3"/>
            <w:vAlign w:val="bottom"/>
          </w:tcPr>
          <w:p>
            <w:pPr>
              <w:pStyle w:val="46"/>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rPr>
              <w:t>【障害福祉サービス実利用者数】</w:t>
            </w:r>
          </w:p>
        </w:tc>
        <w:tc>
          <w:tcPr>
            <w:tcW w:w="2253" w:type="dxa"/>
            <w:gridSpan w:val="2"/>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346" w:type="dxa"/>
            <w:gridSpan w:val="3"/>
            <w:tcMar>
              <w:top w:w="0" w:type="dxa"/>
              <w:bottom w:w="0" w:type="dxa"/>
            </w:tcMar>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3261"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1162" w:type="dxa"/>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年度</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令和元年度</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令和２年度</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令和３年度</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令和４年度</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①居宅介護</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54</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60</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80</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66</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68</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②重度訪問介護</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③行動援護</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④同行援護</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⑤重度障害者等包括支援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⑥生活介護</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89</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92</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97</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96</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spacing w:val="-4"/>
                <w:w w:val="100"/>
                <w:sz w:val="20"/>
              </w:rPr>
            </w:pPr>
            <w:r>
              <w:rPr>
                <w:rFonts w:hint="eastAsia" w:ascii="ＭＳ ゴシック" w:hAnsi="ＭＳ ゴシック" w:eastAsia="ＭＳ ゴシック"/>
                <w:spacing w:val="-4"/>
                <w:w w:val="100"/>
                <w:sz w:val="20"/>
              </w:rPr>
              <w:t>⑦自立訓練（機能訓練）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⑧自立訓練（生活訓練）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⑨就労選択支援</w:t>
            </w:r>
          </w:p>
        </w:tc>
        <w:tc>
          <w:tcPr>
            <w:tcW w:w="1162" w:type="dxa"/>
            <w:tcBorders>
              <w:top w:val="single" w:color="auto" w:sz="4" w:space="0"/>
              <w:left w:val="single" w:color="auto" w:sz="4" w:space="0"/>
              <w:bottom w:val="single" w:color="auto" w:sz="4" w:space="0"/>
              <w:right w:val="none" w:color="auto" w:sz="0" w:space="0"/>
              <w:tl2br w:val="none" w:color="auto" w:sz="0" w:space="0"/>
              <w:tr2bl w:val="single" w:color="auto" w:sz="4"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single" w:color="auto" w:sz="4"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⑩就労移行支援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⑪就労継続支援（Ａ型）</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⑫就労継続支援（Ｂ型）</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141</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148</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151</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149</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160</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⑬就労定着支援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⑭短期入所（福祉型）</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⑮短期入所（医療型）</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⑯療養介護</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⑰自立生活援助</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⑱共同生活援助（ＧＨ</w:t>
            </w:r>
            <w:r>
              <w:rPr>
                <w:rFonts w:hint="default" w:ascii="ＭＳ ゴシック" w:hAnsi="ＭＳ ゴシック" w:eastAsia="ＭＳ ゴシック"/>
                <w:w w:val="100"/>
                <w:sz w:val="20"/>
              </w:rPr>
              <w:t>）</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33</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36</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42</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⑲施設入所支援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58</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58</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58</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59</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r>
              <w:rPr>
                <w:rFonts w:hint="eastAsia" w:ascii="ＭＳ ゴシック" w:hAnsi="ＭＳ ゴシック" w:eastAsia="ＭＳ ゴシック"/>
                <w:w w:val="100"/>
                <w:sz w:val="20"/>
              </w:rPr>
              <w:t>1</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⑳計画相談支援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63</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76</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99</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92</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95</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㉑地域移行支援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㉒地域定着支援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bl>
    <w:p>
      <w:pPr>
        <w:pStyle w:val="62"/>
        <w:spacing w:before="37" w:beforeLines="0" w:beforeAutospacing="0" w:after="0" w:afterLines="0" w:afterAutospacing="0"/>
        <w:ind w:left="1172"/>
        <w:rPr>
          <w:rFonts w:hint="default"/>
        </w:rPr>
      </w:pPr>
      <w:r>
        <w:rPr>
          <w:rFonts w:hint="eastAsia"/>
        </w:rPr>
        <w:t>資料：保健福祉課（各年度実績平均）</w:t>
      </w: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r>
        <w:rPr>
          <w:rFonts w:hint="default"/>
        </w:rPr>
        <w:br w:type="page"/>
      </w:r>
    </w:p>
    <w:p>
      <w:pPr>
        <w:pStyle w:val="60"/>
        <w:spacing w:after="74" w:afterLines="0" w:afterAutospacing="0"/>
        <w:ind w:left="112"/>
        <w:rPr>
          <w:rFonts w:hint="default"/>
          <w:u w:val="single" w:color="auto"/>
        </w:rPr>
      </w:pPr>
      <w:r>
        <w:rPr>
          <w:rFonts w:hint="eastAsia"/>
        </w:rPr>
        <w:t>（</w:t>
      </w:r>
      <w:r>
        <w:rPr>
          <w:rFonts w:hint="eastAsia"/>
        </w:rPr>
        <w:t>11</w:t>
      </w:r>
      <w:r>
        <w:rPr>
          <w:rFonts w:hint="eastAsia"/>
        </w:rPr>
        <w:t>）</w:t>
      </w:r>
      <w:r>
        <w:rPr>
          <w:rFonts w:hint="eastAsia"/>
          <w:u w:val="single" w:color="auto"/>
        </w:rPr>
        <w:t>障害児通所支援等の利用状況</w:t>
      </w:r>
    </w:p>
    <w:p>
      <w:pPr>
        <w:pStyle w:val="61"/>
        <w:ind w:left="448" w:firstLine="214" w:firstLineChars="100"/>
        <w:rPr>
          <w:rFonts w:hint="default"/>
        </w:rPr>
      </w:pPr>
      <w:r>
        <w:rPr>
          <w:rFonts w:hint="eastAsia"/>
        </w:rPr>
        <w:t>平成</w:t>
      </w:r>
      <w:r>
        <w:rPr>
          <w:rFonts w:hint="eastAsia"/>
        </w:rPr>
        <w:t>30</w:t>
      </w:r>
      <w:r>
        <w:rPr>
          <w:rFonts w:hint="eastAsia"/>
        </w:rPr>
        <w:t>年度以降の障害児通所支援等の利用実績</w:t>
      </w:r>
      <w:r>
        <w:rPr>
          <w:rFonts w:hint="eastAsia"/>
        </w:rPr>
        <w:t>(</w:t>
      </w:r>
      <w:r>
        <w:rPr>
          <w:rFonts w:hint="eastAsia"/>
        </w:rPr>
        <w:t>各年度実績平均</w:t>
      </w:r>
      <w:r>
        <w:rPr>
          <w:rFonts w:hint="eastAsia"/>
        </w:rPr>
        <w:t>)</w:t>
      </w:r>
      <w:r>
        <w:rPr>
          <w:rFonts w:hint="eastAsia"/>
        </w:rPr>
        <w:t>をみると、毎年度「放課後等デイサービス」が最も多く、かつ毎年度増える傾向にあり、平成</w:t>
      </w:r>
      <w:r>
        <w:rPr>
          <w:rFonts w:hint="eastAsia"/>
        </w:rPr>
        <w:t>30</w:t>
      </w:r>
      <w:r>
        <w:rPr>
          <w:rFonts w:hint="eastAsia"/>
        </w:rPr>
        <w:t>年度の</w:t>
      </w:r>
      <w:r>
        <w:rPr>
          <w:rFonts w:hint="eastAsia"/>
        </w:rPr>
        <w:t>116</w:t>
      </w:r>
      <w:r>
        <w:rPr>
          <w:rFonts w:hint="eastAsia"/>
        </w:rPr>
        <w:t>人から令和４年度では</w:t>
      </w:r>
      <w:r>
        <w:rPr>
          <w:rFonts w:hint="eastAsia"/>
        </w:rPr>
        <w:t>165</w:t>
      </w:r>
      <w:r>
        <w:rPr>
          <w:rFonts w:hint="eastAsia"/>
        </w:rPr>
        <w:t>人となっています。次に「児童発達支援」の利用が多く、令和元年度までは</w:t>
      </w:r>
      <w:r>
        <w:rPr>
          <w:rFonts w:hint="eastAsia"/>
        </w:rPr>
        <w:t>40</w:t>
      </w:r>
      <w:r>
        <w:rPr>
          <w:rFonts w:hint="eastAsia"/>
        </w:rPr>
        <w:t>人台の利用となっていましたが、令和２年度に</w:t>
      </w:r>
      <w:r>
        <w:rPr>
          <w:rFonts w:hint="eastAsia"/>
        </w:rPr>
        <w:t>74</w:t>
      </w:r>
      <w:r>
        <w:rPr>
          <w:rFonts w:hint="eastAsia"/>
        </w:rPr>
        <w:t>人と大きく増え、令和４年度では</w:t>
      </w:r>
      <w:r>
        <w:rPr>
          <w:rFonts w:hint="eastAsia"/>
        </w:rPr>
        <w:t>89</w:t>
      </w:r>
      <w:r>
        <w:rPr>
          <w:rFonts w:hint="eastAsia"/>
        </w:rPr>
        <w:t>人となっています。</w:t>
      </w:r>
    </w:p>
    <w:p>
      <w:pPr>
        <w:pStyle w:val="61"/>
        <w:ind w:left="448" w:firstLine="214" w:firstLineChars="100"/>
        <w:rPr>
          <w:rFonts w:hint="default"/>
        </w:rPr>
      </w:pPr>
      <w:r>
        <w:rPr>
          <w:rFonts w:hint="eastAsia"/>
        </w:rPr>
        <w:t>「保育所等訪問支援」は平成</w:t>
      </w:r>
      <w:r>
        <w:rPr>
          <w:rFonts w:hint="eastAsia"/>
        </w:rPr>
        <w:t>30</w:t>
      </w:r>
      <w:r>
        <w:rPr>
          <w:rFonts w:hint="eastAsia"/>
        </w:rPr>
        <w:t>年度では</w:t>
      </w:r>
      <w:r>
        <w:rPr>
          <w:rFonts w:hint="eastAsia"/>
        </w:rPr>
        <w:t>8</w:t>
      </w:r>
      <w:r>
        <w:rPr>
          <w:rFonts w:hint="eastAsia"/>
        </w:rPr>
        <w:t>人であったのが、令和４年度では</w:t>
      </w:r>
      <w:r>
        <w:rPr>
          <w:rFonts w:hint="eastAsia"/>
        </w:rPr>
        <w:t>39</w:t>
      </w:r>
      <w:r>
        <w:rPr>
          <w:rFonts w:hint="eastAsia"/>
        </w:rPr>
        <w:t>人と大きく増えています。「障害児相談支援」でも同じような傾向が見られ、平成</w:t>
      </w:r>
      <w:r>
        <w:rPr>
          <w:rFonts w:hint="eastAsia"/>
        </w:rPr>
        <w:t>30</w:t>
      </w:r>
      <w:r>
        <w:rPr>
          <w:rFonts w:hint="eastAsia"/>
        </w:rPr>
        <w:t>年度では</w:t>
      </w:r>
      <w:r>
        <w:rPr>
          <w:rFonts w:hint="eastAsia"/>
        </w:rPr>
        <w:t>35</w:t>
      </w:r>
      <w:r>
        <w:rPr>
          <w:rFonts w:hint="eastAsia"/>
        </w:rPr>
        <w:t>人であったのが、令和４年度では</w:t>
      </w:r>
      <w:r>
        <w:rPr>
          <w:rFonts w:hint="eastAsia"/>
        </w:rPr>
        <w:t>66</w:t>
      </w:r>
      <w:r>
        <w:rPr>
          <w:rFonts w:hint="eastAsia"/>
        </w:rPr>
        <w:t>人と大きく増えています。</w:t>
      </w:r>
    </w:p>
    <w:p>
      <w:pPr>
        <w:pStyle w:val="61"/>
        <w:ind w:left="448" w:firstLine="214" w:firstLineChars="100"/>
        <w:rPr>
          <w:rFonts w:hint="default"/>
        </w:rPr>
      </w:pPr>
      <w:r>
        <w:rPr>
          <w:rFonts w:hint="eastAsia"/>
        </w:rPr>
        <w:t>「医療型児童発達支援」は令和元年度より</w:t>
      </w:r>
      <w:r>
        <w:rPr>
          <w:rFonts w:hint="eastAsia"/>
        </w:rPr>
        <w:t>2</w:t>
      </w:r>
      <w:r>
        <w:rPr>
          <w:rFonts w:hint="eastAsia"/>
        </w:rPr>
        <w:t>人の利用があります。</w:t>
      </w:r>
    </w:p>
    <w:p>
      <w:pPr>
        <w:pStyle w:val="61"/>
        <w:ind w:left="448" w:firstLine="214" w:firstLineChars="100"/>
        <w:rPr>
          <w:rFonts w:hint="default"/>
        </w:rPr>
      </w:pPr>
      <w:r>
        <w:rPr>
          <w:rFonts w:hint="eastAsia"/>
        </w:rPr>
        <w:t>一方、平成</w:t>
      </w:r>
      <w:r>
        <w:rPr>
          <w:rFonts w:hint="eastAsia"/>
        </w:rPr>
        <w:t>30</w:t>
      </w:r>
      <w:r>
        <w:rPr>
          <w:rFonts w:hint="eastAsia"/>
        </w:rPr>
        <w:t>年度から新たに創設された「居宅訪問型児童発達支援」については、これまで利用実績はありません。</w:t>
      </w:r>
    </w:p>
    <w:p>
      <w:pPr>
        <w:pStyle w:val="61"/>
        <w:spacing w:line="0" w:lineRule="atLeast"/>
        <w:ind w:left="448" w:firstLine="164" w:firstLineChars="100"/>
        <w:rPr>
          <w:rFonts w:hint="default"/>
          <w:sz w:val="16"/>
        </w:rPr>
      </w:pPr>
    </w:p>
    <w:tbl>
      <w:tblPr>
        <w:tblStyle w:val="11"/>
        <w:tblW w:w="9072" w:type="dxa"/>
        <w:tblInd w:w="567" w:type="dxa"/>
        <w:tblLayout w:type="fixed"/>
        <w:tblCellMar>
          <w:top w:w="28" w:type="dxa"/>
          <w:bottom w:w="28" w:type="dxa"/>
        </w:tblCellMar>
        <w:tblLook w:firstRow="0" w:lastRow="0" w:firstColumn="0" w:lastColumn="0" w:noHBand="0" w:noVBand="0" w:val="0000"/>
      </w:tblPr>
      <w:tblGrid>
        <w:gridCol w:w="2977"/>
        <w:gridCol w:w="1202"/>
        <w:gridCol w:w="1208"/>
        <w:gridCol w:w="1339"/>
        <w:gridCol w:w="1183"/>
        <w:gridCol w:w="1163"/>
      </w:tblGrid>
      <w:tr>
        <w:trPr/>
        <w:tc>
          <w:tcPr>
            <w:tcW w:w="4179" w:type="dxa"/>
            <w:gridSpan w:val="2"/>
            <w:vAlign w:val="bottom"/>
          </w:tcPr>
          <w:p>
            <w:pPr>
              <w:pStyle w:val="46"/>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sz w:val="21"/>
              </w:rPr>
              <w:t>【障害児通所支援実利用者数】</w:t>
            </w:r>
          </w:p>
        </w:tc>
        <w:tc>
          <w:tcPr>
            <w:tcW w:w="2547" w:type="dxa"/>
            <w:gridSpan w:val="2"/>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346" w:type="dxa"/>
            <w:gridSpan w:val="2"/>
            <w:tcMar>
              <w:top w:w="0" w:type="dxa"/>
              <w:bottom w:w="0" w:type="dxa"/>
            </w:tcMar>
            <w:vAlign w:val="bottom"/>
          </w:tcPr>
          <w:p>
            <w:pPr>
              <w:pStyle w:val="48"/>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2977"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1202" w:type="dxa"/>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年度</w:t>
            </w:r>
          </w:p>
        </w:tc>
        <w:tc>
          <w:tcPr>
            <w:tcW w:w="120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令和元年度</w:t>
            </w:r>
          </w:p>
        </w:tc>
        <w:tc>
          <w:tcPr>
            <w:tcW w:w="13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令和２年度</w:t>
            </w:r>
          </w:p>
        </w:tc>
        <w:tc>
          <w:tcPr>
            <w:tcW w:w="118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令和３年度</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令和４年度</w:t>
            </w:r>
          </w:p>
        </w:tc>
      </w:tr>
      <w:tr>
        <w:trPr/>
        <w:tc>
          <w:tcPr>
            <w:tcW w:w="2977"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①児童発達支援</w:t>
            </w:r>
          </w:p>
        </w:tc>
        <w:tc>
          <w:tcPr>
            <w:tcW w:w="120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42</w:t>
            </w:r>
          </w:p>
        </w:tc>
        <w:tc>
          <w:tcPr>
            <w:tcW w:w="120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48</w:t>
            </w:r>
          </w:p>
        </w:tc>
        <w:tc>
          <w:tcPr>
            <w:tcW w:w="13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74</w:t>
            </w:r>
          </w:p>
        </w:tc>
        <w:tc>
          <w:tcPr>
            <w:tcW w:w="118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63</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89</w:t>
            </w:r>
          </w:p>
        </w:tc>
      </w:tr>
      <w:tr>
        <w:trPr/>
        <w:tc>
          <w:tcPr>
            <w:tcW w:w="2977"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②医療型児童発達支援</w:t>
            </w:r>
          </w:p>
        </w:tc>
        <w:tc>
          <w:tcPr>
            <w:tcW w:w="120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20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3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8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2977"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③放課後等デイサービス</w:t>
            </w:r>
          </w:p>
        </w:tc>
        <w:tc>
          <w:tcPr>
            <w:tcW w:w="120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116</w:t>
            </w:r>
          </w:p>
        </w:tc>
        <w:tc>
          <w:tcPr>
            <w:tcW w:w="120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137</w:t>
            </w:r>
          </w:p>
        </w:tc>
        <w:tc>
          <w:tcPr>
            <w:tcW w:w="13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149</w:t>
            </w:r>
          </w:p>
        </w:tc>
        <w:tc>
          <w:tcPr>
            <w:tcW w:w="118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147</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165</w:t>
            </w:r>
          </w:p>
        </w:tc>
      </w:tr>
      <w:tr>
        <w:trPr/>
        <w:tc>
          <w:tcPr>
            <w:tcW w:w="2977"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④保育所等訪問支援</w:t>
            </w:r>
          </w:p>
        </w:tc>
        <w:tc>
          <w:tcPr>
            <w:tcW w:w="120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20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w:t>
            </w:r>
          </w:p>
        </w:tc>
        <w:tc>
          <w:tcPr>
            <w:tcW w:w="13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118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39</w:t>
            </w:r>
          </w:p>
        </w:tc>
      </w:tr>
      <w:tr>
        <w:trPr/>
        <w:tc>
          <w:tcPr>
            <w:tcW w:w="2977"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⑤居宅訪問型児童発達支援</w:t>
            </w:r>
          </w:p>
        </w:tc>
        <w:tc>
          <w:tcPr>
            <w:tcW w:w="120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20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3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8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2977"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0"/>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⑥障害児相談支援</w:t>
            </w:r>
          </w:p>
        </w:tc>
        <w:tc>
          <w:tcPr>
            <w:tcW w:w="120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w:t>
            </w:r>
          </w:p>
        </w:tc>
        <w:tc>
          <w:tcPr>
            <w:tcW w:w="120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55</w:t>
            </w:r>
          </w:p>
        </w:tc>
        <w:tc>
          <w:tcPr>
            <w:tcW w:w="13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73</w:t>
            </w:r>
          </w:p>
        </w:tc>
        <w:tc>
          <w:tcPr>
            <w:tcW w:w="118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65</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66</w:t>
            </w:r>
          </w:p>
        </w:tc>
      </w:tr>
    </w:tbl>
    <w:p>
      <w:pPr>
        <w:pStyle w:val="62"/>
        <w:spacing w:before="37" w:beforeLines="0" w:beforeAutospacing="0" w:after="0" w:afterLines="0" w:afterAutospacing="0"/>
        <w:ind w:left="1172"/>
        <w:rPr>
          <w:rFonts w:hint="default"/>
        </w:rPr>
      </w:pPr>
      <w:r>
        <w:rPr>
          <w:rFonts w:hint="eastAsia"/>
        </w:rPr>
        <w:t>資料：保健福祉課（各年度実績平均）</w:t>
      </w: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r>
        <w:rPr>
          <w:rFonts w:hint="default"/>
        </w:rPr>
        <w:br w:type="page"/>
      </w:r>
    </w:p>
    <w:p>
      <w:pPr>
        <w:pStyle w:val="60"/>
        <w:spacing w:after="74" w:afterLines="0" w:afterAutospacing="0"/>
        <w:ind w:left="112"/>
        <w:rPr>
          <w:rFonts w:hint="default"/>
          <w:u w:val="single" w:color="auto"/>
        </w:rPr>
      </w:pPr>
      <w:r>
        <w:rPr>
          <w:rFonts w:hint="eastAsia"/>
        </w:rPr>
        <w:t>（</w:t>
      </w:r>
      <w:r>
        <w:rPr>
          <w:rFonts w:hint="eastAsia"/>
        </w:rPr>
        <w:t>12</w:t>
      </w:r>
      <w:r>
        <w:rPr>
          <w:rFonts w:hint="eastAsia"/>
        </w:rPr>
        <w:t>）</w:t>
      </w:r>
      <w:r>
        <w:rPr>
          <w:rFonts w:hint="eastAsia"/>
          <w:u w:val="single" w:color="auto"/>
        </w:rPr>
        <w:t>町内の障害福祉サービス等事業所</w:t>
      </w:r>
    </w:p>
    <w:p>
      <w:pPr>
        <w:pStyle w:val="61"/>
        <w:ind w:left="448" w:firstLine="214" w:firstLineChars="100"/>
        <w:rPr>
          <w:rFonts w:hint="default"/>
        </w:rPr>
      </w:pPr>
      <w:r>
        <w:rPr>
          <w:rFonts w:hint="default"/>
        </w:rPr>
        <w:t>障害福祉サービス及び障害児通所支援等を提供する、町内の事業所</w:t>
      </w:r>
      <w:r>
        <w:rPr>
          <w:rFonts w:hint="eastAsia"/>
        </w:rPr>
        <w:t>数は令和４年４月１</w:t>
      </w:r>
      <w:r>
        <w:rPr>
          <w:rFonts w:hint="default"/>
        </w:rPr>
        <w:t>日現在で</w:t>
      </w:r>
      <w:r>
        <w:rPr>
          <w:rFonts w:hint="eastAsia"/>
        </w:rPr>
        <w:t>102</w:t>
      </w:r>
      <w:r>
        <w:rPr>
          <w:rFonts w:hint="default"/>
        </w:rPr>
        <w:t>事業所となります。</w:t>
      </w:r>
      <w:r>
        <w:rPr>
          <w:rFonts w:hint="eastAsia"/>
        </w:rPr>
        <w:t>平成</w:t>
      </w:r>
      <w:r>
        <w:rPr>
          <w:rFonts w:hint="eastAsia"/>
        </w:rPr>
        <w:t>26</w:t>
      </w:r>
      <w:r>
        <w:rPr>
          <w:rFonts w:hint="eastAsia"/>
        </w:rPr>
        <w:t>年度と比べると</w:t>
      </w:r>
      <w:r>
        <w:rPr>
          <w:rFonts w:hint="eastAsia"/>
        </w:rPr>
        <w:t>31</w:t>
      </w:r>
      <w:r>
        <w:rPr>
          <w:rFonts w:hint="eastAsia"/>
        </w:rPr>
        <w:t>事業所増えています。</w:t>
      </w:r>
    </w:p>
    <w:p>
      <w:pPr>
        <w:pStyle w:val="61"/>
        <w:ind w:left="448" w:firstLine="214" w:firstLineChars="100"/>
        <w:rPr>
          <w:rFonts w:hint="default"/>
        </w:rPr>
      </w:pPr>
      <w:r>
        <w:rPr>
          <w:rFonts w:hint="eastAsia"/>
        </w:rPr>
        <w:t>令和５</w:t>
      </w:r>
      <w:r>
        <w:rPr>
          <w:rFonts w:hint="default"/>
        </w:rPr>
        <w:t>年度のサービス別の事業所数としては、「放課後等デイサービス」が</w:t>
      </w:r>
      <w:r>
        <w:rPr>
          <w:rFonts w:hint="default"/>
        </w:rPr>
        <w:t>1</w:t>
      </w:r>
      <w:r>
        <w:rPr>
          <w:rFonts w:hint="eastAsia"/>
        </w:rPr>
        <w:t>9</w:t>
      </w:r>
      <w:r>
        <w:rPr>
          <w:rFonts w:hint="default"/>
        </w:rPr>
        <w:t>事業所と最も多く、次に「</w:t>
      </w:r>
      <w:r>
        <w:rPr>
          <w:rFonts w:hint="eastAsia"/>
        </w:rPr>
        <w:t>児童発達支援</w:t>
      </w:r>
      <w:r>
        <w:rPr>
          <w:rFonts w:hint="default"/>
        </w:rPr>
        <w:t>」の</w:t>
      </w:r>
      <w:r>
        <w:rPr>
          <w:rFonts w:hint="eastAsia"/>
        </w:rPr>
        <w:t>12</w:t>
      </w:r>
      <w:r>
        <w:rPr>
          <w:rFonts w:hint="default"/>
        </w:rPr>
        <w:t>事業所</w:t>
      </w:r>
      <w:r>
        <w:rPr>
          <w:rFonts w:hint="eastAsia"/>
        </w:rPr>
        <w:t>、「</w:t>
      </w:r>
      <w:r>
        <w:rPr>
          <w:rFonts w:hint="default"/>
        </w:rPr>
        <w:t>就労継続支援</w:t>
      </w:r>
      <w:r>
        <w:rPr>
          <w:rFonts w:hint="default"/>
        </w:rPr>
        <w:t>(</w:t>
      </w:r>
      <w:r>
        <w:rPr>
          <w:rFonts w:hint="eastAsia"/>
        </w:rPr>
        <w:t>Ｂ型</w:t>
      </w:r>
      <w:r>
        <w:rPr>
          <w:rFonts w:hint="default"/>
        </w:rPr>
        <w:t>)</w:t>
      </w:r>
      <w:r>
        <w:rPr>
          <w:rFonts w:hint="eastAsia"/>
        </w:rPr>
        <w:t>」が</w:t>
      </w:r>
      <w:r>
        <w:rPr>
          <w:rFonts w:hint="eastAsia"/>
        </w:rPr>
        <w:t>11</w:t>
      </w:r>
      <w:r>
        <w:rPr>
          <w:rFonts w:hint="eastAsia"/>
        </w:rPr>
        <w:t>事業所</w:t>
      </w:r>
      <w:r>
        <w:rPr>
          <w:rFonts w:hint="default"/>
        </w:rPr>
        <w:t>とな</w:t>
      </w:r>
      <w:r>
        <w:rPr>
          <w:rFonts w:hint="eastAsia"/>
        </w:rPr>
        <w:t>ってい</w:t>
      </w:r>
      <w:r>
        <w:rPr>
          <w:rFonts w:hint="default"/>
        </w:rPr>
        <w:t>ます。</w:t>
      </w:r>
    </w:p>
    <w:p>
      <w:pPr>
        <w:pStyle w:val="61"/>
        <w:ind w:left="448" w:firstLine="214" w:firstLineChars="100"/>
        <w:rPr>
          <w:rFonts w:hint="default"/>
        </w:rPr>
      </w:pPr>
      <w:r>
        <w:rPr>
          <w:rFonts w:hint="eastAsia"/>
        </w:rPr>
        <w:t>令和２年度と比べて令和５年度に減少した事業所は、「生活介護」、「地域移行支援」、「地域定着支援」で</w:t>
      </w:r>
      <w:r>
        <w:rPr>
          <w:rFonts w:hint="eastAsia"/>
        </w:rPr>
        <w:t>2</w:t>
      </w:r>
      <w:r>
        <w:rPr>
          <w:rFonts w:hint="eastAsia"/>
        </w:rPr>
        <w:t>件、「就労移行支援」で</w:t>
      </w:r>
      <w:r>
        <w:rPr>
          <w:rFonts w:hint="eastAsia"/>
        </w:rPr>
        <w:t>1</w:t>
      </w:r>
      <w:r>
        <w:rPr>
          <w:rFonts w:hint="eastAsia"/>
        </w:rPr>
        <w:t>件の計</w:t>
      </w:r>
      <w:r>
        <w:rPr>
          <w:rFonts w:hint="eastAsia"/>
        </w:rPr>
        <w:t>7</w:t>
      </w:r>
      <w:r>
        <w:rPr>
          <w:rFonts w:hint="eastAsia"/>
        </w:rPr>
        <w:t>件となっています。一方、増加した事業所は「放課後等デイサービス」が</w:t>
      </w:r>
      <w:r>
        <w:rPr>
          <w:rFonts w:hint="eastAsia"/>
        </w:rPr>
        <w:t>7</w:t>
      </w:r>
      <w:r>
        <w:rPr>
          <w:rFonts w:hint="eastAsia"/>
        </w:rPr>
        <w:t>件、</w:t>
      </w:r>
      <w:r>
        <w:rPr>
          <w:rFonts w:hint="default"/>
        </w:rPr>
        <w:t>「</w:t>
      </w:r>
      <w:r>
        <w:rPr>
          <w:rFonts w:hint="eastAsia"/>
        </w:rPr>
        <w:t>児童発達支援</w:t>
      </w:r>
      <w:r>
        <w:rPr>
          <w:rFonts w:hint="default"/>
        </w:rPr>
        <w:t>」</w:t>
      </w:r>
      <w:r>
        <w:rPr>
          <w:rFonts w:hint="eastAsia"/>
        </w:rPr>
        <w:t>が</w:t>
      </w:r>
      <w:r>
        <w:rPr>
          <w:rFonts w:hint="eastAsia"/>
        </w:rPr>
        <w:t>6</w:t>
      </w:r>
      <w:r>
        <w:rPr>
          <w:rFonts w:hint="eastAsia"/>
        </w:rPr>
        <w:t>件、「共同生活援助</w:t>
      </w:r>
      <w:r>
        <w:rPr>
          <w:rFonts w:hint="default"/>
        </w:rPr>
        <w:t>(</w:t>
      </w:r>
      <w:r>
        <w:rPr>
          <w:rFonts w:hint="eastAsia"/>
        </w:rPr>
        <w:t>ＧＨ</w:t>
      </w:r>
      <w:r>
        <w:rPr>
          <w:rFonts w:hint="default"/>
        </w:rPr>
        <w:t>)</w:t>
      </w:r>
      <w:r>
        <w:rPr>
          <w:rFonts w:hint="eastAsia"/>
        </w:rPr>
        <w:t>」が</w:t>
      </w:r>
      <w:r>
        <w:rPr>
          <w:rFonts w:hint="eastAsia"/>
        </w:rPr>
        <w:t>3</w:t>
      </w:r>
      <w:r>
        <w:rPr>
          <w:rFonts w:hint="eastAsia"/>
        </w:rPr>
        <w:t>件、「居宅介護」、「保育所等訪問支援」が</w:t>
      </w:r>
      <w:r>
        <w:rPr>
          <w:rFonts w:hint="eastAsia"/>
        </w:rPr>
        <w:t>2</w:t>
      </w:r>
      <w:r>
        <w:rPr>
          <w:rFonts w:hint="eastAsia"/>
        </w:rPr>
        <w:t>件、「重度訪問介護」、「同行援護」、「行動援護」、「</w:t>
      </w:r>
      <w:r>
        <w:rPr>
          <w:rFonts w:hint="default"/>
        </w:rPr>
        <w:t>就労継続支援</w:t>
      </w:r>
      <w:r>
        <w:rPr>
          <w:rFonts w:hint="default"/>
        </w:rPr>
        <w:t>(</w:t>
      </w:r>
      <w:r>
        <w:rPr>
          <w:rFonts w:hint="eastAsia"/>
        </w:rPr>
        <w:t>Ｂ型</w:t>
      </w:r>
      <w:r>
        <w:rPr>
          <w:rFonts w:hint="default"/>
        </w:rPr>
        <w:t>)</w:t>
      </w:r>
      <w:r>
        <w:rPr>
          <w:rFonts w:hint="eastAsia"/>
        </w:rPr>
        <w:t>」、「短期入所」、「障害児相談支援」が</w:t>
      </w:r>
      <w:r>
        <w:rPr>
          <w:rFonts w:hint="eastAsia"/>
        </w:rPr>
        <w:t>1</w:t>
      </w:r>
      <w:r>
        <w:rPr>
          <w:rFonts w:hint="eastAsia"/>
        </w:rPr>
        <w:t>件の計</w:t>
      </w:r>
      <w:r>
        <w:rPr>
          <w:rFonts w:hint="eastAsia"/>
        </w:rPr>
        <w:t>26</w:t>
      </w:r>
      <w:r>
        <w:rPr>
          <w:rFonts w:hint="eastAsia"/>
        </w:rPr>
        <w:t>件となっています。</w:t>
      </w:r>
    </w:p>
    <w:p>
      <w:pPr>
        <w:pStyle w:val="61"/>
        <w:spacing w:line="0" w:lineRule="atLeast"/>
        <w:ind w:left="448" w:firstLine="164" w:firstLineChars="100"/>
        <w:rPr>
          <w:rFonts w:hint="default"/>
          <w:sz w:val="16"/>
        </w:rPr>
      </w:pPr>
    </w:p>
    <w:tbl>
      <w:tblPr>
        <w:tblStyle w:val="11"/>
        <w:tblW w:w="8789"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426"/>
        <w:gridCol w:w="2693"/>
        <w:gridCol w:w="1417"/>
        <w:gridCol w:w="1418"/>
        <w:gridCol w:w="1417"/>
        <w:gridCol w:w="1418"/>
      </w:tblGrid>
      <w:tr>
        <w:trPr/>
        <w:tc>
          <w:tcPr>
            <w:tcW w:w="8789" w:type="dxa"/>
            <w:gridSpan w:val="6"/>
            <w:tcBorders>
              <w:top w:val="nil"/>
              <w:left w:val="nil"/>
              <w:bottom w:val="single" w:color="auto" w:sz="4" w:space="0"/>
              <w:right w:val="nil"/>
              <w:tl2br w:val="none" w:color="auto" w:sz="0" w:space="0"/>
              <w:tr2bl w:val="none" w:color="auto" w:sz="0" w:space="0"/>
            </w:tcBorders>
            <w:shd w:val="clear" w:color="auto" w:fill="auto"/>
            <w:vAlign w:val="center"/>
          </w:tcPr>
          <w:p>
            <w:pPr>
              <w:pStyle w:val="46"/>
              <w:snapToGrid w:val="0"/>
              <w:spacing w:line="0" w:lineRule="atLeast"/>
              <w:ind w:left="-221"/>
              <w:rPr>
                <w:rFonts w:hint="default" w:ascii="ＭＳ ゴシック" w:hAnsi="ＭＳ ゴシック" w:eastAsia="ＭＳ ゴシック"/>
                <w:sz w:val="20"/>
              </w:rPr>
            </w:pPr>
            <w:r>
              <w:rPr>
                <w:rFonts w:hint="eastAsia" w:ascii="ＭＳ ゴシック" w:hAnsi="ＭＳ ゴシック" w:eastAsia="ＭＳ ゴシック"/>
              </w:rPr>
              <w:t>【南風原町内の指定障害福祉サービス等</w:t>
            </w:r>
            <w:r>
              <w:rPr>
                <w:rFonts w:hint="eastAsia" w:ascii="ＭＳ ゴシック" w:hAnsi="ＭＳ ゴシック" w:eastAsia="ＭＳ ゴシック"/>
                <w:sz w:val="21"/>
              </w:rPr>
              <w:t>事業所数</w:t>
            </w:r>
            <w:r>
              <w:rPr>
                <w:rFonts w:hint="eastAsia" w:ascii="ＭＳ ゴシック" w:hAnsi="ＭＳ ゴシック" w:eastAsia="ＭＳ ゴシック"/>
              </w:rPr>
              <w:t>】</w:t>
            </w:r>
          </w:p>
        </w:tc>
      </w:tr>
      <w:tr>
        <w:trPr/>
        <w:tc>
          <w:tcPr>
            <w:tcW w:w="3119"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サービス名</w:t>
            </w:r>
          </w:p>
        </w:tc>
        <w:tc>
          <w:tcPr>
            <w:tcW w:w="1417"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ind w:left="-112" w:leftChars="-50" w:right="-112" w:rightChars="-50"/>
              <w:jc w:val="center"/>
              <w:rPr>
                <w:rFonts w:hint="default" w:ascii="ＭＳ ゴシック" w:hAnsi="ＭＳ ゴシック" w:eastAsia="ＭＳ ゴシック"/>
                <w:sz w:val="20"/>
              </w:rPr>
            </w:pPr>
            <w:r>
              <w:rPr>
                <w:rFonts w:hint="eastAsia" w:ascii="ＭＳ ゴシック" w:hAnsi="ＭＳ ゴシック" w:eastAsia="ＭＳ ゴシック"/>
                <w:sz w:val="20"/>
              </w:rPr>
              <w:t>平成</w:t>
            </w:r>
            <w:r>
              <w:rPr>
                <w:rFonts w:hint="default" w:ascii="ＭＳ ゴシック" w:hAnsi="ＭＳ ゴシック" w:eastAsia="ＭＳ ゴシック"/>
                <w:sz w:val="20"/>
              </w:rPr>
              <w:t>26</w:t>
            </w:r>
            <w:r>
              <w:rPr>
                <w:rFonts w:hint="default" w:ascii="ＭＳ ゴシック" w:hAnsi="ＭＳ ゴシック" w:eastAsia="ＭＳ ゴシック"/>
                <w:sz w:val="20"/>
              </w:rPr>
              <w:t>年度</w:t>
            </w:r>
          </w:p>
        </w:tc>
        <w:tc>
          <w:tcPr>
            <w:tcW w:w="14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ind w:left="-112" w:leftChars="-50" w:right="-112" w:rightChars="-50"/>
              <w:jc w:val="center"/>
              <w:rPr>
                <w:rFonts w:hint="default" w:ascii="ＭＳ ゴシック" w:hAnsi="ＭＳ ゴシック" w:eastAsia="ＭＳ ゴシック"/>
                <w:sz w:val="20"/>
              </w:rPr>
            </w:pPr>
            <w:r>
              <w:rPr>
                <w:rFonts w:hint="eastAsia" w:ascii="ＭＳ ゴシック" w:hAnsi="ＭＳ ゴシック" w:eastAsia="ＭＳ ゴシック"/>
                <w:sz w:val="20"/>
              </w:rPr>
              <w:t>平成</w:t>
            </w:r>
            <w:r>
              <w:rPr>
                <w:rFonts w:hint="default" w:ascii="ＭＳ ゴシック" w:hAnsi="ＭＳ ゴシック" w:eastAsia="ＭＳ ゴシック"/>
                <w:sz w:val="20"/>
              </w:rPr>
              <w:t>29</w:t>
            </w:r>
            <w:r>
              <w:rPr>
                <w:rFonts w:hint="default" w:ascii="ＭＳ ゴシック" w:hAnsi="ＭＳ ゴシック" w:eastAsia="ＭＳ ゴシック"/>
                <w:sz w:val="20"/>
              </w:rPr>
              <w:t>年度</w:t>
            </w:r>
          </w:p>
        </w:tc>
        <w:tc>
          <w:tcPr>
            <w:tcW w:w="1417"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ind w:left="-112" w:leftChars="-50" w:right="-112" w:rightChars="-50"/>
              <w:jc w:val="center"/>
              <w:rPr>
                <w:rFonts w:hint="default" w:ascii="ＭＳ ゴシック" w:hAnsi="ＭＳ ゴシック" w:eastAsia="ＭＳ ゴシック"/>
                <w:sz w:val="20"/>
              </w:rPr>
            </w:pPr>
            <w:r>
              <w:rPr>
                <w:rFonts w:hint="eastAsia" w:ascii="ＭＳ ゴシック" w:hAnsi="ＭＳ ゴシック" w:eastAsia="ＭＳ ゴシック"/>
                <w:sz w:val="20"/>
              </w:rPr>
              <w:t>令和２年度</w:t>
            </w:r>
          </w:p>
        </w:tc>
        <w:tc>
          <w:tcPr>
            <w:tcW w:w="14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ind w:left="-112" w:leftChars="-50" w:right="-112" w:rightChars="-50"/>
              <w:jc w:val="center"/>
              <w:rPr>
                <w:rFonts w:hint="default" w:ascii="ＭＳ ゴシック" w:hAnsi="ＭＳ ゴシック" w:eastAsia="ＭＳ ゴシック"/>
                <w:sz w:val="20"/>
              </w:rPr>
            </w:pPr>
            <w:r>
              <w:rPr>
                <w:rFonts w:hint="eastAsia" w:ascii="ＭＳ ゴシック" w:hAnsi="ＭＳ ゴシック" w:eastAsia="ＭＳ ゴシック"/>
                <w:sz w:val="20"/>
              </w:rPr>
              <w:t>令和５年度</w:t>
            </w:r>
          </w:p>
        </w:tc>
      </w:tr>
      <w:tr>
        <w:trPr/>
        <w:tc>
          <w:tcPr>
            <w:tcW w:w="3119"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訪問</w:t>
            </w:r>
            <w:r>
              <w:rPr>
                <w:rFonts w:hint="default" w:ascii="ＭＳ ゴシック" w:hAnsi="ＭＳ ゴシック" w:eastAsia="ＭＳ ゴシック"/>
                <w:sz w:val="20"/>
                <w:shd w:val="clear" w:color="auto" w:fill="D9D9D9"/>
              </w:rPr>
              <w:t>系サービス</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26</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居宅介護</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重度訪問介護</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同行援護</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行動援護</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重度障害者等包括支援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r>
      <w:tr>
        <w:trPr/>
        <w:tc>
          <w:tcPr>
            <w:tcW w:w="426" w:type="dxa"/>
            <w:tcBorders>
              <w:top w:val="nil"/>
              <w:left w:val="none" w:color="auto" w:sz="0" w:space="0"/>
              <w:bottom w:val="none" w:color="auto" w:sz="0" w:space="0"/>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生活介護</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c>
          <w:tcPr>
            <w:tcW w:w="3119" w:type="dxa"/>
            <w:gridSpan w:val="2"/>
            <w:tcBorders>
              <w:top w:val="nil"/>
              <w:left w:val="single" w:color="auto" w:sz="4" w:space="0"/>
              <w:bottom w:val="nil"/>
              <w:right w:val="single" w:color="auto" w:sz="4"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日中活動系サービス</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19</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19</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0" w:lineRule="atLeast"/>
              <w:jc w:val="left"/>
              <w:rPr>
                <w:rFonts w:hint="default" w:ascii="ＭＳ ゴシック" w:hAnsi="ＭＳ ゴシック" w:eastAsia="ＭＳ ゴシック"/>
                <w:sz w:val="20"/>
              </w:rPr>
            </w:pPr>
            <w:r>
              <w:rPr>
                <w:rFonts w:hint="eastAsia" w:ascii="ＭＳ ゴシック" w:hAnsi="ＭＳ ゴシック" w:eastAsia="ＭＳ ゴシック"/>
                <w:sz w:val="20"/>
              </w:rPr>
              <w:t>自立訓練（機能訓練）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自立訓練（生活訓練）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就労移行支援</w:t>
            </w:r>
            <w:r>
              <w:rPr>
                <w:rFonts w:hint="eastAsia" w:ascii="ＭＳ ゴシック" w:hAnsi="ＭＳ ゴシック" w:eastAsia="ＭＳ ゴシック"/>
                <w:sz w:val="20"/>
              </w:rPr>
              <w:t xml:space="preserve"> </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就労継続支援（Ａ型）</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就労継続支援（Ｂ型）</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就労定着支援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短期入所</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r>
      <w:tr>
        <w:trPr/>
        <w:tc>
          <w:tcPr>
            <w:tcW w:w="426" w:type="dxa"/>
            <w:tcBorders>
              <w:top w:val="nil"/>
              <w:left w:val="none" w:color="auto" w:sz="0" w:space="0"/>
              <w:bottom w:val="single" w:color="auto" w:sz="4" w:space="0"/>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療養介護</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r>
      <w:tr>
        <w:trPr/>
        <w:tc>
          <w:tcPr>
            <w:tcW w:w="3119" w:type="dxa"/>
            <w:gridSpan w:val="2"/>
            <w:tcBorders>
              <w:top w:val="nil"/>
              <w:left w:val="single" w:color="auto" w:sz="4" w:space="0"/>
              <w:bottom w:val="nil"/>
              <w:right w:val="single" w:color="auto" w:sz="4"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居住系サービス</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自立生活援助</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共同生活援助（ＧＨ）</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r>
      <w:tr>
        <w:trPr/>
        <w:tc>
          <w:tcPr>
            <w:tcW w:w="426" w:type="dxa"/>
            <w:tcBorders>
              <w:top w:val="nil"/>
              <w:left w:val="none" w:color="auto" w:sz="0" w:space="0"/>
              <w:bottom w:val="single" w:color="auto" w:sz="4" w:space="0"/>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施設入所支援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r>
      <w:tr>
        <w:trPr/>
        <w:tc>
          <w:tcPr>
            <w:tcW w:w="3119" w:type="dxa"/>
            <w:gridSpan w:val="2"/>
            <w:tcBorders>
              <w:top w:val="nil"/>
              <w:left w:val="single" w:color="auto" w:sz="4" w:space="0"/>
              <w:bottom w:val="nil"/>
              <w:right w:val="single" w:color="auto" w:sz="4"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計画相談支援・地域相談支援</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計画相談支援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地域移行支援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426" w:type="dxa"/>
            <w:tcBorders>
              <w:top w:val="nil"/>
              <w:left w:val="none" w:color="auto" w:sz="0" w:space="0"/>
              <w:bottom w:val="single" w:color="auto" w:sz="4" w:space="0"/>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地域定着支援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3119"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障害児通所支援・相談支援</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39</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児童発達支援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医療型児童発達支援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放課後等デイサービス</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19</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保育所等訪問支援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426" w:type="dxa"/>
            <w:tcBorders>
              <w:top w:val="nil"/>
              <w:left w:val="none" w:color="auto" w:sz="0" w:space="0"/>
              <w:bottom w:val="none" w:color="auto" w:sz="0" w:space="0"/>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障害児相談支援</w:t>
            </w:r>
          </w:p>
        </w:tc>
        <w:tc>
          <w:tcPr>
            <w:tcW w:w="141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418"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r>
      <w:tr>
        <w:trPr/>
        <w:tc>
          <w:tcPr>
            <w:tcW w:w="3119" w:type="dxa"/>
            <w:gridSpan w:val="2"/>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40"/>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417"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71</w:t>
            </w:r>
          </w:p>
        </w:tc>
        <w:tc>
          <w:tcPr>
            <w:tcW w:w="1418"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86</w:t>
            </w:r>
          </w:p>
        </w:tc>
        <w:tc>
          <w:tcPr>
            <w:tcW w:w="1417"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83</w:t>
            </w:r>
          </w:p>
        </w:tc>
        <w:tc>
          <w:tcPr>
            <w:tcW w:w="1418"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102</w:t>
            </w:r>
          </w:p>
        </w:tc>
      </w:tr>
    </w:tbl>
    <w:p>
      <w:pPr>
        <w:pStyle w:val="62"/>
        <w:spacing w:before="37" w:beforeLines="0" w:beforeAutospacing="0" w:after="0" w:afterLines="0" w:afterAutospacing="0"/>
        <w:ind w:left="1172"/>
        <w:rPr>
          <w:rFonts w:hint="default"/>
        </w:rPr>
      </w:pPr>
      <w:r>
        <w:rPr>
          <w:rFonts w:hint="eastAsia"/>
        </w:rPr>
        <w:t>資料：沖縄県（各年度４月１日時点）</w:t>
      </w:r>
      <w:r>
        <w:rPr>
          <w:rFonts w:hint="default"/>
        </w:rPr>
        <w:br w:type="page"/>
      </w:r>
    </w:p>
    <w:p>
      <w:pPr>
        <w:pStyle w:val="60"/>
        <w:spacing w:after="74" w:afterLines="0" w:afterAutospacing="0"/>
        <w:ind w:left="112"/>
        <w:rPr>
          <w:rFonts w:hint="default"/>
          <w:u w:val="single" w:color="auto"/>
        </w:rPr>
      </w:pPr>
      <w:r>
        <w:rPr>
          <w:rFonts w:hint="eastAsia"/>
        </w:rPr>
        <w:t>（</w:t>
      </w:r>
      <w:r>
        <w:rPr>
          <w:rFonts w:hint="eastAsia"/>
        </w:rPr>
        <w:t>13</w:t>
      </w:r>
      <w:r>
        <w:rPr>
          <w:rFonts w:hint="eastAsia"/>
        </w:rPr>
        <w:t>）</w:t>
      </w:r>
      <w:r>
        <w:rPr>
          <w:rFonts w:hint="eastAsia"/>
          <w:u w:val="single" w:color="auto"/>
        </w:rPr>
        <w:t>地域生活支援事業の実施状況</w:t>
      </w:r>
    </w:p>
    <w:p>
      <w:pPr>
        <w:pStyle w:val="61"/>
        <w:ind w:left="448" w:firstLine="214" w:firstLineChars="100"/>
        <w:rPr>
          <w:rFonts w:hint="default"/>
        </w:rPr>
      </w:pPr>
      <w:r>
        <w:rPr>
          <w:rFonts w:hint="eastAsia"/>
        </w:rPr>
        <w:t>平成</w:t>
      </w:r>
      <w:r>
        <w:rPr>
          <w:rFonts w:hint="eastAsia"/>
        </w:rPr>
        <w:t>30</w:t>
      </w:r>
      <w:r>
        <w:rPr>
          <w:rFonts w:hint="eastAsia"/>
        </w:rPr>
        <w:t>年度以降の地域生活支援事業の利用実績をみると、「基幹相談支援センター等機能強化事業」は、令和３年度までは増加していますが令和４年度は減少しています。</w:t>
      </w:r>
    </w:p>
    <w:p>
      <w:pPr>
        <w:pStyle w:val="61"/>
        <w:ind w:left="448" w:firstLine="214" w:firstLineChars="100"/>
        <w:rPr>
          <w:rFonts w:hint="default"/>
        </w:rPr>
      </w:pPr>
      <w:r>
        <w:rPr>
          <w:rFonts w:hint="eastAsia"/>
        </w:rPr>
        <w:t>「成年後見制度利用支援事業」は平成</w:t>
      </w:r>
      <w:r>
        <w:rPr>
          <w:rFonts w:hint="eastAsia"/>
        </w:rPr>
        <w:t>30</w:t>
      </w:r>
      <w:r>
        <w:rPr>
          <w:rFonts w:hint="eastAsia"/>
        </w:rPr>
        <w:t>年度まで利用者はいませんが、令和元年度に</w:t>
      </w:r>
      <w:r>
        <w:rPr>
          <w:rFonts w:hint="eastAsia"/>
        </w:rPr>
        <w:t>1</w:t>
      </w:r>
      <w:r>
        <w:rPr>
          <w:rFonts w:hint="eastAsia"/>
        </w:rPr>
        <w:t>人、その後は</w:t>
      </w:r>
      <w:r>
        <w:rPr>
          <w:rFonts w:hint="eastAsia"/>
        </w:rPr>
        <w:t>2</w:t>
      </w:r>
      <w:r>
        <w:rPr>
          <w:rFonts w:hint="eastAsia"/>
        </w:rPr>
        <w:t>人が利用しました。</w:t>
      </w:r>
    </w:p>
    <w:p>
      <w:pPr>
        <w:pStyle w:val="61"/>
        <w:ind w:left="448" w:firstLine="214" w:firstLineChars="100"/>
        <w:rPr>
          <w:rFonts w:hint="default"/>
        </w:rPr>
      </w:pPr>
      <w:r>
        <w:rPr>
          <w:rFonts w:hint="eastAsia"/>
        </w:rPr>
        <w:t>「手話通訳者・要約筆記者派遣事業」の利用者は、平成</w:t>
      </w:r>
      <w:r>
        <w:rPr>
          <w:rFonts w:hint="eastAsia"/>
        </w:rPr>
        <w:t>30</w:t>
      </w:r>
      <w:r>
        <w:rPr>
          <w:rFonts w:hint="eastAsia"/>
        </w:rPr>
        <w:t>年度以降</w:t>
      </w:r>
      <w:r>
        <w:rPr>
          <w:rFonts w:hint="eastAsia"/>
        </w:rPr>
        <w:t>9</w:t>
      </w:r>
      <w:r>
        <w:rPr>
          <w:rFonts w:hint="eastAsia"/>
        </w:rPr>
        <w:t>人で推移し、令和４年度には</w:t>
      </w:r>
      <w:r>
        <w:rPr>
          <w:rFonts w:hint="eastAsia"/>
        </w:rPr>
        <w:t>11</w:t>
      </w:r>
      <w:r>
        <w:rPr>
          <w:rFonts w:hint="eastAsia"/>
        </w:rPr>
        <w:t>人の利用者となっています。</w:t>
      </w:r>
    </w:p>
    <w:p>
      <w:pPr>
        <w:pStyle w:val="61"/>
        <w:ind w:left="448" w:firstLine="214" w:firstLineChars="100"/>
        <w:rPr>
          <w:rFonts w:hint="default"/>
        </w:rPr>
      </w:pPr>
      <w:r>
        <w:rPr>
          <w:rFonts w:hint="eastAsia"/>
        </w:rPr>
        <w:t>「日常生活用具給付等事業」では、各種用具の利用があり、中でも「排泄管理支援用具」の利用件数が最も多く、</w:t>
      </w:r>
      <w:r>
        <w:rPr>
          <w:rFonts w:hint="eastAsia"/>
        </w:rPr>
        <w:t>500</w:t>
      </w:r>
      <w:r>
        <w:rPr>
          <w:rFonts w:hint="eastAsia"/>
        </w:rPr>
        <w:t>件程度で推移しています。一方、「居宅生活動作補助用具</w:t>
      </w:r>
      <w:r>
        <w:rPr>
          <w:rFonts w:hint="eastAsia"/>
        </w:rPr>
        <w:t>(</w:t>
      </w:r>
      <w:r>
        <w:rPr>
          <w:rFonts w:hint="eastAsia"/>
        </w:rPr>
        <w:t>住宅改修費</w:t>
      </w:r>
      <w:r>
        <w:rPr>
          <w:rFonts w:hint="eastAsia"/>
        </w:rPr>
        <w:t>)</w:t>
      </w:r>
      <w:r>
        <w:rPr>
          <w:rFonts w:hint="eastAsia"/>
        </w:rPr>
        <w:t>」は利用がありません。</w:t>
      </w:r>
    </w:p>
    <w:p>
      <w:pPr>
        <w:pStyle w:val="61"/>
        <w:spacing w:line="0" w:lineRule="atLeast"/>
        <w:ind w:left="448" w:firstLine="164" w:firstLineChars="100"/>
        <w:rPr>
          <w:rFonts w:hint="default"/>
          <w:sz w:val="16"/>
        </w:rPr>
      </w:pPr>
    </w:p>
    <w:tbl>
      <w:tblPr>
        <w:tblStyle w:val="11"/>
        <w:tblW w:w="9075"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218"/>
        <w:gridCol w:w="70"/>
        <w:gridCol w:w="3681"/>
        <w:gridCol w:w="1134"/>
        <w:gridCol w:w="794"/>
        <w:gridCol w:w="794"/>
        <w:gridCol w:w="795"/>
        <w:gridCol w:w="794"/>
        <w:gridCol w:w="795"/>
      </w:tblGrid>
      <w:tr>
        <w:trPr/>
        <w:tc>
          <w:tcPr>
            <w:tcW w:w="5103" w:type="dxa"/>
            <w:gridSpan w:val="4"/>
            <w:tcBorders>
              <w:top w:val="nil"/>
              <w:left w:val="nil"/>
              <w:bottom w:val="single" w:color="auto" w:sz="4" w:space="0"/>
              <w:right w:val="nil"/>
              <w:tl2br w:val="none" w:color="auto" w:sz="0" w:space="0"/>
              <w:tr2bl w:val="none" w:color="auto" w:sz="0" w:space="0"/>
            </w:tcBorders>
            <w:shd w:val="clear" w:color="auto" w:fill="auto"/>
            <w:vAlign w:val="bottom"/>
          </w:tcPr>
          <w:p>
            <w:pPr>
              <w:pStyle w:val="46"/>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rPr>
              <w:t>【地域生活支援事業の実施</w:t>
            </w:r>
            <w:r>
              <w:rPr>
                <w:rFonts w:hint="eastAsia" w:ascii="ＭＳ ゴシック" w:hAnsi="ＭＳ ゴシック" w:eastAsia="ＭＳ ゴシック"/>
                <w:sz w:val="21"/>
              </w:rPr>
              <w:t>状況</w:t>
            </w:r>
            <w:r>
              <w:rPr>
                <w:rFonts w:hint="eastAsia" w:ascii="ＭＳ ゴシック" w:hAnsi="ＭＳ ゴシック" w:eastAsia="ＭＳ ゴシック"/>
              </w:rPr>
              <w:t>-</w:t>
            </w:r>
            <w:r>
              <w:rPr>
                <w:rFonts w:hint="default" w:ascii="ＭＳ ゴシック" w:hAnsi="ＭＳ ゴシック" w:eastAsia="ＭＳ ゴシック"/>
              </w:rPr>
              <w:t>1</w:t>
            </w:r>
            <w:r>
              <w:rPr>
                <w:rFonts w:hint="eastAsia" w:ascii="ＭＳ ゴシック" w:hAnsi="ＭＳ ゴシック" w:eastAsia="ＭＳ ゴシック"/>
              </w:rPr>
              <w:t>】</w:t>
            </w:r>
          </w:p>
        </w:tc>
        <w:tc>
          <w:tcPr>
            <w:tcW w:w="794" w:type="dxa"/>
            <w:tcBorders>
              <w:top w:val="nil"/>
              <w:left w:val="nil"/>
              <w:bottom w:val="single" w:color="auto" w:sz="4" w:space="0"/>
              <w:right w:val="nil"/>
              <w:tl2br w:val="none" w:color="auto" w:sz="0" w:space="0"/>
              <w:tr2bl w:val="none" w:color="auto" w:sz="0" w:space="0"/>
            </w:tcBorders>
            <w:shd w:val="clear" w:color="auto" w:fill="auto"/>
            <w:tcMar>
              <w:top w:w="0" w:type="dxa"/>
              <w:left w:w="85" w:type="dxa"/>
              <w:bottom w:w="0" w:type="dxa"/>
              <w:right w:w="85" w:type="dxa"/>
            </w:tcMar>
            <w:vAlign w:val="bottom"/>
          </w:tcPr>
          <w:p>
            <w:pPr>
              <w:pStyle w:val="0"/>
              <w:snapToGrid w:val="0"/>
              <w:spacing w:line="0" w:lineRule="atLeast"/>
              <w:rPr>
                <w:rFonts w:hint="default" w:ascii="ＭＳ ゴシック" w:hAnsi="ＭＳ ゴシック" w:eastAsia="ＭＳ ゴシック"/>
              </w:rPr>
            </w:pPr>
          </w:p>
        </w:tc>
        <w:tc>
          <w:tcPr>
            <w:tcW w:w="794" w:type="dxa"/>
            <w:tcBorders>
              <w:top w:val="nil"/>
              <w:left w:val="nil"/>
              <w:bottom w:val="single" w:color="auto" w:sz="4" w:space="0"/>
              <w:right w:val="nil"/>
              <w:tl2br w:val="none" w:color="auto" w:sz="0" w:space="0"/>
              <w:tr2bl w:val="none" w:color="auto" w:sz="0" w:space="0"/>
            </w:tcBorders>
            <w:shd w:val="clear" w:color="auto" w:fill="auto"/>
            <w:vAlign w:val="bottom"/>
          </w:tcPr>
          <w:p>
            <w:pPr>
              <w:pStyle w:val="0"/>
              <w:snapToGrid w:val="0"/>
              <w:spacing w:line="0" w:lineRule="atLeast"/>
              <w:rPr>
                <w:rFonts w:hint="default" w:ascii="ＭＳ ゴシック" w:hAnsi="ＭＳ ゴシック" w:eastAsia="ＭＳ ゴシック"/>
              </w:rPr>
            </w:pPr>
          </w:p>
        </w:tc>
        <w:tc>
          <w:tcPr>
            <w:tcW w:w="795" w:type="dxa"/>
            <w:tcBorders>
              <w:top w:val="nil"/>
              <w:left w:val="nil"/>
              <w:bottom w:val="single" w:color="auto" w:sz="4" w:space="0"/>
              <w:right w:val="nil"/>
              <w:tl2br w:val="none" w:color="auto" w:sz="0" w:space="0"/>
              <w:tr2bl w:val="none" w:color="auto" w:sz="0" w:space="0"/>
            </w:tcBorders>
            <w:shd w:val="clear" w:color="auto" w:fill="auto"/>
            <w:vAlign w:val="bottom"/>
          </w:tcPr>
          <w:p>
            <w:pPr>
              <w:pStyle w:val="0"/>
              <w:snapToGrid w:val="0"/>
              <w:spacing w:line="0" w:lineRule="atLeast"/>
              <w:rPr>
                <w:rFonts w:hint="default" w:ascii="ＭＳ ゴシック" w:hAnsi="ＭＳ ゴシック" w:eastAsia="ＭＳ ゴシック"/>
              </w:rPr>
            </w:pPr>
          </w:p>
        </w:tc>
        <w:tc>
          <w:tcPr>
            <w:tcW w:w="794" w:type="dxa"/>
            <w:tcBorders>
              <w:top w:val="nil"/>
              <w:left w:val="nil"/>
              <w:bottom w:val="single" w:color="auto" w:sz="4" w:space="0"/>
              <w:right w:val="nil"/>
              <w:tl2br w:val="none" w:color="auto" w:sz="0" w:space="0"/>
              <w:tr2bl w:val="none" w:color="auto" w:sz="0" w:space="0"/>
            </w:tcBorders>
            <w:vAlign w:val="top"/>
          </w:tcPr>
          <w:p>
            <w:pPr>
              <w:pStyle w:val="0"/>
              <w:snapToGrid w:val="0"/>
              <w:spacing w:line="0" w:lineRule="atLeast"/>
              <w:rPr>
                <w:rFonts w:hint="default" w:ascii="ＭＳ ゴシック" w:hAnsi="ＭＳ ゴシック" w:eastAsia="ＭＳ ゴシック"/>
              </w:rPr>
            </w:pPr>
          </w:p>
        </w:tc>
        <w:tc>
          <w:tcPr>
            <w:tcW w:w="795" w:type="dxa"/>
            <w:tcBorders>
              <w:top w:val="nil"/>
              <w:left w:val="nil"/>
              <w:bottom w:val="single" w:color="auto" w:sz="4" w:space="0"/>
              <w:right w:val="nil"/>
              <w:tl2br w:val="none" w:color="auto" w:sz="0" w:space="0"/>
              <w:tr2bl w:val="none" w:color="auto" w:sz="0" w:space="0"/>
            </w:tcBorders>
            <w:vAlign w:val="top"/>
          </w:tcPr>
          <w:p>
            <w:pPr>
              <w:pStyle w:val="0"/>
              <w:snapToGrid w:val="0"/>
              <w:spacing w:line="0" w:lineRule="atLeast"/>
              <w:rPr>
                <w:rFonts w:hint="default" w:ascii="ＭＳ ゴシック" w:hAnsi="ＭＳ ゴシック" w:eastAsia="ＭＳ ゴシック"/>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5103" w:type="dxa"/>
            <w:gridSpan w:val="4"/>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left"/>
              <w:rPr>
                <w:rFonts w:hint="default" w:ascii="ＭＳ ゴシック" w:hAnsi="ＭＳ ゴシック" w:eastAsia="ＭＳ ゴシック"/>
                <w:kern w:val="0"/>
                <w:sz w:val="20"/>
              </w:rPr>
            </w:pP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30</w:t>
            </w:r>
            <w:r>
              <w:rPr>
                <w:rFonts w:hint="eastAsia" w:ascii="ＭＳ ゴシック" w:hAnsi="ＭＳ ゴシック" w:eastAsia="ＭＳ ゴシック"/>
                <w:spacing w:val="-4"/>
                <w:kern w:val="0"/>
                <w:sz w:val="20"/>
              </w:rPr>
              <w:t>年度</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元年度</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２年度</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３年度</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４年度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5103" w:type="dxa"/>
            <w:gridSpan w:val="4"/>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18"/>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１</w:t>
            </w: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相談支援事業</w:t>
            </w: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5"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18"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751" w:type="dxa"/>
            <w:gridSpan w:val="2"/>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①障害者相談支援事業</w:t>
            </w:r>
            <w:r>
              <w:rPr>
                <w:rFonts w:hint="eastAsia" w:ascii="ＭＳ ゴシック" w:hAnsi="ＭＳ ゴシック" w:eastAsia="ＭＳ ゴシック"/>
                <w:spacing w:val="0"/>
                <w:w w:val="90"/>
                <w:kern w:val="0"/>
                <w:sz w:val="20"/>
                <w:fitText w:val="1632" w:id="2"/>
              </w:rPr>
              <w:t>(</w:t>
            </w:r>
            <w:r>
              <w:rPr>
                <w:rFonts w:hint="eastAsia" w:ascii="ＭＳ ゴシック" w:hAnsi="ＭＳ ゴシック" w:eastAsia="ＭＳ ゴシック"/>
                <w:spacing w:val="0"/>
                <w:w w:val="90"/>
                <w:kern w:val="0"/>
                <w:sz w:val="20"/>
                <w:fitText w:val="1632" w:id="2"/>
              </w:rPr>
              <w:t>委託相談支援事業</w:t>
            </w:r>
            <w:r>
              <w:rPr>
                <w:rFonts w:hint="eastAsia" w:ascii="ＭＳ ゴシック" w:hAnsi="ＭＳ ゴシック" w:eastAsia="ＭＳ ゴシック"/>
                <w:spacing w:val="14"/>
                <w:w w:val="90"/>
                <w:kern w:val="0"/>
                <w:sz w:val="20"/>
                <w:fitText w:val="1632" w:id="2"/>
              </w:rPr>
              <w:t>)</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18" w:type="dxa"/>
            <w:vMerge w:val="restart"/>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751" w:type="dxa"/>
            <w:gridSpan w:val="2"/>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ind w:left="-67" w:leftChars="-30" w:right="-67" w:rightChars="-30"/>
              <w:rPr>
                <w:rFonts w:hint="default" w:ascii="ＭＳ ゴシック" w:hAnsi="ＭＳ ゴシック" w:eastAsia="ＭＳ ゴシック"/>
                <w:spacing w:val="-4"/>
                <w:sz w:val="20"/>
              </w:rPr>
            </w:pPr>
            <w:r>
              <w:rPr>
                <w:rFonts w:hint="eastAsia" w:ascii="ＭＳ ゴシック" w:hAnsi="ＭＳ ゴシック" w:eastAsia="ＭＳ ゴシック"/>
                <w:kern w:val="0"/>
                <w:sz w:val="20"/>
              </w:rPr>
              <w:t>②基幹相談支援センター等機能強化事業</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18" w:type="dxa"/>
            <w:vMerge w:val="continue"/>
            <w:tcBorders>
              <w:top w:val="none" w:color="auto" w:sz="0"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751" w:type="dxa"/>
            <w:gridSpan w:val="2"/>
            <w:vMerge w:val="continue"/>
            <w:tcBorders>
              <w:top w:val="none" w:color="auto" w:sz="0"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107</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118</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179</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209</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3969"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２</w:t>
            </w:r>
            <w:r>
              <w:rPr>
                <w:rFonts w:hint="default" w:ascii="ＭＳ ゴシック" w:hAnsi="ＭＳ ゴシック" w:eastAsia="ＭＳ ゴシック"/>
                <w:kern w:val="0"/>
                <w:sz w:val="20"/>
              </w:rPr>
              <w:t>)</w:t>
            </w:r>
            <w:r>
              <w:rPr>
                <w:rFonts w:hint="eastAsia" w:ascii="ＭＳ ゴシック" w:hAnsi="ＭＳ ゴシック" w:eastAsia="ＭＳ ゴシック"/>
                <w:kern w:val="0"/>
                <w:sz w:val="20"/>
              </w:rPr>
              <w:t>成年後見制度利用支援事業</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3</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5103" w:type="dxa"/>
            <w:gridSpan w:val="4"/>
            <w:tcBorders>
              <w:top w:val="single" w:color="auto" w:sz="4" w:space="0"/>
              <w:left w:val="single" w:color="auto" w:sz="4" w:space="0"/>
              <w:bottom w:val="nil"/>
              <w:right w:val="none" w:color="auto" w:sz="0"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３</w:t>
            </w: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意思疎通支援事業</w:t>
            </w: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5"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137" w:leftChars="-30" w:right="-67" w:rightChars="-30" w:hanging="204" w:hangingChars="10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①手話通訳者・要約筆記者派遣事業</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9</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9</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②手話通訳者設置事業</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5103" w:type="dxa"/>
            <w:gridSpan w:val="4"/>
            <w:tcBorders>
              <w:top w:val="single" w:color="auto" w:sz="4" w:space="0"/>
              <w:left w:val="single" w:color="auto" w:sz="4" w:space="0"/>
              <w:bottom w:val="nil"/>
              <w:right w:val="none" w:color="auto" w:sz="0"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４</w:t>
            </w: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日常生活用具給付等事業</w:t>
            </w: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5"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①介護・訓練支援用具</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kern w:val="0"/>
                <w:sz w:val="18"/>
              </w:rPr>
            </w:pPr>
            <w:r>
              <w:rPr>
                <w:rFonts w:hint="eastAsia" w:ascii="ＭＳ ゴシック" w:hAnsi="ＭＳ ゴシック" w:eastAsia="ＭＳ ゴシック"/>
                <w:spacing w:val="-4"/>
                <w:kern w:val="0"/>
                <w:sz w:val="18"/>
              </w:rPr>
              <w:t>実利用件数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②自立生活支援用具</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kern w:val="0"/>
                <w:sz w:val="18"/>
              </w:rPr>
            </w:pPr>
            <w:r>
              <w:rPr>
                <w:rFonts w:hint="eastAsia" w:ascii="ＭＳ ゴシック" w:hAnsi="ＭＳ ゴシック" w:eastAsia="ＭＳ ゴシック"/>
                <w:spacing w:val="-4"/>
                <w:kern w:val="0"/>
                <w:sz w:val="18"/>
              </w:rPr>
              <w:t>実利用件数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③在宅療養等支援用具</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kern w:val="0"/>
                <w:sz w:val="18"/>
              </w:rPr>
            </w:pPr>
            <w:r>
              <w:rPr>
                <w:rFonts w:hint="eastAsia" w:ascii="ＭＳ ゴシック" w:hAnsi="ＭＳ ゴシック" w:eastAsia="ＭＳ ゴシック"/>
                <w:spacing w:val="-4"/>
                <w:kern w:val="0"/>
                <w:sz w:val="18"/>
              </w:rPr>
              <w:t>実利用件数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④情報・意思疎通支援用具</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kern w:val="0"/>
                <w:sz w:val="18"/>
              </w:rPr>
            </w:pPr>
            <w:r>
              <w:rPr>
                <w:rFonts w:hint="eastAsia" w:ascii="ＭＳ ゴシック" w:hAnsi="ＭＳ ゴシック" w:eastAsia="ＭＳ ゴシック"/>
                <w:spacing w:val="-4"/>
                <w:kern w:val="0"/>
                <w:sz w:val="18"/>
              </w:rPr>
              <w:t>実利用件数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⑤排泄管理支援用具</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kern w:val="0"/>
                <w:sz w:val="18"/>
              </w:rPr>
            </w:pPr>
            <w:r>
              <w:rPr>
                <w:rFonts w:hint="eastAsia" w:ascii="ＭＳ ゴシック" w:hAnsi="ＭＳ ゴシック" w:eastAsia="ＭＳ ゴシック"/>
                <w:spacing w:val="-4"/>
                <w:kern w:val="0"/>
                <w:sz w:val="18"/>
              </w:rPr>
              <w:t>実利用件数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517</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504</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502</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549</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137" w:leftChars="-30" w:right="-67" w:rightChars="-30" w:hanging="204" w:hangingChars="10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⑥</w:t>
            </w:r>
            <w:r>
              <w:rPr>
                <w:rFonts w:hint="eastAsia" w:ascii="ＭＳ ゴシック" w:hAnsi="ＭＳ ゴシック" w:eastAsia="ＭＳ ゴシック"/>
                <w:spacing w:val="-4"/>
                <w:kern w:val="0"/>
                <w:sz w:val="20"/>
              </w:rPr>
              <w:t>居宅生活動作補助用具</w:t>
            </w:r>
            <w:r>
              <w:rPr>
                <w:rFonts w:hint="eastAsia" w:ascii="ＭＳ ゴシック" w:hAnsi="ＭＳ ゴシック" w:eastAsia="ＭＳ ゴシック"/>
                <w:spacing w:val="-4"/>
                <w:kern w:val="0"/>
                <w:sz w:val="20"/>
              </w:rPr>
              <w:t>(</w:t>
            </w:r>
            <w:r>
              <w:rPr>
                <w:rFonts w:hint="eastAsia" w:ascii="ＭＳ ゴシック" w:hAnsi="ＭＳ ゴシック" w:eastAsia="ＭＳ ゴシック"/>
                <w:spacing w:val="-4"/>
                <w:kern w:val="0"/>
                <w:sz w:val="20"/>
              </w:rPr>
              <w:t>住宅改修費</w:t>
            </w:r>
            <w:r>
              <w:rPr>
                <w:rFonts w:hint="eastAsia" w:ascii="ＭＳ ゴシック" w:hAnsi="ＭＳ ゴシック" w:eastAsia="ＭＳ ゴシック"/>
                <w:spacing w:val="-4"/>
                <w:kern w:val="0"/>
                <w:sz w:val="20"/>
              </w:rPr>
              <w:t>)</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kern w:val="0"/>
                <w:sz w:val="18"/>
              </w:rPr>
            </w:pPr>
            <w:r>
              <w:rPr>
                <w:rFonts w:hint="eastAsia" w:ascii="ＭＳ ゴシック" w:hAnsi="ＭＳ ゴシック" w:eastAsia="ＭＳ ゴシック"/>
                <w:spacing w:val="-4"/>
                <w:kern w:val="0"/>
                <w:sz w:val="18"/>
              </w:rPr>
              <w:t>実利用件数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bl>
    <w:p>
      <w:pPr>
        <w:pStyle w:val="62"/>
        <w:spacing w:before="37" w:beforeLines="0" w:beforeAutospacing="0" w:after="0" w:afterLines="0" w:afterAutospacing="0"/>
        <w:ind w:left="1172"/>
        <w:rPr>
          <w:rFonts w:hint="default"/>
        </w:rPr>
      </w:pPr>
      <w:r>
        <w:rPr>
          <w:rFonts w:hint="eastAsia"/>
        </w:rPr>
        <w:t>資料：保健福祉課</w:t>
      </w: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r>
        <w:rPr>
          <w:rFonts w:hint="default"/>
        </w:rPr>
        <w:br w:type="page"/>
      </w:r>
    </w:p>
    <w:p>
      <w:pPr>
        <w:pStyle w:val="61"/>
        <w:ind w:left="448" w:firstLine="214" w:firstLineChars="100"/>
        <w:rPr>
          <w:rFonts w:hint="default"/>
        </w:rPr>
      </w:pPr>
      <w:r>
        <w:rPr>
          <w:rFonts w:hint="eastAsia"/>
        </w:rPr>
        <w:t>「手話奉仕員養成研修事業」の受講修了者は令和元年度には</w:t>
      </w:r>
      <w:r>
        <w:rPr>
          <w:rFonts w:hint="eastAsia"/>
        </w:rPr>
        <w:t>9</w:t>
      </w:r>
      <w:r>
        <w:rPr>
          <w:rFonts w:hint="eastAsia"/>
        </w:rPr>
        <w:t>人でしたが、令和２年度・令和３年度は新型コロナウイルス感染症の影響で講座が開講できず</w:t>
      </w:r>
      <w:r>
        <w:rPr>
          <w:rFonts w:hint="eastAsia"/>
        </w:rPr>
        <w:t>0</w:t>
      </w:r>
      <w:r>
        <w:rPr>
          <w:rFonts w:hint="eastAsia"/>
        </w:rPr>
        <w:t>人となっています。令和４年度からは、講座を開講しておりますが、２年間かけて講座を実施することになったため、令和４年度は修了者がなく、</w:t>
      </w:r>
      <w:r>
        <w:rPr>
          <w:rFonts w:hint="eastAsia"/>
        </w:rPr>
        <w:t>0</w:t>
      </w:r>
      <w:r>
        <w:rPr>
          <w:rFonts w:hint="eastAsia"/>
        </w:rPr>
        <w:t>人となっています。</w:t>
      </w:r>
    </w:p>
    <w:p>
      <w:pPr>
        <w:pStyle w:val="61"/>
        <w:ind w:left="448" w:firstLine="214" w:firstLineChars="100"/>
        <w:rPr>
          <w:rFonts w:hint="default"/>
        </w:rPr>
      </w:pPr>
      <w:r>
        <w:rPr>
          <w:rFonts w:hint="eastAsia"/>
        </w:rPr>
        <w:t>「移動支援事業」の利用者は、平成</w:t>
      </w:r>
      <w:r>
        <w:rPr>
          <w:rFonts w:hint="eastAsia"/>
        </w:rPr>
        <w:t>30</w:t>
      </w:r>
      <w:r>
        <w:rPr>
          <w:rFonts w:hint="eastAsia"/>
        </w:rPr>
        <w:t>年度以降微減で推移しています。</w:t>
      </w:r>
    </w:p>
    <w:p>
      <w:pPr>
        <w:pStyle w:val="61"/>
        <w:ind w:left="448" w:firstLine="214" w:firstLineChars="100"/>
        <w:rPr>
          <w:rFonts w:hint="default"/>
        </w:rPr>
      </w:pPr>
      <w:r>
        <w:rPr>
          <w:rFonts w:hint="eastAsia"/>
        </w:rPr>
        <w:t>「地域活動支援センター機能強化事業」は町内事業所</w:t>
      </w:r>
      <w:r>
        <w:rPr>
          <w:rFonts w:hint="eastAsia"/>
        </w:rPr>
        <w:t>(1</w:t>
      </w:r>
      <w:r>
        <w:rPr>
          <w:rFonts w:hint="eastAsia"/>
        </w:rPr>
        <w:t>か所</w:t>
      </w:r>
      <w:r>
        <w:rPr>
          <w:rFonts w:hint="eastAsia"/>
        </w:rPr>
        <w:t>)</w:t>
      </w:r>
      <w:r>
        <w:rPr>
          <w:rFonts w:hint="eastAsia"/>
        </w:rPr>
        <w:t>に委託しており、利用者は平成</w:t>
      </w:r>
      <w:r>
        <w:rPr>
          <w:rFonts w:hint="eastAsia"/>
        </w:rPr>
        <w:t>30</w:t>
      </w:r>
      <w:r>
        <w:rPr>
          <w:rFonts w:hint="eastAsia"/>
        </w:rPr>
        <w:t>年度の</w:t>
      </w:r>
      <w:r>
        <w:rPr>
          <w:rFonts w:hint="eastAsia"/>
        </w:rPr>
        <w:t>14</w:t>
      </w:r>
      <w:r>
        <w:rPr>
          <w:rFonts w:hint="eastAsia"/>
        </w:rPr>
        <w:t>人から減少傾向にあり、令和４年度では</w:t>
      </w:r>
      <w:r>
        <w:rPr>
          <w:rFonts w:hint="eastAsia"/>
        </w:rPr>
        <w:t>10</w:t>
      </w:r>
      <w:r>
        <w:rPr>
          <w:rFonts w:hint="eastAsia"/>
        </w:rPr>
        <w:t>人となっています。</w:t>
      </w:r>
    </w:p>
    <w:p>
      <w:pPr>
        <w:pStyle w:val="61"/>
        <w:ind w:left="448" w:firstLine="214" w:firstLineChars="100"/>
        <w:rPr>
          <w:rFonts w:hint="default"/>
        </w:rPr>
      </w:pPr>
      <w:r>
        <w:rPr>
          <w:rFonts w:hint="eastAsia"/>
        </w:rPr>
        <w:t>「日中一時支援事業」の委託事業所数は平成</w:t>
      </w:r>
      <w:r>
        <w:rPr>
          <w:rFonts w:hint="eastAsia"/>
        </w:rPr>
        <w:t>30</w:t>
      </w:r>
      <w:r>
        <w:rPr>
          <w:rFonts w:hint="eastAsia"/>
        </w:rPr>
        <w:t>年度以降</w:t>
      </w:r>
      <w:r>
        <w:rPr>
          <w:rFonts w:hint="eastAsia"/>
        </w:rPr>
        <w:t>11</w:t>
      </w:r>
      <w:r>
        <w:rPr>
          <w:rFonts w:hint="eastAsia"/>
        </w:rPr>
        <w:t>～</w:t>
      </w:r>
      <w:r>
        <w:rPr>
          <w:rFonts w:hint="eastAsia"/>
        </w:rPr>
        <w:t>17</w:t>
      </w:r>
      <w:r>
        <w:rPr>
          <w:rFonts w:hint="eastAsia"/>
        </w:rPr>
        <w:t>か所で推移し、利用者は減少傾向で推移し、令和４年度は</w:t>
      </w:r>
      <w:r>
        <w:rPr>
          <w:rFonts w:hint="eastAsia"/>
        </w:rPr>
        <w:t>18</w:t>
      </w:r>
      <w:r>
        <w:rPr>
          <w:rFonts w:hint="eastAsia"/>
        </w:rPr>
        <w:t>人となっています。</w:t>
      </w:r>
    </w:p>
    <w:p>
      <w:pPr>
        <w:pStyle w:val="61"/>
        <w:ind w:left="448" w:firstLine="214" w:firstLineChars="100"/>
        <w:rPr>
          <w:rFonts w:hint="default"/>
        </w:rPr>
      </w:pPr>
      <w:r>
        <w:rPr>
          <w:rFonts w:hint="eastAsia"/>
        </w:rPr>
        <w:t>「レクリエーション活動等支援事業」は平成</w:t>
      </w:r>
      <w:r>
        <w:rPr>
          <w:rFonts w:hint="eastAsia"/>
        </w:rPr>
        <w:t>30</w:t>
      </w:r>
      <w:r>
        <w:rPr>
          <w:rFonts w:hint="eastAsia"/>
        </w:rPr>
        <w:t>年度から委託し、軽スポーツなどを行っており、利用者は令和４年度で</w:t>
      </w:r>
      <w:r>
        <w:rPr>
          <w:rFonts w:hint="eastAsia"/>
        </w:rPr>
        <w:t>9</w:t>
      </w:r>
      <w:r>
        <w:rPr>
          <w:rFonts w:hint="eastAsia"/>
        </w:rPr>
        <w:t>人となっており、横ばい傾向で推移しています。</w:t>
      </w:r>
    </w:p>
    <w:p>
      <w:pPr>
        <w:pStyle w:val="61"/>
        <w:ind w:left="448" w:firstLine="214" w:firstLineChars="100"/>
        <w:rPr>
          <w:rFonts w:hint="default"/>
        </w:rPr>
      </w:pPr>
      <w:r>
        <w:rPr>
          <w:rFonts w:hint="eastAsia"/>
        </w:rPr>
        <w:t>「声の広報等事業」は町社会福祉協議会に委託しており、利用者は平成</w:t>
      </w:r>
      <w:r>
        <w:rPr>
          <w:rFonts w:hint="eastAsia"/>
        </w:rPr>
        <w:t>30</w:t>
      </w:r>
      <w:r>
        <w:rPr>
          <w:rFonts w:hint="eastAsia"/>
        </w:rPr>
        <w:t>年度以降</w:t>
      </w:r>
      <w:r>
        <w:rPr>
          <w:rFonts w:hint="eastAsia"/>
        </w:rPr>
        <w:t>16</w:t>
      </w:r>
      <w:r>
        <w:rPr>
          <w:rFonts w:hint="eastAsia"/>
        </w:rPr>
        <w:t>人の横ばいで推移しています。また、「福祉機器リサイクル事業」も町社会福祉協議会に委託しています。</w:t>
      </w:r>
    </w:p>
    <w:p>
      <w:pPr>
        <w:pStyle w:val="61"/>
        <w:ind w:left="448" w:firstLine="214" w:firstLineChars="100"/>
        <w:rPr>
          <w:rFonts w:hint="default"/>
        </w:rPr>
      </w:pPr>
      <w:r>
        <w:rPr>
          <w:rFonts w:hint="eastAsia"/>
        </w:rPr>
        <w:t>「自動車運転免許取得費・改造費助成事業」は平成</w:t>
      </w:r>
      <w:r>
        <w:rPr>
          <w:rFonts w:hint="eastAsia"/>
        </w:rPr>
        <w:t>29</w:t>
      </w:r>
      <w:r>
        <w:rPr>
          <w:rFonts w:hint="eastAsia"/>
        </w:rPr>
        <w:t>年度以降利用がありませんでしたが、令和２年度に２件、令和３年度、令和４年度は１件助成しました。</w:t>
      </w:r>
    </w:p>
    <w:p>
      <w:pPr>
        <w:pStyle w:val="61"/>
        <w:ind w:left="448" w:firstLine="214" w:firstLineChars="100"/>
        <w:rPr>
          <w:rFonts w:hint="default"/>
        </w:rPr>
      </w:pPr>
      <w:r>
        <w:rPr>
          <w:rFonts w:hint="eastAsia"/>
        </w:rPr>
        <w:t>「医療的ケア児等の協議の場の設置」については、令和元年度に設置しました。</w:t>
      </w:r>
    </w:p>
    <w:p>
      <w:pPr>
        <w:pStyle w:val="61"/>
        <w:spacing w:line="0" w:lineRule="atLeast"/>
        <w:ind w:left="448" w:firstLine="164" w:firstLineChars="100"/>
        <w:rPr>
          <w:rFonts w:hint="default"/>
          <w:sz w:val="16"/>
        </w:rPr>
      </w:pPr>
    </w:p>
    <w:tbl>
      <w:tblPr>
        <w:tblStyle w:val="11"/>
        <w:tblW w:w="0" w:type="auto"/>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4033"/>
        <w:gridCol w:w="1118"/>
        <w:gridCol w:w="787"/>
        <w:gridCol w:w="787"/>
        <w:gridCol w:w="782"/>
        <w:gridCol w:w="782"/>
        <w:gridCol w:w="782"/>
      </w:tblGrid>
      <w:tr>
        <w:trPr/>
        <w:tc>
          <w:tcPr>
            <w:tcW w:w="5151" w:type="dxa"/>
            <w:gridSpan w:val="2"/>
            <w:tcBorders>
              <w:top w:val="nil"/>
              <w:left w:val="nil"/>
              <w:bottom w:val="single" w:color="auto" w:sz="4" w:space="0"/>
              <w:right w:val="nil"/>
              <w:tl2br w:val="none" w:color="auto" w:sz="0" w:space="0"/>
              <w:tr2bl w:val="none" w:color="auto" w:sz="0" w:space="0"/>
            </w:tcBorders>
            <w:shd w:val="clear" w:color="auto" w:fill="auto"/>
            <w:vAlign w:val="bottom"/>
          </w:tcPr>
          <w:p>
            <w:pPr>
              <w:pStyle w:val="46"/>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rPr>
              <w:t>【地域生活支援事業の実施状況</w:t>
            </w:r>
            <w:r>
              <w:rPr>
                <w:rFonts w:hint="eastAsia" w:ascii="ＭＳ ゴシック" w:hAnsi="ＭＳ ゴシック" w:eastAsia="ＭＳ ゴシック"/>
              </w:rPr>
              <w:t>-2</w:t>
            </w:r>
            <w:r>
              <w:rPr>
                <w:rFonts w:hint="eastAsia" w:ascii="ＭＳ ゴシック" w:hAnsi="ＭＳ ゴシック" w:eastAsia="ＭＳ ゴシック"/>
              </w:rPr>
              <w:t>】</w:t>
            </w:r>
          </w:p>
        </w:tc>
        <w:tc>
          <w:tcPr>
            <w:tcW w:w="787" w:type="dxa"/>
            <w:tcBorders>
              <w:top w:val="nil"/>
              <w:left w:val="nil"/>
              <w:bottom w:val="single" w:color="auto" w:sz="4" w:space="0"/>
              <w:right w:val="nil"/>
              <w:tl2br w:val="none" w:color="auto" w:sz="0" w:space="0"/>
              <w:tr2bl w:val="none" w:color="auto" w:sz="0" w:space="0"/>
            </w:tcBorders>
            <w:shd w:val="clear" w:color="auto" w:fill="auto"/>
            <w:tcMar>
              <w:top w:w="0" w:type="dxa"/>
              <w:left w:w="85" w:type="dxa"/>
              <w:bottom w:w="0" w:type="dxa"/>
              <w:right w:w="85" w:type="dxa"/>
            </w:tcMar>
            <w:vAlign w:val="bottom"/>
          </w:tcPr>
          <w:p>
            <w:pPr>
              <w:pStyle w:val="0"/>
              <w:snapToGrid w:val="0"/>
              <w:spacing w:line="0" w:lineRule="atLeast"/>
              <w:rPr>
                <w:rFonts w:hint="default" w:ascii="ＭＳ ゴシック" w:hAnsi="ＭＳ ゴシック" w:eastAsia="ＭＳ ゴシック"/>
              </w:rPr>
            </w:pPr>
          </w:p>
        </w:tc>
        <w:tc>
          <w:tcPr>
            <w:tcW w:w="787" w:type="dxa"/>
            <w:tcBorders>
              <w:top w:val="nil"/>
              <w:left w:val="nil"/>
              <w:bottom w:val="single" w:color="auto" w:sz="4" w:space="0"/>
              <w:right w:val="nil"/>
              <w:tl2br w:val="none" w:color="auto" w:sz="0" w:space="0"/>
              <w:tr2bl w:val="none" w:color="auto" w:sz="0" w:space="0"/>
            </w:tcBorders>
            <w:shd w:val="clear" w:color="auto" w:fill="auto"/>
            <w:vAlign w:val="bottom"/>
          </w:tcPr>
          <w:p>
            <w:pPr>
              <w:pStyle w:val="0"/>
              <w:snapToGrid w:val="0"/>
              <w:spacing w:line="0" w:lineRule="atLeast"/>
              <w:rPr>
                <w:rFonts w:hint="default" w:ascii="ＭＳ ゴシック" w:hAnsi="ＭＳ ゴシック" w:eastAsia="ＭＳ ゴシック"/>
              </w:rPr>
            </w:pPr>
          </w:p>
        </w:tc>
        <w:tc>
          <w:tcPr>
            <w:tcW w:w="782" w:type="dxa"/>
            <w:tcBorders>
              <w:top w:val="nil"/>
              <w:left w:val="nil"/>
              <w:bottom w:val="single" w:color="auto" w:sz="4" w:space="0"/>
              <w:right w:val="nil"/>
              <w:tl2br w:val="none" w:color="auto" w:sz="0" w:space="0"/>
              <w:tr2bl w:val="none" w:color="auto" w:sz="0" w:space="0"/>
            </w:tcBorders>
            <w:shd w:val="clear" w:color="auto" w:fill="auto"/>
            <w:vAlign w:val="bottom"/>
          </w:tcPr>
          <w:p>
            <w:pPr>
              <w:pStyle w:val="0"/>
              <w:snapToGrid w:val="0"/>
              <w:spacing w:line="0" w:lineRule="atLeast"/>
              <w:rPr>
                <w:rFonts w:hint="default" w:ascii="ＭＳ ゴシック" w:hAnsi="ＭＳ ゴシック" w:eastAsia="ＭＳ ゴシック"/>
              </w:rPr>
            </w:pPr>
          </w:p>
        </w:tc>
        <w:tc>
          <w:tcPr>
            <w:tcW w:w="782" w:type="dxa"/>
            <w:tcBorders>
              <w:top w:val="nil"/>
              <w:left w:val="nil"/>
              <w:bottom w:val="single" w:color="auto" w:sz="4" w:space="0"/>
              <w:right w:val="nil"/>
              <w:tl2br w:val="none" w:color="auto" w:sz="0" w:space="0"/>
              <w:tr2bl w:val="none" w:color="auto" w:sz="0" w:space="0"/>
            </w:tcBorders>
            <w:vAlign w:val="top"/>
          </w:tcPr>
          <w:p>
            <w:pPr>
              <w:pStyle w:val="0"/>
              <w:snapToGrid w:val="0"/>
              <w:spacing w:line="0" w:lineRule="atLeast"/>
              <w:rPr>
                <w:rFonts w:hint="default" w:ascii="ＭＳ ゴシック" w:hAnsi="ＭＳ ゴシック" w:eastAsia="ＭＳ ゴシック"/>
              </w:rPr>
            </w:pPr>
          </w:p>
        </w:tc>
        <w:tc>
          <w:tcPr>
            <w:tcW w:w="782" w:type="dxa"/>
            <w:tcBorders>
              <w:top w:val="nil"/>
              <w:left w:val="nil"/>
              <w:bottom w:val="single" w:color="auto" w:sz="4" w:space="0"/>
              <w:right w:val="nil"/>
              <w:tl2br w:val="none" w:color="auto" w:sz="0" w:space="0"/>
              <w:tr2bl w:val="none" w:color="auto" w:sz="0" w:space="0"/>
            </w:tcBorders>
            <w:vAlign w:val="top"/>
          </w:tcPr>
          <w:p>
            <w:pPr>
              <w:pStyle w:val="0"/>
              <w:snapToGrid w:val="0"/>
              <w:spacing w:line="0" w:lineRule="atLeast"/>
              <w:rPr>
                <w:rFonts w:hint="default" w:ascii="ＭＳ ゴシック" w:hAnsi="ＭＳ ゴシック" w:eastAsia="ＭＳ ゴシック"/>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333" w:hRule="atLeast"/>
        </w:trPr>
        <w:tc>
          <w:tcPr>
            <w:tcW w:w="5151" w:type="dxa"/>
            <w:gridSpan w:val="2"/>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left"/>
              <w:rPr>
                <w:rFonts w:hint="default" w:ascii="ＭＳ ゴシック" w:hAnsi="ＭＳ ゴシック" w:eastAsia="ＭＳ ゴシック"/>
                <w:kern w:val="0"/>
                <w:sz w:val="20"/>
              </w:rPr>
            </w:pP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30</w:t>
            </w:r>
            <w:r>
              <w:rPr>
                <w:rFonts w:hint="eastAsia" w:ascii="ＭＳ ゴシック" w:hAnsi="ＭＳ ゴシック" w:eastAsia="ＭＳ ゴシック"/>
                <w:spacing w:val="-4"/>
                <w:kern w:val="0"/>
                <w:sz w:val="20"/>
              </w:rPr>
              <w:t>年度</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元年度</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２年度</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３年度</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４年度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333" w:hRule="atLeast"/>
        </w:trPr>
        <w:tc>
          <w:tcPr>
            <w:tcW w:w="40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５</w:t>
            </w: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手話奉仕員養成研修事業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登録者数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2" w:hRule="atLeast"/>
        </w:trPr>
        <w:tc>
          <w:tcPr>
            <w:tcW w:w="403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６</w:t>
            </w: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移動支援事業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38</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1" w:hRule="atLeast"/>
        </w:trPr>
        <w:tc>
          <w:tcPr>
            <w:tcW w:w="403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0"/>
                <w:w w:val="85"/>
                <w:kern w:val="0"/>
                <w:sz w:val="18"/>
                <w:fitText w:val="920" w:id="3"/>
              </w:rPr>
              <w:t>延利用時間</w:t>
            </w:r>
            <w:r>
              <w:rPr>
                <w:rFonts w:hint="eastAsia" w:ascii="ＭＳ ゴシック" w:hAnsi="ＭＳ ゴシック" w:eastAsia="ＭＳ ゴシック"/>
                <w:spacing w:val="4"/>
                <w:w w:val="85"/>
                <w:kern w:val="0"/>
                <w:sz w:val="18"/>
                <w:fitText w:val="920" w:id="3"/>
              </w:rPr>
              <w:t>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2,423</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1,972</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1,404</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1,390</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2" w:hRule="atLeast"/>
        </w:trPr>
        <w:tc>
          <w:tcPr>
            <w:tcW w:w="403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７</w:t>
            </w:r>
            <w:r>
              <w:rPr>
                <w:rFonts w:hint="default" w:ascii="ＭＳ ゴシック" w:hAnsi="ＭＳ ゴシック" w:eastAsia="ＭＳ ゴシック"/>
                <w:kern w:val="0"/>
                <w:sz w:val="20"/>
              </w:rPr>
              <w:t>)</w:t>
            </w:r>
            <w:r>
              <w:rPr>
                <w:rFonts w:hint="eastAsia" w:ascii="ＭＳ ゴシック" w:hAnsi="ＭＳ ゴシック" w:eastAsia="ＭＳ ゴシック"/>
                <w:kern w:val="0"/>
                <w:sz w:val="20"/>
              </w:rPr>
              <w:t>地域活動支援センター機能強化事業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1" w:hRule="atLeast"/>
        </w:trPr>
        <w:tc>
          <w:tcPr>
            <w:tcW w:w="403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2" w:hRule="atLeast"/>
        </w:trPr>
        <w:tc>
          <w:tcPr>
            <w:tcW w:w="403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８</w:t>
            </w: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日中一時支援事業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1" w:hRule="atLeast"/>
        </w:trPr>
        <w:tc>
          <w:tcPr>
            <w:tcW w:w="403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19</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2" w:hRule="atLeast"/>
        </w:trPr>
        <w:tc>
          <w:tcPr>
            <w:tcW w:w="403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default" w:ascii="ＭＳ ゴシック" w:hAnsi="ＭＳ ゴシック" w:eastAsia="ＭＳ ゴシック"/>
                <w:kern w:val="0"/>
                <w:sz w:val="20"/>
              </w:rPr>
              <w:t>９</w:t>
            </w: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レクリエーション活動等支援</w:t>
            </w:r>
            <w:r>
              <w:rPr>
                <w:rFonts w:hint="default" w:ascii="ＭＳ ゴシック" w:hAnsi="ＭＳ ゴシック" w:eastAsia="ＭＳ ゴシック"/>
                <w:kern w:val="0"/>
                <w:sz w:val="20"/>
              </w:rPr>
              <w:t>事業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1" w:hRule="atLeast"/>
        </w:trPr>
        <w:tc>
          <w:tcPr>
            <w:tcW w:w="403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2" w:hRule="atLeast"/>
        </w:trPr>
        <w:tc>
          <w:tcPr>
            <w:tcW w:w="403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(10)</w:t>
            </w:r>
            <w:r>
              <w:rPr>
                <w:rFonts w:hint="eastAsia" w:ascii="ＭＳ ゴシック" w:hAnsi="ＭＳ ゴシック" w:eastAsia="ＭＳ ゴシック"/>
                <w:kern w:val="0"/>
                <w:sz w:val="20"/>
              </w:rPr>
              <w:t>声の広報等事業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1" w:hRule="atLeast"/>
        </w:trPr>
        <w:tc>
          <w:tcPr>
            <w:tcW w:w="403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2" w:hRule="atLeast"/>
        </w:trPr>
        <w:tc>
          <w:tcPr>
            <w:tcW w:w="403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(11)</w:t>
            </w:r>
            <w:r>
              <w:rPr>
                <w:rFonts w:hint="eastAsia" w:ascii="ＭＳ ゴシック" w:hAnsi="ＭＳ ゴシック" w:eastAsia="ＭＳ ゴシック"/>
                <w:kern w:val="0"/>
                <w:sz w:val="20"/>
              </w:rPr>
              <w:t>福祉機器リサイクル事業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1" w:hRule="atLeast"/>
        </w:trPr>
        <w:tc>
          <w:tcPr>
            <w:tcW w:w="403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112</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120</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121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132</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2" w:hRule="atLeast"/>
        </w:trPr>
        <w:tc>
          <w:tcPr>
            <w:tcW w:w="403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(1</w:t>
            </w:r>
            <w:r>
              <w:rPr>
                <w:rFonts w:hint="default" w:ascii="ＭＳ ゴシック" w:hAnsi="ＭＳ ゴシック" w:eastAsia="ＭＳ ゴシック"/>
                <w:kern w:val="0"/>
                <w:sz w:val="20"/>
              </w:rPr>
              <w:t>2</w:t>
            </w:r>
            <w:r>
              <w:rPr>
                <w:rFonts w:hint="eastAsia" w:ascii="ＭＳ ゴシック" w:hAnsi="ＭＳ ゴシック" w:eastAsia="ＭＳ ゴシック"/>
                <w:kern w:val="0"/>
                <w:sz w:val="20"/>
              </w:rPr>
              <w:t>)</w:t>
            </w:r>
            <w:r>
              <w:rPr>
                <w:rFonts w:hint="eastAsia" w:ascii="ＭＳ ゴシック" w:hAnsi="ＭＳ ゴシック" w:eastAsia="ＭＳ ゴシック"/>
                <w:spacing w:val="10"/>
                <w:w w:val="86"/>
                <w:kern w:val="0"/>
                <w:sz w:val="20"/>
                <w:fitText w:val="3468" w:id="4"/>
              </w:rPr>
              <w:t>自動車運転免許取得費・改造費助成事</w:t>
            </w:r>
            <w:r>
              <w:rPr>
                <w:rFonts w:hint="eastAsia" w:ascii="ＭＳ ゴシック" w:hAnsi="ＭＳ ゴシック" w:eastAsia="ＭＳ ゴシック"/>
                <w:spacing w:val="16"/>
                <w:w w:val="86"/>
                <w:kern w:val="0"/>
                <w:sz w:val="20"/>
                <w:fitText w:val="3468" w:id="4"/>
              </w:rPr>
              <w:t>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1" w:hRule="atLeast"/>
        </w:trPr>
        <w:tc>
          <w:tcPr>
            <w:tcW w:w="403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spacing w:val="-10"/>
                <w:sz w:val="20"/>
              </w:rPr>
            </w:pPr>
            <w:r>
              <w:rPr>
                <w:rFonts w:hint="eastAsia" w:ascii="ＭＳ ゴシック" w:hAnsi="ＭＳ ゴシック" w:eastAsia="ＭＳ ゴシック"/>
                <w:spacing w:val="-10"/>
                <w:sz w:val="20"/>
              </w:rPr>
              <w:t>実績なし</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spacing w:val="-10"/>
                <w:sz w:val="20"/>
              </w:rPr>
            </w:pPr>
            <w:r>
              <w:rPr>
                <w:rFonts w:hint="eastAsia" w:ascii="ＭＳ ゴシック" w:hAnsi="ＭＳ ゴシック" w:eastAsia="ＭＳ ゴシック"/>
                <w:spacing w:val="-10"/>
                <w:sz w:val="20"/>
              </w:rPr>
              <w:t>実績なし</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335" w:hRule="atLeast"/>
        </w:trPr>
        <w:tc>
          <w:tcPr>
            <w:tcW w:w="40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(13)</w:t>
            </w:r>
            <w:r>
              <w:rPr>
                <w:rFonts w:hint="eastAsia" w:ascii="ＭＳ ゴシック" w:hAnsi="ＭＳ ゴシック" w:eastAsia="ＭＳ ゴシック"/>
                <w:kern w:val="0"/>
                <w:sz w:val="20"/>
              </w:rPr>
              <w:t>医療的ケア児等の協議の場の設置</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設置数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39"/>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bl>
    <w:p>
      <w:pPr>
        <w:pStyle w:val="62"/>
        <w:spacing w:before="37" w:beforeLines="0" w:beforeAutospacing="0" w:after="0" w:afterLines="0" w:afterAutospacing="0"/>
        <w:ind w:left="1172"/>
        <w:rPr>
          <w:rFonts w:hint="default"/>
        </w:rPr>
      </w:pPr>
      <w:r>
        <w:rPr>
          <w:rFonts w:hint="eastAsia"/>
        </w:rPr>
        <w:t>資料：保健福祉課</w:t>
      </w:r>
    </w:p>
    <w:p>
      <w:pPr>
        <w:pStyle w:val="61"/>
        <w:ind w:left="448" w:firstLine="214" w:firstLineChars="100"/>
        <w:rPr>
          <w:rFonts w:hint="default"/>
        </w:rPr>
      </w:pPr>
    </w:p>
    <w:p>
      <w:pPr>
        <w:pStyle w:val="61"/>
        <w:ind w:left="448" w:firstLine="214" w:firstLineChars="100"/>
        <w:rPr>
          <w:rFonts w:hint="default"/>
        </w:rPr>
      </w:pPr>
    </w:p>
    <w:p>
      <w:pPr>
        <w:pStyle w:val="61"/>
        <w:ind w:left="448" w:firstLine="214" w:firstLineChars="100"/>
        <w:rPr>
          <w:rFonts w:hint="default"/>
        </w:rPr>
      </w:pPr>
    </w:p>
    <w:p>
      <w:pPr>
        <w:pStyle w:val="0"/>
        <w:widowControl w:val="1"/>
        <w:jc w:val="left"/>
        <w:rPr>
          <w:rFonts w:hint="default" w:ascii="ＭＳ ゴシック" w:hAnsi="ＭＳ ゴシック" w:eastAsia="ＭＳ ゴシック"/>
          <w:sz w:val="36"/>
        </w:rPr>
      </w:pPr>
      <w:r>
        <w:rPr>
          <w:rFonts w:hint="default"/>
        </w:rPr>
        <w:br w:type="page"/>
      </w:r>
    </w:p>
    <w:p>
      <w:pPr>
        <w:pStyle w:val="22"/>
        <w:spacing w:after="296" w:afterLines="0" w:afterAutospacing="0"/>
        <w:rPr>
          <w:rFonts w:hint="default"/>
        </w:rPr>
      </w:pPr>
      <w:bookmarkEnd w:id="16"/>
      <w:bookmarkStart w:id="22" w:name="_Toc162263660"/>
      <w:bookmarkStart w:id="23" w:name="_Toc505592283"/>
      <w:r>
        <w:rPr>
          <w:rFonts w:hint="default"/>
        </w:rPr>
        <w:t>第</w:t>
      </w:r>
      <w:r>
        <w:rPr>
          <w:rFonts w:hint="eastAsia"/>
        </w:rPr>
        <w:t>３</w:t>
      </w:r>
      <w:r>
        <w:rPr>
          <w:rFonts w:hint="default"/>
        </w:rPr>
        <w:t>章　</w:t>
      </w:r>
      <w:r>
        <w:rPr>
          <w:rFonts w:hint="eastAsia"/>
        </w:rPr>
        <w:t>計画の基本的な考え方</w:t>
      </w:r>
      <w:bookmarkEnd w:id="22"/>
      <w:bookmarkEnd w:id="23"/>
      <w:bookmarkStart w:id="24" w:name="_Toc505592288"/>
      <w:bookmarkStart w:id="25" w:name="_Toc416340574"/>
    </w:p>
    <w:p>
      <w:pPr>
        <w:pStyle w:val="80"/>
        <w:spacing w:after="92" w:afterLines="0" w:afterAutospacing="0"/>
        <w:rPr>
          <w:rFonts w:hint="default"/>
        </w:rPr>
      </w:pPr>
      <w:bookmarkStart w:id="26" w:name="_Toc162263661"/>
      <w:bookmarkStart w:id="27" w:name="_Toc505592284"/>
      <w:r>
        <w:rPr>
          <w:rFonts w:hint="eastAsia"/>
        </w:rPr>
        <w:t>１．基本理念</w:t>
      </w:r>
      <w:bookmarkEnd w:id="26"/>
      <w:bookmarkEnd w:id="27"/>
    </w:p>
    <w:p>
      <w:pPr>
        <w:pStyle w:val="0"/>
        <w:ind w:left="224" w:leftChars="100" w:firstLine="214" w:firstLineChars="100"/>
        <w:rPr>
          <w:rFonts w:hint="default"/>
          <w:sz w:val="21"/>
        </w:rPr>
      </w:pPr>
      <w:r>
        <w:rPr>
          <w:rFonts w:hint="eastAsia"/>
          <w:sz w:val="21"/>
        </w:rPr>
        <w:t>本計画の基本理念は、前計画の理念を継承し、障がいの有無にかかわらず、すべての人がともに支え合い、社会参加しながら、地域社会の中でその人らしく暮らしていくことができる「地域共生社会」が実現されるように、次の理念を掲げます。</w:t>
      </w:r>
    </w:p>
    <w:p>
      <w:pPr>
        <w:pStyle w:val="19"/>
        <w:spacing w:line="0" w:lineRule="atLeast"/>
        <w:ind w:left="336" w:firstLine="214"/>
        <w:rPr>
          <w:rFonts w:hint="default"/>
        </w:rPr>
      </w:pPr>
    </w:p>
    <w:p>
      <w:pPr>
        <w:pStyle w:val="19"/>
        <w:spacing w:line="0" w:lineRule="atLeast"/>
        <w:ind w:left="336" w:firstLine="164"/>
        <w:rPr>
          <w:rFonts w:hint="default"/>
          <w:sz w:val="16"/>
        </w:rPr>
      </w:pPr>
      <w:r>
        <w:rPr>
          <w:rFonts w:hint="eastAsia"/>
          <w:sz w:val="16"/>
        </w:rPr>
        <mc:AlternateContent>
          <mc:Choice Requires="wps">
            <w:drawing>
              <wp:anchor distT="0" distB="0" distL="114300" distR="114300" simplePos="0" relativeHeight="178" behindDoc="1" locked="1" layoutInCell="1" hidden="0" allowOverlap="1">
                <wp:simplePos x="0" y="0"/>
                <wp:positionH relativeFrom="column">
                  <wp:posOffset>222885</wp:posOffset>
                </wp:positionH>
                <wp:positionV relativeFrom="paragraph">
                  <wp:posOffset>8255</wp:posOffset>
                </wp:positionV>
                <wp:extent cx="5857875" cy="790575"/>
                <wp:effectExtent l="9525" t="8255" r="101600" b="93345"/>
                <wp:wrapNone/>
                <wp:docPr id="1133" name="角丸四角形 1063"/>
                <a:graphic xmlns:a="http://schemas.openxmlformats.org/drawingml/2006/main">
                  <a:graphicData uri="http://schemas.microsoft.com/office/word/2010/wordprocessingShape">
                    <wps:wsp>
                      <wps:cNvPr id="1133" name="角丸四角形 1063"/>
                      <wps:cNvSpPr>
                        <a:spLocks noChangeArrowheads="1"/>
                      </wps:cNvSpPr>
                      <wps:spPr>
                        <a:xfrm>
                          <a:off x="0" y="0"/>
                          <a:ext cx="5857875" cy="790575"/>
                        </a:xfrm>
                        <a:prstGeom prst="roundRect">
                          <a:avLst>
                            <a:gd name="adj" fmla="val 16667"/>
                          </a:avLst>
                        </a:prstGeom>
                        <a:solidFill>
                          <a:schemeClr val="bg1">
                            <a:lumMod val="85000"/>
                          </a:schemeClr>
                        </a:solidFill>
                        <a:ln w="9525">
                          <a:solidFill>
                            <a:srgbClr val="000000"/>
                          </a:solidFill>
                          <a:round/>
                          <a:headEnd/>
                          <a:tailEnd/>
                        </a:ln>
                        <a:effectLst>
                          <a:outerShdw dist="89803" dir="2700000" algn="ctr" rotWithShape="0">
                            <a:srgbClr val="333333"/>
                          </a:outerShdw>
                        </a:effectLst>
                      </wps:spPr>
                      <wps:bodyPr/>
                    </wps:wsp>
                  </a:graphicData>
                </a:graphic>
              </wp:anchor>
            </w:drawing>
          </mc:Choice>
          <mc:Fallback>
            <w:pict>
              <v:roundrect id="角丸四角形 1063" style="mso-wrap-distance-right:9pt;mso-wrap-distance-bottom:0pt;margin-top:0.65pt;mso-position-vertical-relative:text;mso-position-horizontal-relative:text;position:absolute;height:62.25pt;mso-wrap-distance-top:0pt;width:461.25pt;mso-wrap-distance-left:9pt;margin-left:17.55pt;z-index:-503316302;" o:spid="_x0000_s1133" o:allowincell="t" o:allowoverlap="t" filled="t" fillcolor="#d9d9d9 [2732]" stroked="t" strokecolor="#000000" strokeweight="0.75pt" o:spt="2" arcsize="10923f">
                <v:fill/>
                <v:stroke filltype="solid"/>
                <v:shadow on="t" color="#333333" offset="5pt,5pt" matrix="65536f,,,65536f,,"/>
                <v:textbox style="layout-flow:horizontal;"/>
                <v:imagedata o:title=""/>
                <w10:wrap type="none" anchorx="text" anchory="text"/>
                <w10:anchorlock/>
              </v:roundrect>
            </w:pict>
          </mc:Fallback>
        </mc:AlternateContent>
      </w:r>
    </w:p>
    <w:p>
      <w:pPr>
        <w:pStyle w:val="19"/>
        <w:spacing w:after="70" w:afterLines="20" w:afterAutospacing="0"/>
        <w:ind w:left="336" w:firstLine="0" w:firstLineChars="0"/>
        <w:jc w:val="center"/>
        <w:rPr>
          <w:rFonts w:hint="default" w:ascii="ＭＳ ゴシック" w:hAnsi="ＭＳ ゴシック" w:eastAsia="ＭＳ ゴシック"/>
          <w:sz w:val="27"/>
        </w:rPr>
      </w:pPr>
      <w:r>
        <w:rPr>
          <w:rFonts w:hint="eastAsia" w:ascii="ＭＳ ゴシック" w:hAnsi="ＭＳ ゴシック" w:eastAsia="ＭＳ ゴシック"/>
          <w:sz w:val="27"/>
        </w:rPr>
        <w:t>『“ちむぐくるの支えあい”』</w:t>
      </w:r>
    </w:p>
    <w:p>
      <w:pPr>
        <w:pStyle w:val="19"/>
        <w:spacing w:after="70" w:afterLines="20" w:afterAutospacing="0"/>
        <w:ind w:left="336" w:firstLine="0" w:firstLineChars="0"/>
        <w:jc w:val="center"/>
        <w:rPr>
          <w:rFonts w:hint="default" w:ascii="ＭＳ ゴシック" w:hAnsi="ＭＳ ゴシック" w:eastAsia="ＭＳ ゴシック"/>
          <w:sz w:val="27"/>
        </w:rPr>
      </w:pPr>
      <w:r>
        <w:rPr>
          <w:rFonts w:hint="eastAsia" w:ascii="ＭＳ ゴシック" w:hAnsi="ＭＳ ゴシック" w:eastAsia="ＭＳ ゴシック"/>
          <w:sz w:val="27"/>
        </w:rPr>
        <w:t>～</w:t>
      </w:r>
      <w:r>
        <w:rPr>
          <w:rFonts w:hint="eastAsia" w:ascii="ＭＳ ゴシック" w:hAnsi="ＭＳ ゴシック" w:eastAsia="ＭＳ ゴシック"/>
          <w:sz w:val="27"/>
        </w:rPr>
        <w:t xml:space="preserve"> </w:t>
      </w:r>
      <w:r>
        <w:rPr>
          <w:rFonts w:hint="eastAsia" w:ascii="ＭＳ ゴシック" w:hAnsi="ＭＳ ゴシック" w:eastAsia="ＭＳ ゴシック"/>
          <w:sz w:val="27"/>
        </w:rPr>
        <w:t>ともにつくり、ともにあゆむ、自立と社会参加のまち　南風原</w:t>
      </w:r>
      <w:r>
        <w:rPr>
          <w:rFonts w:hint="eastAsia" w:ascii="ＭＳ ゴシック" w:hAnsi="ＭＳ ゴシック" w:eastAsia="ＭＳ ゴシック"/>
          <w:sz w:val="27"/>
        </w:rPr>
        <w:t xml:space="preserve"> </w:t>
      </w:r>
      <w:r>
        <w:rPr>
          <w:rFonts w:hint="eastAsia" w:ascii="ＭＳ ゴシック" w:hAnsi="ＭＳ ゴシック" w:eastAsia="ＭＳ ゴシック"/>
          <w:sz w:val="27"/>
        </w:rPr>
        <w:t>～</w:t>
      </w:r>
    </w:p>
    <w:p>
      <w:pPr>
        <w:pStyle w:val="19"/>
        <w:spacing w:line="0" w:lineRule="atLeast"/>
        <w:ind w:left="336" w:firstLine="214"/>
        <w:rPr>
          <w:rFonts w:hint="default"/>
        </w:rPr>
      </w:pPr>
    </w:p>
    <w:p>
      <w:pPr>
        <w:pStyle w:val="19"/>
        <w:spacing w:line="0" w:lineRule="atLeast"/>
        <w:ind w:left="336" w:firstLine="164"/>
        <w:rPr>
          <w:rFonts w:hint="default"/>
          <w:sz w:val="16"/>
        </w:rPr>
      </w:pPr>
    </w:p>
    <w:p>
      <w:pPr>
        <w:pStyle w:val="19"/>
        <w:spacing w:line="0" w:lineRule="atLeast"/>
        <w:ind w:left="336" w:firstLine="164"/>
        <w:rPr>
          <w:rFonts w:hint="default"/>
          <w:sz w:val="16"/>
        </w:rPr>
      </w:pPr>
    </w:p>
    <w:p>
      <w:pPr>
        <w:pStyle w:val="0"/>
        <w:ind w:left="224" w:leftChars="100" w:firstLine="214" w:firstLineChars="100"/>
        <w:rPr>
          <w:rFonts w:hint="default"/>
          <w:sz w:val="21"/>
        </w:rPr>
      </w:pPr>
      <w:r>
        <w:rPr>
          <w:rFonts w:hint="eastAsia"/>
          <w:sz w:val="21"/>
        </w:rPr>
        <w:t>障がい者の自立と社会参加を促進するために、地域社会の誰もが｢必要かつ、合理的な配慮｣について考えるとともに、互いに支えあうことで、障がいの有無にかかわらず、誰もが誇りと尊厳を持って、共に暮らせる地域社会の実現を目指すことが重要となります。</w:t>
      </w:r>
    </w:p>
    <w:p>
      <w:pPr>
        <w:pStyle w:val="0"/>
        <w:ind w:left="224" w:leftChars="100" w:firstLine="214" w:firstLineChars="100"/>
        <w:rPr>
          <w:rFonts w:hint="default"/>
          <w:sz w:val="21"/>
        </w:rPr>
      </w:pPr>
      <w:r>
        <w:rPr>
          <w:rFonts w:hint="eastAsia"/>
          <w:sz w:val="21"/>
        </w:rPr>
        <w:t>その観点から、本計画では共生社会、自立支援を基底とした、本町の目指すべき姿を｢“ちむぐくるの支えあい”～ともにつくり、ともにあゆむ、自立と社会参加のまち　南風原～｣とします。</w:t>
      </w:r>
    </w:p>
    <w:p>
      <w:pPr>
        <w:pStyle w:val="19"/>
        <w:spacing w:line="0" w:lineRule="atLeast"/>
        <w:ind w:left="336" w:firstLine="164"/>
        <w:rPr>
          <w:rFonts w:hint="default"/>
          <w:sz w:val="16"/>
        </w:rPr>
      </w:pPr>
    </w:p>
    <w:p>
      <w:pPr>
        <w:pStyle w:val="19"/>
        <w:ind w:left="560" w:leftChars="250" w:firstLine="214"/>
        <w:rPr>
          <w:rFonts w:hint="default"/>
        </w:rPr>
      </w:pPr>
      <w:r>
        <w:rPr>
          <w:rFonts w:hint="default"/>
        </w:rPr>
        <mc:AlternateContent>
          <mc:Choice Requires="wpg">
            <w:drawing>
              <wp:anchor distT="0" distB="0" distL="114300" distR="114300" simplePos="0" relativeHeight="48" behindDoc="0" locked="0" layoutInCell="1" hidden="0" allowOverlap="1">
                <wp:simplePos x="0" y="0"/>
                <wp:positionH relativeFrom="column">
                  <wp:posOffset>318135</wp:posOffset>
                </wp:positionH>
                <wp:positionV relativeFrom="paragraph">
                  <wp:posOffset>10160</wp:posOffset>
                </wp:positionV>
                <wp:extent cx="5829300" cy="1000125"/>
                <wp:effectExtent l="635" t="0" r="29845" b="10795"/>
                <wp:wrapNone/>
                <wp:docPr id="1134" name="グループ化 405"/>
                <a:graphic xmlns:a="http://schemas.openxmlformats.org/drawingml/2006/main">
                  <a:graphicData uri="http://schemas.microsoft.com/office/word/2010/wordprocessingGroup">
                    <wpg:wgp>
                      <wpg:cNvGrpSpPr/>
                      <wpg:grpSpPr>
                        <a:xfrm>
                          <a:off x="0" y="0"/>
                          <a:ext cx="5829300" cy="1000125"/>
                          <a:chOff x="0" y="0"/>
                          <a:chExt cx="5829300" cy="1085850"/>
                        </a:xfrm>
                      </wpg:grpSpPr>
                      <wps:wsp>
                        <wps:cNvPr id="1135" name="テキスト ボックス 404"/>
                        <wps:cNvSpPr txBox="1"/>
                        <wps:spPr>
                          <a:xfrm>
                            <a:off x="0" y="133350"/>
                            <a:ext cx="5829300" cy="952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19"/>
                                <w:spacing w:before="175" w:beforeLines="50" w:beforeAutospacing="0" w:line="340" w:lineRule="exact"/>
                                <w:ind w:left="112" w:leftChars="50" w:firstLine="97" w:firstLineChars="50"/>
                                <w:rPr>
                                  <w:rFonts w:hint="default" w:ascii="ＭＳ ゴシック" w:hAnsi="ＭＳ ゴシック" w:eastAsia="ＭＳ ゴシック"/>
                                  <w:sz w:val="19"/>
                                </w:rPr>
                              </w:pPr>
                              <w:r>
                                <w:rPr>
                                  <w:rFonts w:hint="eastAsia" w:ascii="ＭＳ ゴシック" w:hAnsi="ＭＳ ゴシック" w:eastAsia="ＭＳ ゴシック"/>
                                  <w:sz w:val="19"/>
                                </w:rPr>
                                <w:t>“ちむぐくる”とは、沖縄の方言で｢人の心に宿る、より深い思い｣を指すと言われていますが、人によって解釈が多少異なります。本計画では、｢思いやり、優しさ、助け合いの精神、他者の苦しみを共有することのできる心｣などを表す言葉として使います。</w:t>
                              </w:r>
                            </w:p>
                            <w:p>
                              <w:pPr>
                                <w:pStyle w:val="0"/>
                                <w:spacing w:before="175" w:beforeLines="50" w:beforeAutospacing="0"/>
                                <w:rPr>
                                  <w:rFonts w:hint="default"/>
                                </w:rPr>
                              </w:pPr>
                            </w:p>
                          </w:txbxContent>
                        </wps:txbx>
                        <wps:bodyPr rot="0" vertOverflow="overflow" horzOverflow="overflow" wrap="square" numCol="1" spcCol="0" rtlCol="0" fromWordArt="0" anchor="t" anchorCtr="0" forceAA="0" compatLnSpc="1"/>
                      </wps:wsp>
                      <wps:wsp>
                        <wps:cNvPr id="1136" name="テキスト ボックス 402"/>
                        <wps:cNvSpPr txBox="1"/>
                        <wps:spPr>
                          <a:xfrm>
                            <a:off x="38100" y="0"/>
                            <a:ext cx="1562100" cy="29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9"/>
                                <w:spacing w:line="0" w:lineRule="atLeast"/>
                                <w:ind w:left="-112" w:leftChars="-50" w:firstLine="0" w:firstLineChars="0"/>
                                <w:rPr>
                                  <w:rFonts w:hint="default" w:ascii="ＭＳ ゴシック" w:hAnsi="ＭＳ ゴシック" w:eastAsia="ＭＳ ゴシック"/>
                                </w:rPr>
                              </w:pPr>
                              <w:r>
                                <w:rPr>
                                  <w:rFonts w:hint="eastAsia" w:ascii="ＭＳ ゴシック" w:hAnsi="ＭＳ ゴシック" w:eastAsia="ＭＳ ゴシック"/>
                                </w:rPr>
                                <w:t>「ちむぐくる」とは</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405" style="mso-wrap-distance-right:9pt;mso-wrap-distance-bottom:0pt;margin-top:0.8pt;mso-position-vertical-relative:text;mso-position-horizontal-relative:text;position:absolute;height:78.75pt;mso-wrap-distance-top:0pt;width:459pt;mso-wrap-distance-left:9pt;margin-left:25.05pt;z-index:48;" coordsize="5829300,1085850" coordorigin="0,0" o:spid="_x0000_s1134" o:allowincell="t" o:allowoverlap="t">
                <v:shapetype id="_x0000_t202" coordsize="21600,21600" o:spt="202" path="m,l,21600r21600,l21600,xe">
                  <v:stroke joinstyle="miter"/>
                  <v:path gradientshapeok="t" o:connecttype="rect"/>
                </v:shapetype>
                <v:shape id="テキスト ボックス 404" style="height:952790;width:5829300;top:133350;left:0;position:absolute;" o:spid="_x0000_s1135" filled="t" fillcolor="#ffffff [3201]" stroked="t" strokecolor="#000000" strokeweight="0.5pt" o:spt="202" type="#_x0000_t202">
                  <v:fill/>
                  <v:stroke filltype="solid"/>
                  <v:textbox style="layout-flow:horizontal;">
                    <w:txbxContent>
                      <w:p>
                        <w:pPr>
                          <w:pStyle w:val="19"/>
                          <w:spacing w:before="175" w:beforeLines="50" w:beforeAutospacing="0" w:line="340" w:lineRule="exact"/>
                          <w:ind w:left="112" w:leftChars="50" w:firstLine="97" w:firstLineChars="50"/>
                          <w:rPr>
                            <w:rFonts w:hint="default" w:ascii="ＭＳ ゴシック" w:hAnsi="ＭＳ ゴシック" w:eastAsia="ＭＳ ゴシック"/>
                            <w:sz w:val="19"/>
                          </w:rPr>
                        </w:pPr>
                        <w:r>
                          <w:rPr>
                            <w:rFonts w:hint="eastAsia" w:ascii="ＭＳ ゴシック" w:hAnsi="ＭＳ ゴシック" w:eastAsia="ＭＳ ゴシック"/>
                            <w:sz w:val="19"/>
                          </w:rPr>
                          <w:t>“ちむぐくる”とは、沖縄の方言で｢人の心に宿る、より深い思い｣を指すと言われていますが、人によって解釈が多少異なります。本計画では、｢思いやり、優しさ、助け合いの精神、他者の苦しみを共有することのできる心｣などを表す言葉として使います。</w:t>
                        </w:r>
                      </w:p>
                      <w:p>
                        <w:pPr>
                          <w:pStyle w:val="0"/>
                          <w:spacing w:before="175" w:beforeLines="50" w:beforeAutospacing="0"/>
                          <w:rPr>
                            <w:rFonts w:hint="default"/>
                          </w:rPr>
                        </w:pPr>
                      </w:p>
                    </w:txbxContent>
                  </v:textbox>
                  <v:imagedata o:title=""/>
                  <w10:wrap type="none" anchorx="text" anchory="text"/>
                </v:shape>
                <v:shape id="テキスト ボックス 402" style="height:295075;width:1562100;top:0;left:38100;v-text-anchor:middle;position:absolute;" o:spid="_x0000_s1136" filled="t" fillcolor="#ffffff [3201]" stroked="f" strokeweight="0.5pt" o:spt="202" type="#_x0000_t202">
                  <v:fill/>
                  <v:textbox style="layout-flow:horizontal;">
                    <w:txbxContent>
                      <w:p>
                        <w:pPr>
                          <w:pStyle w:val="19"/>
                          <w:spacing w:line="0" w:lineRule="atLeast"/>
                          <w:ind w:left="-112" w:leftChars="-50" w:firstLine="0" w:firstLineChars="0"/>
                          <w:rPr>
                            <w:rFonts w:hint="default" w:ascii="ＭＳ ゴシック" w:hAnsi="ＭＳ ゴシック" w:eastAsia="ＭＳ ゴシック"/>
                          </w:rPr>
                        </w:pPr>
                        <w:r>
                          <w:rPr>
                            <w:rFonts w:hint="eastAsia" w:ascii="ＭＳ ゴシック" w:hAnsi="ＭＳ ゴシック" w:eastAsia="ＭＳ ゴシック"/>
                          </w:rPr>
                          <w:t>「ちむぐくる」とは</w:t>
                        </w:r>
                      </w:p>
                    </w:txbxContent>
                  </v:textbox>
                  <v:imagedata o:title=""/>
                  <w10:wrap type="none" anchorx="text" anchory="text"/>
                </v:shape>
                <w10:wrap type="none" anchorx="text" anchory="text"/>
              </v:group>
            </w:pict>
          </mc:Fallback>
        </mc:AlternateContent>
      </w:r>
    </w:p>
    <w:p>
      <w:pPr>
        <w:pStyle w:val="19"/>
        <w:spacing w:line="0" w:lineRule="atLeast"/>
        <w:ind w:left="336" w:firstLine="164"/>
        <w:rPr>
          <w:rFonts w:hint="default"/>
          <w:sz w:val="16"/>
        </w:rPr>
      </w:pPr>
    </w:p>
    <w:p>
      <w:pPr>
        <w:pStyle w:val="19"/>
        <w:spacing w:line="0" w:lineRule="atLeast"/>
        <w:ind w:left="336" w:firstLine="214"/>
        <w:rPr>
          <w:rFonts w:hint="default"/>
        </w:rPr>
      </w:pPr>
    </w:p>
    <w:p>
      <w:pPr>
        <w:pStyle w:val="19"/>
        <w:spacing w:line="0" w:lineRule="atLeast"/>
        <w:ind w:left="336" w:firstLine="214"/>
        <w:rPr>
          <w:rFonts w:hint="default"/>
        </w:rPr>
      </w:pPr>
    </w:p>
    <w:p>
      <w:pPr>
        <w:pStyle w:val="19"/>
        <w:spacing w:line="0" w:lineRule="atLeast"/>
        <w:ind w:left="336" w:firstLine="214"/>
        <w:rPr>
          <w:rFonts w:hint="default"/>
        </w:rPr>
      </w:pPr>
    </w:p>
    <w:p>
      <w:pPr>
        <w:pStyle w:val="19"/>
        <w:spacing w:line="0" w:lineRule="atLeast"/>
        <w:ind w:left="336" w:firstLine="214"/>
        <w:rPr>
          <w:rFonts w:hint="default"/>
        </w:rPr>
      </w:pPr>
    </w:p>
    <w:p>
      <w:pPr>
        <w:pStyle w:val="19"/>
        <w:spacing w:line="0" w:lineRule="atLeast"/>
        <w:ind w:left="336" w:firstLine="184"/>
        <w:rPr>
          <w:rFonts w:hint="default"/>
          <w:sz w:val="18"/>
        </w:rPr>
      </w:pPr>
    </w:p>
    <w:p>
      <w:pPr>
        <w:pStyle w:val="19"/>
        <w:ind w:left="336"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&gt;&gt;</w:t>
      </w:r>
      <w:r>
        <w:rPr>
          <w:rFonts w:hint="eastAsia" w:ascii="ＭＳ ゴシック" w:hAnsi="ＭＳ ゴシック" w:eastAsia="ＭＳ ゴシック"/>
          <w:sz w:val="24"/>
        </w:rPr>
        <w:t>　支えあい　</w:t>
      </w:r>
      <w:r>
        <w:rPr>
          <w:rFonts w:hint="eastAsia" w:ascii="ＭＳ ゴシック" w:hAnsi="ＭＳ ゴシック" w:eastAsia="ＭＳ ゴシック"/>
          <w:sz w:val="24"/>
        </w:rPr>
        <w:t>&lt;&lt;</w:t>
      </w:r>
    </w:p>
    <w:p>
      <w:pPr>
        <w:pStyle w:val="19"/>
        <w:spacing w:line="340" w:lineRule="exact"/>
        <w:ind w:left="560" w:leftChars="250" w:firstLine="214"/>
        <w:rPr>
          <w:rFonts w:hint="default"/>
        </w:rPr>
      </w:pPr>
      <w:r>
        <w:rPr>
          <w:rFonts w:hint="eastAsia"/>
        </w:rPr>
        <w:t>地域住民が、障がいをもつことは誰にでも起こり得ることであると受け止め、地域のみんなで支え合い、障がい者が暮らしやすい社会の実現を目指します。また、障がいの有無にかかわらず、互いに支え合うことにより、誰もが心豊かに暮らせるまちづくりを推進します。</w:t>
      </w:r>
    </w:p>
    <w:p>
      <w:pPr>
        <w:pStyle w:val="19"/>
        <w:spacing w:line="0" w:lineRule="atLeast"/>
        <w:ind w:left="336" w:firstLine="184"/>
        <w:rPr>
          <w:rFonts w:hint="default"/>
          <w:sz w:val="18"/>
        </w:rPr>
      </w:pPr>
    </w:p>
    <w:p>
      <w:pPr>
        <w:pStyle w:val="19"/>
        <w:ind w:left="336"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&gt;&gt;</w:t>
      </w:r>
      <w:r>
        <w:rPr>
          <w:rFonts w:hint="eastAsia" w:ascii="ＭＳ ゴシック" w:hAnsi="ＭＳ ゴシック" w:eastAsia="ＭＳ ゴシック"/>
          <w:sz w:val="24"/>
        </w:rPr>
        <w:t>　自立と社会参加　</w:t>
      </w:r>
      <w:r>
        <w:rPr>
          <w:rFonts w:hint="eastAsia" w:ascii="ＭＳ ゴシック" w:hAnsi="ＭＳ ゴシック" w:eastAsia="ＭＳ ゴシック"/>
          <w:sz w:val="24"/>
        </w:rPr>
        <w:t>&lt;&lt;</w:t>
      </w:r>
    </w:p>
    <w:p>
      <w:pPr>
        <w:pStyle w:val="0"/>
        <w:ind w:left="448" w:leftChars="200" w:firstLine="214" w:firstLineChars="100"/>
        <w:rPr>
          <w:rFonts w:hint="default"/>
        </w:rPr>
      </w:pPr>
      <w:r>
        <w:rPr>
          <w:rFonts w:hint="eastAsia"/>
          <w:sz w:val="21"/>
        </w:rPr>
        <w:t>障がい者の自己選択と自己決定に基づく主体的な生き方を尊重し、基本的な人権が守られ、等しく社会活動に参加できるまちづくりを推進します。</w:t>
      </w:r>
      <w:r>
        <w:rPr>
          <w:rFonts w:hint="default"/>
        </w:rPr>
        <w:br w:type="page"/>
      </w:r>
    </w:p>
    <w:p>
      <w:pPr>
        <w:pStyle w:val="80"/>
        <w:spacing w:after="92" w:afterLines="0" w:afterAutospacing="0"/>
        <w:rPr>
          <w:rFonts w:hint="default"/>
        </w:rPr>
      </w:pPr>
      <w:bookmarkStart w:id="28" w:name="_Toc162263662"/>
      <w:bookmarkStart w:id="29" w:name="_Toc416340554"/>
      <w:bookmarkStart w:id="30" w:name="_Toc505592285"/>
      <w:r>
        <w:rPr>
          <w:rFonts w:hint="eastAsia"/>
        </w:rPr>
        <w:t>２．基本目標</w:t>
      </w:r>
      <w:bookmarkEnd w:id="28"/>
      <w:bookmarkEnd w:id="29"/>
      <w:bookmarkEnd w:id="30"/>
    </w:p>
    <w:p>
      <w:pPr>
        <w:pStyle w:val="0"/>
        <w:ind w:left="224" w:leftChars="100" w:firstLine="210" w:firstLineChars="100"/>
        <w:rPr>
          <w:rFonts w:hint="default"/>
          <w:spacing w:val="-2"/>
          <w:sz w:val="21"/>
        </w:rPr>
      </w:pPr>
      <w:r>
        <w:rPr>
          <w:rFonts w:hint="eastAsia"/>
          <w:spacing w:val="-2"/>
          <w:sz w:val="21"/>
        </w:rPr>
        <w:t>基本理念に基づき、次の３つの基本目標を定め、基本目標に沿って施策・事業を推進していきます。</w:t>
      </w:r>
    </w:p>
    <w:p>
      <w:pPr>
        <w:pStyle w:val="0"/>
        <w:ind w:left="448" w:leftChars="200" w:firstLine="214" w:firstLineChars="100"/>
        <w:rPr>
          <w:rFonts w:hint="default"/>
          <w:sz w:val="21"/>
        </w:rPr>
      </w:pPr>
    </w:p>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１）安心して共に暮らせるまち</w:t>
      </w:r>
    </w:p>
    <w:p>
      <w:pPr>
        <w:pStyle w:val="19"/>
        <w:ind w:left="448" w:leftChars="200" w:firstLine="214"/>
        <w:rPr>
          <w:rFonts w:hint="default"/>
          <w:spacing w:val="-2"/>
        </w:rPr>
      </w:pPr>
      <w:r>
        <w:rPr>
          <w:rFonts w:hint="eastAsia"/>
        </w:rPr>
        <w:t>障がいの有無にかかわらず共に暮らせる「地域共生社会の実現」に向けて、障がい者が安心して暮らせる地域づくりを進めるために、障がいや障がい者への地域理解を深めるとともに、障がい者差別解消法に基づき、障がい者への差別をなくすための法の主旨や</w:t>
      </w:r>
      <w:r>
        <w:rPr>
          <w:rFonts w:hint="eastAsia"/>
          <w:vertAlign w:val="superscript"/>
        </w:rPr>
        <w:t>※</w:t>
      </w:r>
      <w:r>
        <w:rPr>
          <w:rFonts w:hint="eastAsia"/>
        </w:rPr>
        <w:t>合理的配慮の提供について、普及啓発を図ります。また、障がい者の権利擁護・虐待の防止に取り組むほか、情報提供、意思疎通支援の充実及び、世帯が抱えている困りごとに対して包括的に支援する相談支援体制づくりを図ります。</w:t>
      </w:r>
    </w:p>
    <w:p>
      <w:pPr>
        <w:pStyle w:val="19"/>
        <w:ind w:left="448" w:leftChars="200" w:firstLine="214"/>
        <w:rPr>
          <w:rFonts w:hint="default"/>
          <w:u w:val="single" w:color="auto"/>
        </w:rPr>
      </w:pPr>
      <w:r>
        <w:rPr>
          <w:rFonts w:hint="eastAsia"/>
        </w:rPr>
        <w:t>保育や教育分野においては、障がいのある子や発達の気になる子、一人ひとりが自らの能力に応じて自分らしく安心して保育・教育が受けられるよう、子どもの個性を理解し、適切な支援を行うことができるように特別支援保育、特別支援教育を推進します。また、保育・教育にかかわる人の資質向上を図るとともに、関係機関の連携を強化し、正しい理解のもと適切な支援が行えるよう取り組みます。</w:t>
      </w:r>
    </w:p>
    <w:p>
      <w:pPr>
        <w:pStyle w:val="19"/>
        <w:ind w:left="448" w:leftChars="200" w:firstLine="214"/>
        <w:rPr>
          <w:rFonts w:hint="default"/>
        </w:rPr>
      </w:pPr>
      <w:r>
        <w:rPr>
          <w:rFonts w:hint="eastAsia"/>
        </w:rPr>
        <w:t>さらに、犯罪被害や災害時に対する障がい者の不安軽減を図るために、防犯対策や防災対策の充実及び感染症拡大防止対策を徹底します。</w:t>
      </w:r>
    </w:p>
    <w:p>
      <w:pPr>
        <w:pStyle w:val="19"/>
        <w:ind w:left="448" w:leftChars="200" w:firstLine="214"/>
        <w:rPr>
          <w:rFonts w:hint="default"/>
        </w:rPr>
      </w:pPr>
    </w:p>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２）健やかで自立を支えるまち</w:t>
      </w:r>
    </w:p>
    <w:p>
      <w:pPr>
        <w:pStyle w:val="19"/>
        <w:ind w:left="448" w:leftChars="200" w:firstLine="214"/>
        <w:rPr>
          <w:rFonts w:hint="default"/>
        </w:rPr>
      </w:pPr>
      <w:r>
        <w:rPr>
          <w:rFonts w:hint="eastAsia"/>
        </w:rPr>
        <w:t>乳幼児の障がいや発達の遅れなどを早期に発見し、早期療育を行うことは大切であり、児童発達支援と療育体制づくり及び疾病予防を図るなど、保健・医療対策の充実を図る必要があります。そのため、一人ひとりのライフステージを通して、疾病等による障がいの発生を予防することや早期の治療・療育等につないでいくために、関係機関等との連携を深め、母子保健事業や生活習慣病等の疾病予防対策及び精神保健福祉の充実を図ります。</w:t>
      </w:r>
    </w:p>
    <w:p>
      <w:pPr>
        <w:pStyle w:val="19"/>
        <w:ind w:left="448" w:leftChars="200" w:firstLine="214"/>
        <w:rPr>
          <w:rFonts w:hint="default"/>
          <w:spacing w:val="-2"/>
        </w:rPr>
      </w:pPr>
      <w:r>
        <w:rPr>
          <w:rFonts w:hint="default"/>
        </w:rPr>
        <w:t>また、</w:t>
      </w:r>
      <w:r>
        <w:rPr>
          <w:rFonts w:hint="eastAsia"/>
        </w:rPr>
        <w:t>日常生活において、</w:t>
      </w:r>
      <w:r>
        <w:rPr>
          <w:rFonts w:hint="default"/>
        </w:rPr>
        <w:t>自立し</w:t>
      </w:r>
      <w:r>
        <w:rPr>
          <w:rFonts w:hint="eastAsia"/>
        </w:rPr>
        <w:t>ていくために、</w:t>
      </w:r>
      <w:r>
        <w:rPr>
          <w:rFonts w:hint="default"/>
        </w:rPr>
        <w:t>障害福祉サービスや地域生活支援事業及び障害児通所支援等の</w:t>
      </w:r>
      <w:r>
        <w:rPr>
          <w:rFonts w:hint="eastAsia"/>
        </w:rPr>
        <w:t>サービス提供の</w:t>
      </w:r>
      <w:r>
        <w:rPr>
          <w:rFonts w:hint="default"/>
        </w:rPr>
        <w:t>充実に取り組みます。さらに、</w:t>
      </w:r>
      <w:r>
        <w:rPr>
          <w:rFonts w:hint="eastAsia"/>
          <w:spacing w:val="-2"/>
        </w:rPr>
        <w:t>医療費助成や手当等の支給により、経済的な負担を軽減するほか、その他の生活支援を提供します。</w:t>
      </w:r>
    </w:p>
    <w:p>
      <w:pPr>
        <w:pStyle w:val="19"/>
        <w:ind w:left="448" w:leftChars="200" w:firstLine="214"/>
        <w:rPr>
          <w:rFonts w:hint="default"/>
        </w:rPr>
      </w:pPr>
    </w:p>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３）住み良い環境と生きがいの持てるまち</w:t>
      </w:r>
    </w:p>
    <w:p>
      <w:pPr>
        <w:pStyle w:val="19"/>
        <w:ind w:left="448" w:leftChars="200" w:firstLine="210"/>
        <w:rPr>
          <w:rFonts w:hint="default"/>
        </w:rPr>
      </w:pPr>
      <w:r>
        <w:rPr>
          <w:rFonts w:hint="eastAsia"/>
          <w:spacing w:val="-2"/>
        </w:rPr>
        <w:t>障がい者が自由に外出し社会参加が進むよう、円滑な移動や外出しやすい環境づくり及び外出・移動に対する支援を提供します。また、</w:t>
      </w:r>
      <w:r>
        <w:rPr>
          <w:rFonts w:hint="eastAsia"/>
        </w:rPr>
        <w:t>障がい者が生きがいを持ち充実した生活が送れるよう、生活を豊かにするスポーツやサークル活動及び文化活動等の振興を図るほか、働く意欲のある障がい者の適性と能力に応じた就労支援を行います。</w:t>
      </w:r>
    </w:p>
    <w:p>
      <w:pPr>
        <w:pStyle w:val="0"/>
        <w:spacing w:line="0" w:lineRule="atLeast"/>
        <w:rPr>
          <w:rFonts w:hint="default"/>
          <w:sz w:val="20"/>
        </w:rPr>
      </w:pPr>
    </w:p>
    <w:p>
      <w:pPr>
        <w:pStyle w:val="0"/>
        <w:spacing w:line="0" w:lineRule="atLeast"/>
        <w:rPr>
          <w:rFonts w:hint="default"/>
          <w:sz w:val="14"/>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76"/>
              <w:spacing w:before="74" w:beforeLines="0" w:beforeAutospacing="0"/>
              <w:ind w:left="224"/>
              <w:rPr>
                <w:rFonts w:hint="default"/>
                <w:color w:val="auto"/>
              </w:rPr>
            </w:pPr>
            <w:r>
              <w:rPr>
                <w:rFonts w:hint="eastAsia"/>
                <w:color w:val="auto"/>
              </w:rPr>
              <w:t>※</w:t>
            </w:r>
            <w:r>
              <w:rPr>
                <w:rFonts w:hint="eastAsia"/>
                <w:color w:val="auto"/>
              </w:rPr>
              <w:t xml:space="preserve"> </w:t>
            </w:r>
            <w:r>
              <w:rPr>
                <w:rFonts w:hint="eastAsia"/>
                <w:color w:val="auto"/>
              </w:rPr>
              <w:t>合理的配慮</w:t>
            </w:r>
          </w:p>
          <w:p>
            <w:pPr>
              <w:pStyle w:val="75"/>
              <w:ind w:left="448" w:firstLine="204"/>
              <w:rPr>
                <w:rFonts w:hint="default"/>
                <w:color w:val="auto"/>
              </w:rPr>
            </w:pPr>
            <w:r>
              <w:rPr>
                <w:rFonts w:hint="eastAsia"/>
                <w:color w:val="auto"/>
              </w:rPr>
              <w:t>障がいのある人が日常生活や社会生活を送る上で妨げとなる社会的障壁を取り除くために、状況に応じて行われる配慮。筆談や読み上げによる意志の疎通、車いすでの移動の手助け、学校・公共施設等のバリアフリーなど、過度の負担にならない範囲で提供されるべきものをいいます。</w:t>
            </w:r>
          </w:p>
        </w:tc>
      </w:tr>
    </w:tbl>
    <w:p>
      <w:pPr>
        <w:pStyle w:val="80"/>
        <w:spacing w:after="92" w:afterLines="0" w:afterAutospacing="0"/>
        <w:rPr>
          <w:rFonts w:hint="default"/>
        </w:rPr>
      </w:pPr>
      <w:bookmarkStart w:id="31" w:name="_Toc162263663"/>
      <w:bookmarkStart w:id="32" w:name="_Toc505592286"/>
      <w:r>
        <w:rPr>
          <w:rFonts w:hint="eastAsia"/>
        </w:rPr>
        <w:t>３．計画の基本的視点</w:t>
      </w:r>
      <w:bookmarkEnd w:id="31"/>
      <w:bookmarkEnd w:id="32"/>
    </w:p>
    <w:p>
      <w:pPr>
        <w:pStyle w:val="0"/>
        <w:ind w:left="224" w:leftChars="100" w:firstLine="210" w:firstLineChars="100"/>
        <w:rPr>
          <w:rFonts w:hint="default"/>
          <w:spacing w:val="-2"/>
          <w:sz w:val="21"/>
        </w:rPr>
      </w:pPr>
      <w:r>
        <w:rPr>
          <w:rFonts w:hint="eastAsia"/>
          <w:spacing w:val="-2"/>
          <w:sz w:val="21"/>
        </w:rPr>
        <w:t>本計画の策定並びに実施にあたっては、次の視点を基本とします。</w:t>
      </w:r>
    </w:p>
    <w:p>
      <w:pPr>
        <w:pStyle w:val="0"/>
        <w:ind w:left="448" w:leftChars="200" w:firstLine="214" w:firstLineChars="100"/>
        <w:rPr>
          <w:rFonts w:hint="default"/>
          <w:sz w:val="21"/>
        </w:rPr>
      </w:pPr>
    </w:p>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１）障がい者の自己決定の尊重及び意思決定の支援</w:t>
      </w:r>
    </w:p>
    <w:p>
      <w:pPr>
        <w:pStyle w:val="19"/>
        <w:ind w:left="662" w:leftChars="200" w:hanging="214" w:hangingChars="100"/>
        <w:rPr>
          <w:rFonts w:hint="default"/>
        </w:rPr>
      </w:pPr>
      <w:r>
        <w:rPr>
          <w:rFonts w:hint="eastAsia"/>
        </w:rPr>
        <w:t>◯「</w:t>
      </w:r>
      <w:r>
        <w:rPr>
          <w:rFonts w:hint="eastAsia"/>
          <w:vertAlign w:val="superscript"/>
        </w:rPr>
        <w:t>※</w:t>
      </w:r>
      <w:r>
        <w:rPr>
          <w:rFonts w:hint="eastAsia"/>
        </w:rPr>
        <w:t>障害者の権利に関する条約」は「私たちのことを、私たち抜きに決めないで」の考え方のもとで作成され、我が国では平成</w:t>
      </w:r>
      <w:r>
        <w:rPr>
          <w:rFonts w:hint="default"/>
        </w:rPr>
        <w:t>29</w:t>
      </w:r>
      <w:r>
        <w:rPr>
          <w:rFonts w:hint="eastAsia"/>
        </w:rPr>
        <w:t>年３月に、意思決定支援の定義や意義、標準的なプロセス、留意点をまとめた「意思決定支援ガイドライン」が厚生労働省から公表されました。沖縄県では、令和２年２月に「現場職員のための意思決定支援対応例」が策定されています。</w:t>
      </w:r>
    </w:p>
    <w:p>
      <w:pPr>
        <w:pStyle w:val="19"/>
        <w:ind w:left="662" w:leftChars="200" w:hanging="214" w:hangingChars="100"/>
        <w:rPr>
          <w:rFonts w:hint="default"/>
        </w:rPr>
      </w:pPr>
      <w:r>
        <w:rPr>
          <w:rFonts w:hint="eastAsia"/>
        </w:rPr>
        <w:t>○こうしたことを踏まえ</w:t>
      </w:r>
      <w:r>
        <w:rPr>
          <w:rFonts w:hint="eastAsia" w:ascii="ＭＳ明朝" w:hAnsi="ＭＳ明朝" w:eastAsia="ＭＳ明朝"/>
          <w:kern w:val="0"/>
        </w:rPr>
        <w:t>、</w:t>
      </w:r>
      <w:r>
        <w:rPr>
          <w:rFonts w:hint="eastAsia"/>
        </w:rPr>
        <w:t>障がい者の自立や社会参加は、障がい者自らが決定することを尊重し、そのための必要な支援が受けられる地域づくりを進めるために、障がい者施策の策定及び実施に当たっては、障がい者及び障がい者の家族等の関係者の意見を聴き、その意見を尊重します。</w:t>
      </w:r>
    </w:p>
    <w:p>
      <w:pPr>
        <w:pStyle w:val="19"/>
        <w:ind w:left="662" w:leftChars="200" w:hanging="214" w:hangingChars="100"/>
        <w:rPr>
          <w:rFonts w:hint="default"/>
        </w:rPr>
      </w:pPr>
      <w:r>
        <w:rPr>
          <w:rFonts w:hint="eastAsia"/>
        </w:rPr>
        <w:t>◯また、自ら意思を決定・表明することが困難な障がい者が、意思決定できるよう、意思疎通支援やわかりやすい情報提供、本人の自己決定が尊重される相談支援体制の構築を進めます。</w:t>
      </w:r>
    </w:p>
    <w:p>
      <w:pPr>
        <w:pStyle w:val="19"/>
        <w:ind w:left="662" w:leftChars="200" w:hanging="214" w:hangingChars="100"/>
        <w:rPr>
          <w:rFonts w:hint="default"/>
        </w:rPr>
      </w:pPr>
    </w:p>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２）当事者本位の総合的かつ分野横断的な支援</w:t>
      </w:r>
    </w:p>
    <w:p>
      <w:pPr>
        <w:pStyle w:val="19"/>
        <w:ind w:left="662" w:leftChars="200" w:hanging="214" w:hangingChars="100"/>
        <w:rPr>
          <w:rFonts w:hint="default"/>
          <w:spacing w:val="-2"/>
        </w:rPr>
      </w:pPr>
      <w:r>
        <w:rPr>
          <w:rFonts w:hint="eastAsia"/>
        </w:rPr>
        <w:t>◯</w:t>
      </w:r>
      <w:r>
        <w:rPr>
          <w:rFonts w:hint="eastAsia"/>
          <w:spacing w:val="-2"/>
        </w:rPr>
        <w:t>障がい者が人生における全段階</w:t>
      </w:r>
      <w:r>
        <w:rPr>
          <w:rFonts w:hint="eastAsia"/>
          <w:spacing w:val="-2"/>
        </w:rPr>
        <w:t>(</w:t>
      </w:r>
      <w:r>
        <w:rPr>
          <w:rFonts w:hint="eastAsia"/>
          <w:spacing w:val="-2"/>
        </w:rPr>
        <w:t>ライフステージ</w:t>
      </w:r>
      <w:r>
        <w:rPr>
          <w:rFonts w:hint="eastAsia"/>
          <w:spacing w:val="-2"/>
        </w:rPr>
        <w:t>)</w:t>
      </w:r>
      <w:r>
        <w:rPr>
          <w:rFonts w:hint="eastAsia"/>
          <w:spacing w:val="-2"/>
        </w:rPr>
        <w:t>を通じて適切な支援を受けられるよう、保健・福祉・医療のほか、教育、文化芸術、スポーツ、就労、生活環境等の各分野の有機的な連携を図るとともに、各分野の枠にとらわれない分野横断的な対応による障がい者施策を総合的に展開し、切れ目のない支援を行います。</w:t>
      </w:r>
    </w:p>
    <w:p>
      <w:pPr>
        <w:pStyle w:val="19"/>
        <w:ind w:left="662" w:leftChars="200" w:hanging="214" w:hangingChars="100"/>
        <w:rPr>
          <w:rFonts w:hint="default"/>
        </w:rPr>
      </w:pPr>
      <w:r>
        <w:rPr>
          <w:rFonts w:hint="eastAsia"/>
        </w:rPr>
        <w:t>◯支援にあたっては、障がい者が日常生活又は社会生活で直面する困難に着目して講じられる必要があるとする一方で、障がい者の支援は障がい者が直面するその時々の困難の解消だけに着目するのではなく、障がい者の自立と社会参加の支援という観点に立って行われる必要があることに留意します。</w:t>
      </w:r>
    </w:p>
    <w:p>
      <w:pPr>
        <w:pStyle w:val="19"/>
        <w:ind w:left="662" w:leftChars="200" w:hanging="214" w:hangingChars="100"/>
        <w:rPr>
          <w:rFonts w:hint="default"/>
        </w:rPr>
      </w:pPr>
    </w:p>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３）障がい特性等に配慮したきめ細かい支援</w:t>
      </w:r>
    </w:p>
    <w:p>
      <w:pPr>
        <w:pStyle w:val="19"/>
        <w:ind w:left="662" w:leftChars="200" w:hanging="214" w:hangingChars="100"/>
        <w:rPr>
          <w:rFonts w:hint="default"/>
        </w:rPr>
      </w:pPr>
      <w:r>
        <w:rPr>
          <w:rFonts w:hint="eastAsia"/>
        </w:rPr>
        <w:t>◯障がい者施策は、障がい者の性別、年齢、障がいの特性及び生活の実態等に応じた個別的な支援の必要性を踏まえて実施することに留意します。また、支援に向けては発達障がい、難病、高次脳機能障がい、盲ろう等について、住民の更なる理解の促進に向けた広報・啓発活動を行うとともに、症状が多様化しがちで、障がいの程度を適切に把握することが難しい障がいがあることに留意します。さらに、県やその他の関係機関、団体、事業所等との連携・適切な役割分担の下、地域の実情に即した支援を行います。</w:t>
      </w: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0"/>
        <w:spacing w:line="0" w:lineRule="atLeast"/>
        <w:rPr>
          <w:rFonts w:hint="default"/>
          <w:sz w:val="24"/>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76"/>
              <w:spacing w:before="74" w:beforeLines="0" w:beforeAutospacing="0"/>
              <w:ind w:left="224"/>
              <w:rPr>
                <w:rFonts w:hint="default"/>
                <w:color w:val="auto"/>
              </w:rPr>
            </w:pPr>
            <w:r>
              <w:rPr>
                <w:rFonts w:hint="eastAsia"/>
                <w:color w:val="auto"/>
              </w:rPr>
              <w:t>※</w:t>
            </w:r>
            <w:r>
              <w:rPr>
                <w:rFonts w:hint="eastAsia"/>
                <w:color w:val="auto"/>
              </w:rPr>
              <w:t xml:space="preserve"> </w:t>
            </w:r>
            <w:r>
              <w:rPr>
                <w:rFonts w:hint="eastAsia"/>
                <w:color w:val="auto"/>
              </w:rPr>
              <w:t>障害者の権利に関する条約</w:t>
            </w:r>
          </w:p>
          <w:p>
            <w:pPr>
              <w:pStyle w:val="75"/>
              <w:ind w:left="448" w:firstLine="204"/>
              <w:rPr>
                <w:rFonts w:hint="default"/>
                <w:color w:val="auto"/>
              </w:rPr>
            </w:pPr>
            <w:r>
              <w:rPr>
                <w:rFonts w:hint="eastAsia"/>
                <w:color w:val="auto"/>
              </w:rPr>
              <w:t>国際人権法に基づく人権条約であり、</w:t>
            </w:r>
            <w:r>
              <w:rPr>
                <w:rFonts w:hint="eastAsia"/>
                <w:color w:val="auto"/>
              </w:rPr>
              <w:t>2006</w:t>
            </w:r>
            <w:r>
              <w:rPr>
                <w:rFonts w:hint="eastAsia"/>
                <w:color w:val="auto"/>
              </w:rPr>
              <w:t>年</w:t>
            </w:r>
            <w:r>
              <w:rPr>
                <w:rFonts w:hint="eastAsia"/>
                <w:color w:val="auto"/>
              </w:rPr>
              <w:t>12</w:t>
            </w:r>
            <w:r>
              <w:rPr>
                <w:rFonts w:hint="eastAsia"/>
                <w:color w:val="auto"/>
              </w:rPr>
              <w:t>月の国連総会において採択された条約です。我が国は</w:t>
            </w:r>
            <w:r>
              <w:rPr>
                <w:rFonts w:hint="eastAsia"/>
                <w:color w:val="auto"/>
              </w:rPr>
              <w:t>2014</w:t>
            </w:r>
            <w:r>
              <w:rPr>
                <w:rFonts w:hint="eastAsia"/>
                <w:color w:val="auto"/>
              </w:rPr>
              <w:t>年</w:t>
            </w:r>
            <w:r>
              <w:rPr>
                <w:rFonts w:hint="eastAsia"/>
                <w:color w:val="auto"/>
              </w:rPr>
              <w:t>1</w:t>
            </w:r>
            <w:r>
              <w:rPr>
                <w:rFonts w:hint="eastAsia"/>
                <w:color w:val="auto"/>
              </w:rPr>
              <w:t>月にこの条約に批准しました。</w:t>
            </w:r>
          </w:p>
        </w:tc>
      </w:tr>
    </w:tbl>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４）</w:t>
      </w:r>
      <w:r>
        <w:rPr>
          <w:rFonts w:hint="eastAsia" w:ascii="ＭＳ ゴシック" w:hAnsi="ＭＳ ゴシック" w:eastAsia="ＭＳ ゴシック"/>
          <w:sz w:val="24"/>
          <w:vertAlign w:val="superscript"/>
        </w:rPr>
        <w:t>※１</w:t>
      </w:r>
      <w:r>
        <w:rPr>
          <w:rFonts w:hint="eastAsia" w:ascii="ＭＳ ゴシック" w:hAnsi="ＭＳ ゴシック" w:eastAsia="ＭＳ ゴシック"/>
          <w:sz w:val="24"/>
        </w:rPr>
        <w:t>アクセシビリティの向上</w:t>
      </w:r>
    </w:p>
    <w:p>
      <w:pPr>
        <w:pStyle w:val="19"/>
        <w:ind w:left="662" w:leftChars="200" w:hanging="214" w:hangingChars="100"/>
        <w:rPr>
          <w:rFonts w:hint="default"/>
        </w:rPr>
      </w:pPr>
      <w:r>
        <w:rPr>
          <w:rFonts w:hint="eastAsia"/>
        </w:rPr>
        <w:t>◯</w:t>
      </w:r>
      <w:r>
        <w:rPr>
          <w:rFonts w:hint="eastAsia"/>
          <w:spacing w:val="-2"/>
        </w:rPr>
        <w:t>障がいの有無にかかわらず、誰もが能力を最大限に発揮しながら、安心して生活できるようにするため、ソフト、ハードの両面にわたる社会のバリアフリーを推進し、障がい者のアクセシビリティの向上を図ります。とりわけ、障がいを理由とする差別の解消に向けた取り組みを積極的に推進します。</w:t>
      </w:r>
    </w:p>
    <w:p>
      <w:pPr>
        <w:pStyle w:val="19"/>
        <w:ind w:left="662" w:leftChars="200" w:hanging="214" w:hangingChars="100"/>
        <w:rPr>
          <w:rFonts w:hint="default"/>
        </w:rPr>
      </w:pPr>
    </w:p>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５）</w:t>
      </w:r>
      <w:r>
        <w:rPr>
          <w:rFonts w:hint="eastAsia" w:ascii="ＭＳ ゴシック" w:hAnsi="ＭＳ ゴシック" w:eastAsia="ＭＳ ゴシック"/>
          <w:sz w:val="24"/>
          <w:vertAlign w:val="superscript"/>
        </w:rPr>
        <w:t>※２</w:t>
      </w:r>
      <w:r>
        <w:rPr>
          <w:rFonts w:hint="eastAsia" w:ascii="ＭＳ ゴシック" w:hAnsi="ＭＳ ゴシック" w:eastAsia="ＭＳ ゴシック"/>
          <w:sz w:val="24"/>
        </w:rPr>
        <w:t>地域共生社会の実現に向けた包括的な支援の推進</w:t>
      </w:r>
    </w:p>
    <w:p>
      <w:pPr>
        <w:pStyle w:val="19"/>
        <w:ind w:left="662" w:leftChars="200" w:hanging="214" w:hangingChars="100"/>
        <w:rPr>
          <w:rFonts w:hint="default"/>
        </w:rPr>
      </w:pPr>
      <w:r>
        <w:rPr>
          <w:rFonts w:hint="eastAsia"/>
        </w:rPr>
        <w:t>◯国では</w:t>
      </w:r>
      <w:r>
        <w:rPr>
          <w:rFonts w:hint="eastAsia"/>
        </w:rPr>
        <w:t>2017</w:t>
      </w:r>
      <w:r>
        <w:rPr>
          <w:rFonts w:hint="eastAsia"/>
        </w:rPr>
        <w:t>年</w:t>
      </w:r>
      <w:r>
        <w:rPr>
          <w:rFonts w:hint="default"/>
        </w:rPr>
        <w:t>(</w:t>
      </w:r>
      <w:r>
        <w:rPr>
          <w:rFonts w:hint="eastAsia"/>
        </w:rPr>
        <w:t>平成</w:t>
      </w:r>
      <w:r>
        <w:rPr>
          <w:rFonts w:hint="eastAsia"/>
        </w:rPr>
        <w:t>29</w:t>
      </w:r>
      <w:r>
        <w:rPr>
          <w:rFonts w:hint="eastAsia"/>
        </w:rPr>
        <w:t>年</w:t>
      </w:r>
      <w:r>
        <w:rPr>
          <w:rFonts w:hint="default"/>
        </w:rPr>
        <w:t>)</w:t>
      </w:r>
      <w:r>
        <w:rPr>
          <w:rFonts w:hint="eastAsia"/>
        </w:rPr>
        <w:t>に社会福祉法を改正し、地域共生社会の実現に向けた取り組みを進めています。本町においても、令和６年３月に策定した「第三次南風原町地域福祉推進計画」において、障がいのある人を含めた地域共生社会の実現に向けた包括的支援体制の構築を目指しています。本計画もその方向性を共有します。</w:t>
      </w: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0"/>
        <w:spacing w:line="0" w:lineRule="atLeast"/>
        <w:rPr>
          <w:rFonts w:hint="default"/>
          <w:sz w:val="14"/>
        </w:rPr>
      </w:pPr>
    </w:p>
    <w:p>
      <w:pPr>
        <w:pStyle w:val="0"/>
        <w:spacing w:line="0" w:lineRule="atLeast"/>
        <w:rPr>
          <w:rFonts w:hint="default"/>
          <w:sz w:val="16"/>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76"/>
              <w:spacing w:before="74" w:beforeLines="0" w:beforeAutospacing="0"/>
              <w:ind w:left="224"/>
              <w:rPr>
                <w:rFonts w:hint="default"/>
                <w:color w:val="auto"/>
              </w:rPr>
            </w:pPr>
            <w:r>
              <w:rPr>
                <w:rFonts w:hint="eastAsia"/>
                <w:color w:val="auto"/>
              </w:rPr>
              <w:t>※</w:t>
            </w:r>
            <w:r>
              <w:rPr>
                <w:rFonts w:hint="eastAsia"/>
                <w:color w:val="auto"/>
              </w:rPr>
              <w:t>1</w:t>
            </w:r>
            <w:r>
              <w:rPr>
                <w:rFonts w:hint="default"/>
                <w:color w:val="auto"/>
              </w:rPr>
              <w:t xml:space="preserve"> </w:t>
            </w:r>
            <w:r>
              <w:rPr>
                <w:rFonts w:hint="eastAsia"/>
                <w:color w:val="auto"/>
              </w:rPr>
              <w:t>アクセシビリティ</w:t>
            </w:r>
          </w:p>
          <w:p>
            <w:pPr>
              <w:pStyle w:val="75"/>
              <w:ind w:left="448" w:firstLine="204"/>
              <w:rPr>
                <w:rFonts w:hint="default"/>
                <w:color w:val="auto"/>
              </w:rPr>
            </w:pPr>
            <w:r>
              <w:rPr>
                <w:rFonts w:hint="eastAsia"/>
                <w:color w:val="auto"/>
              </w:rPr>
              <w:t>施設・設備、サービス、情報、制度等の利用のしやすさのこと。</w:t>
            </w:r>
          </w:p>
          <w:p>
            <w:pPr>
              <w:pStyle w:val="76"/>
              <w:spacing w:before="74" w:beforeLines="0" w:beforeAutospacing="0"/>
              <w:ind w:left="224"/>
              <w:rPr>
                <w:rFonts w:hint="default"/>
                <w:color w:val="auto"/>
              </w:rPr>
            </w:pPr>
            <w:r>
              <w:rPr>
                <w:rFonts w:hint="eastAsia"/>
                <w:color w:val="auto"/>
              </w:rPr>
              <w:t>※</w:t>
            </w:r>
            <w:r>
              <w:rPr>
                <w:rFonts w:hint="eastAsia"/>
                <w:color w:val="auto"/>
              </w:rPr>
              <w:t>2</w:t>
            </w:r>
            <w:r>
              <w:rPr>
                <w:rFonts w:hint="default"/>
                <w:color w:val="auto"/>
              </w:rPr>
              <w:t xml:space="preserve"> </w:t>
            </w:r>
            <w:r>
              <w:rPr>
                <w:rFonts w:hint="eastAsia"/>
                <w:color w:val="auto"/>
              </w:rPr>
              <w:t>地域共生社会</w:t>
            </w:r>
          </w:p>
          <w:p>
            <w:pPr>
              <w:pStyle w:val="75"/>
              <w:ind w:left="448" w:firstLine="204"/>
              <w:rPr>
                <w:rFonts w:hint="default"/>
                <w:color w:val="auto"/>
              </w:rPr>
            </w:pPr>
            <w:r>
              <w:rPr>
                <w:rFonts w:hint="eastAsia"/>
                <w:color w:val="auto"/>
              </w:rPr>
              <w:t>制度・分野ごとの『縦割り』や「支え手」「受け手」という関係を超えて、地域住民や地域の多様な主体が『我が事』として参画し、人と人、人と資源が世代や分野を超えて『丸ごと』つながることで、住民一人ひとりの暮らしと生きがい、地域をともに創っていく社会（平成</w:t>
            </w:r>
            <w:r>
              <w:rPr>
                <w:rFonts w:hint="eastAsia"/>
                <w:color w:val="auto"/>
              </w:rPr>
              <w:t>29</w:t>
            </w:r>
            <w:r>
              <w:rPr>
                <w:rFonts w:hint="eastAsia"/>
                <w:color w:val="auto"/>
              </w:rPr>
              <w:t>年</w:t>
            </w:r>
            <w:r>
              <w:rPr>
                <w:rFonts w:hint="eastAsia"/>
                <w:color w:val="auto"/>
              </w:rPr>
              <w:t>2</w:t>
            </w:r>
            <w:r>
              <w:rPr>
                <w:rFonts w:hint="eastAsia"/>
                <w:color w:val="auto"/>
              </w:rPr>
              <w:t>月</w:t>
            </w:r>
            <w:r>
              <w:rPr>
                <w:rFonts w:hint="eastAsia"/>
                <w:color w:val="auto"/>
              </w:rPr>
              <w:t>7</w:t>
            </w:r>
            <w:r>
              <w:rPr>
                <w:rFonts w:hint="eastAsia"/>
                <w:color w:val="auto"/>
              </w:rPr>
              <w:t>日厚生労働省「我が事・丸ごと」地域共生社会実現本部決定）</w:t>
            </w:r>
          </w:p>
        </w:tc>
      </w:tr>
    </w:tbl>
    <w:p>
      <w:pPr>
        <w:pStyle w:val="19"/>
        <w:spacing w:line="20" w:lineRule="exact"/>
        <w:ind w:left="662" w:leftChars="200" w:hanging="214" w:hangingChars="100"/>
        <w:rPr>
          <w:rFonts w:hint="eastAsia" w:ascii="HGｺﾞｼｯｸM" w:hAnsi="HGｺﾞｼｯｸM" w:eastAsia="ＭＳ ゴシック"/>
          <w:sz w:val="26"/>
        </w:rPr>
      </w:pPr>
      <w:r>
        <w:rPr>
          <w:rFonts w:hint="default"/>
        </w:rPr>
        <w:br w:type="page"/>
      </w:r>
    </w:p>
    <w:p>
      <w:pPr>
        <w:pStyle w:val="80"/>
        <w:spacing w:after="92" w:afterLines="0" w:afterAutospacing="0"/>
        <w:rPr>
          <w:rFonts w:hint="default"/>
        </w:rPr>
      </w:pPr>
      <w:bookmarkStart w:id="33" w:name="_Toc162263664"/>
      <w:bookmarkStart w:id="34" w:name="_Toc505592287"/>
      <w:r>
        <w:rPr>
          <w:rFonts w:hint="eastAsia"/>
        </w:rPr>
        <w:t>４．施策の体系</w:t>
      </w:r>
      <w:bookmarkEnd w:id="33"/>
      <w:bookmarkEnd w:id="34"/>
    </w:p>
    <w:p>
      <w:pPr>
        <w:pStyle w:val="0"/>
        <w:spacing w:line="180" w:lineRule="exact"/>
        <w:ind w:left="488" w:hanging="488" w:hangingChars="200"/>
        <w:rPr>
          <w:rFonts w:hint="default" w:ascii="ＭＳ ゴシック" w:hAnsi="ＭＳ ゴシック" w:eastAsia="ＭＳ ゴシック"/>
          <w:sz w:val="24"/>
        </w:rPr>
      </w:pPr>
    </w:p>
    <w:tbl>
      <w:tblPr>
        <w:tblStyle w:val="11"/>
        <w:tblW w:w="923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1266"/>
        <w:gridCol w:w="2755"/>
        <w:gridCol w:w="5215"/>
      </w:tblGrid>
      <w:tr>
        <w:trPr>
          <w:trHeight w:val="235" w:hRule="atLeast"/>
        </w:trPr>
        <w:tc>
          <w:tcPr>
            <w:tcW w:w="1266" w:type="dxa"/>
            <w:shd w:val="clear" w:color="auto" w:themeFill="background1" w:themeFillTint="FF" w:themeFillShade="D9"/>
            <w:tcMar>
              <w:top w:w="28" w:type="dxa"/>
              <w:bottom w:w="28" w:type="dxa"/>
            </w:tcMar>
            <w:vAlign w:val="center"/>
          </w:tcPr>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基本理念</w:t>
            </w:r>
          </w:p>
        </w:tc>
        <w:tc>
          <w:tcPr>
            <w:tcW w:w="2755" w:type="dxa"/>
            <w:shd w:val="clear" w:color="auto" w:themeFill="background1" w:themeFillTint="FF" w:themeFillShade="D9"/>
            <w:tcMar>
              <w:top w:w="28" w:type="dxa"/>
              <w:bottom w:w="28" w:type="dxa"/>
            </w:tcMar>
            <w:vAlign w:val="center"/>
          </w:tcPr>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基本目標</w:t>
            </w:r>
          </w:p>
        </w:tc>
        <w:tc>
          <w:tcPr>
            <w:tcW w:w="5215" w:type="dxa"/>
            <w:shd w:val="clear" w:color="auto" w:themeFill="background1" w:themeFillTint="FF" w:themeFillShade="D9"/>
            <w:tcMar>
              <w:top w:w="28" w:type="dxa"/>
              <w:bottom w:w="28" w:type="dxa"/>
            </w:tcMar>
            <w:vAlign w:val="center"/>
          </w:tcPr>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施策の方向性</w:t>
            </w:r>
          </w:p>
        </w:tc>
      </w:tr>
      <w:tr>
        <w:trPr/>
        <w:tc>
          <w:tcPr>
            <w:tcW w:w="1266" w:type="dxa"/>
            <w:vMerge w:val="restart"/>
            <w:shd w:val="clear" w:color="auto" w:fill="auto"/>
            <w:tcMar>
              <w:top w:w="85" w:type="dxa"/>
              <w:bottom w:w="85" w:type="dxa"/>
            </w:tcMar>
            <w:textDirection w:val="tbRlV"/>
            <w:vAlign w:val="center"/>
          </w:tcPr>
          <w:p>
            <w:pPr>
              <w:pStyle w:val="0"/>
              <w:spacing w:line="0" w:lineRule="atLeast"/>
              <w:ind w:left="113" w:right="113"/>
              <w:rPr>
                <w:rFonts w:hint="default" w:ascii="ＭＳ ゴシック" w:hAnsi="ＭＳ ゴシック" w:eastAsia="ＭＳ ゴシック"/>
                <w:sz w:val="27"/>
              </w:rPr>
            </w:pPr>
            <w:r>
              <w:rPr>
                <w:rFonts w:hint="eastAsia" w:ascii="ＭＳ ゴシック" w:hAnsi="ＭＳ ゴシック" w:eastAsia="ＭＳ ゴシック"/>
                <w:sz w:val="27"/>
              </w:rPr>
              <w:t>『ちむぐくるの支えあい』</w:t>
            </w:r>
          </w:p>
          <w:p>
            <w:pPr>
              <w:pStyle w:val="0"/>
              <w:spacing w:line="0" w:lineRule="atLeast"/>
              <w:ind w:left="113" w:right="113"/>
              <w:rPr>
                <w:rFonts w:hint="default" w:ascii="ＭＳ ゴシック" w:hAnsi="ＭＳ ゴシック" w:eastAsia="ＭＳ ゴシック"/>
                <w:sz w:val="10"/>
              </w:rPr>
            </w:pPr>
          </w:p>
          <w:p>
            <w:pPr>
              <w:pStyle w:val="0"/>
              <w:spacing w:line="0" w:lineRule="atLeast"/>
              <w:ind w:left="113" w:right="113"/>
              <w:rPr>
                <w:rFonts w:hint="default" w:ascii="ＭＳ ゴシック" w:hAnsi="ＭＳ ゴシック" w:eastAsia="ＭＳ ゴシック"/>
                <w:sz w:val="27"/>
              </w:rPr>
            </w:pPr>
            <w:r>
              <w:rPr>
                <w:rFonts w:hint="eastAsia" w:ascii="ＭＳ ゴシック" w:hAnsi="ＭＳ ゴシック" w:eastAsia="ＭＳ ゴシック"/>
                <w:sz w:val="27"/>
              </w:rPr>
              <w:t>　　　　　　～</w:t>
            </w:r>
            <w:r>
              <w:rPr>
                <w:rFonts w:hint="eastAsia" w:ascii="ＭＳ ゴシック" w:hAnsi="ＭＳ ゴシック" w:eastAsia="ＭＳ ゴシック"/>
                <w:sz w:val="27"/>
              </w:rPr>
              <w:t xml:space="preserve"> </w:t>
            </w:r>
            <w:r>
              <w:rPr>
                <w:rFonts w:hint="eastAsia" w:ascii="ＭＳ ゴシック" w:hAnsi="ＭＳ ゴシック" w:eastAsia="ＭＳ ゴシック"/>
                <w:sz w:val="27"/>
              </w:rPr>
              <w:t>ともにつくり、ともにあゆむ、自立と社会参加のまち　南風原</w:t>
            </w:r>
            <w:r>
              <w:rPr>
                <w:rFonts w:hint="eastAsia" w:ascii="ＭＳ ゴシック" w:hAnsi="ＭＳ ゴシック" w:eastAsia="ＭＳ ゴシック"/>
                <w:sz w:val="27"/>
              </w:rPr>
              <w:t xml:space="preserve"> </w:t>
            </w:r>
            <w:r>
              <w:rPr>
                <w:rFonts w:hint="eastAsia" w:ascii="ＭＳ ゴシック" w:hAnsi="ＭＳ ゴシック" w:eastAsia="ＭＳ ゴシック"/>
                <w:sz w:val="27"/>
              </w:rPr>
              <w:t>～</w:t>
            </w:r>
          </w:p>
        </w:tc>
        <w:tc>
          <w:tcPr>
            <w:tcW w:w="2755" w:type="dxa"/>
            <w:shd w:val="clear" w:color="auto" w:fill="auto"/>
            <w:tcMar>
              <w:top w:w="85" w:type="dxa"/>
              <w:bottom w:w="85" w:type="dxa"/>
            </w:tcMar>
            <w:vAlign w:val="center"/>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安心して</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共に暮らせるまち</w:t>
            </w:r>
          </w:p>
        </w:tc>
        <w:tc>
          <w:tcPr>
            <w:tcW w:w="5215" w:type="dxa"/>
            <w:shd w:val="clear" w:color="auto" w:fill="auto"/>
            <w:tcMar>
              <w:top w:w="85" w:type="dxa"/>
              <w:bottom w:w="85" w:type="dxa"/>
            </w:tcMar>
            <w:vAlign w:val="center"/>
          </w:tcPr>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１．理解啓発・差別解消の推進</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（１）理解啓発活動の充実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（２）差別解消・合理的配慮の普及啓発</w:t>
            </w:r>
          </w:p>
          <w:p>
            <w:pPr>
              <w:pStyle w:val="0"/>
              <w:spacing w:line="0" w:lineRule="atLeast"/>
              <w:ind w:left="648" w:leftChars="150" w:hanging="312" w:hangingChars="300"/>
              <w:rPr>
                <w:rFonts w:hint="default" w:ascii="ＭＳ ゴシック" w:hAnsi="ＭＳ ゴシック" w:eastAsia="ＭＳ ゴシック"/>
                <w:sz w:val="10"/>
              </w:rPr>
            </w:pPr>
          </w:p>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２．相談支援の充実・権利擁護の推進</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（１）相談支援体制の充実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（２）権利擁護・虐待防止の推進</w:t>
            </w:r>
          </w:p>
          <w:p>
            <w:pPr>
              <w:pStyle w:val="0"/>
              <w:spacing w:line="0" w:lineRule="atLeast"/>
              <w:ind w:left="648" w:leftChars="150" w:hanging="312" w:hangingChars="300"/>
              <w:rPr>
                <w:rFonts w:hint="default" w:ascii="ＭＳ ゴシック" w:hAnsi="ＭＳ ゴシック" w:eastAsia="ＭＳ ゴシック"/>
                <w:sz w:val="10"/>
              </w:rPr>
            </w:pPr>
          </w:p>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３．情報提供・意思疎通支援の充実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（１）情報提供の充実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（２）意思疎通支援の充実</w:t>
            </w:r>
          </w:p>
          <w:p>
            <w:pPr>
              <w:pStyle w:val="0"/>
              <w:spacing w:line="0" w:lineRule="atLeast"/>
              <w:ind w:left="648" w:leftChars="150" w:hanging="312" w:hangingChars="300"/>
              <w:rPr>
                <w:rFonts w:hint="default" w:ascii="ＭＳ ゴシック" w:hAnsi="ＭＳ ゴシック" w:eastAsia="ＭＳ ゴシック"/>
                <w:sz w:val="10"/>
              </w:rPr>
            </w:pPr>
          </w:p>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４．保育・教育等の充実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（１）発達支援保育等の充実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（２）特別支援教育の充実</w:t>
            </w:r>
          </w:p>
          <w:p>
            <w:pPr>
              <w:pStyle w:val="0"/>
              <w:spacing w:line="0" w:lineRule="atLeast"/>
              <w:ind w:left="648" w:leftChars="150" w:hanging="312" w:hangingChars="300"/>
              <w:rPr>
                <w:rFonts w:hint="default" w:ascii="ＭＳ ゴシック" w:hAnsi="ＭＳ ゴシック" w:eastAsia="ＭＳ ゴシック"/>
                <w:sz w:val="10"/>
              </w:rPr>
            </w:pPr>
          </w:p>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５．防災・防犯対策の充実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（１）防災対策の充実</w:t>
            </w:r>
          </w:p>
          <w:p>
            <w:pPr>
              <w:pStyle w:val="0"/>
              <w:ind w:left="978" w:leftChars="150" w:hanging="642" w:hangingChars="300"/>
              <w:rPr>
                <w:rFonts w:hint="default" w:ascii="ＭＳ ゴシック" w:hAnsi="ＭＳ ゴシック" w:eastAsia="ＭＳ ゴシック"/>
                <w:sz w:val="24"/>
              </w:rPr>
            </w:pPr>
            <w:r>
              <w:rPr>
                <w:rFonts w:hint="eastAsia" w:ascii="ＭＳ ゴシック" w:hAnsi="ＭＳ ゴシック" w:eastAsia="ＭＳ ゴシック"/>
                <w:sz w:val="21"/>
              </w:rPr>
              <w:t>（２）防犯対策の充実</w:t>
            </w:r>
          </w:p>
        </w:tc>
      </w:tr>
      <w:tr>
        <w:trPr/>
        <w:tc>
          <w:tcPr>
            <w:tcW w:w="1266" w:type="dxa"/>
            <w:vMerge w:val="continue"/>
            <w:shd w:val="clear" w:color="auto" w:fill="auto"/>
            <w:tcMar>
              <w:top w:w="85" w:type="dxa"/>
              <w:bottom w:w="85" w:type="dxa"/>
            </w:tcMar>
            <w:vAlign w:val="center"/>
          </w:tcPr>
          <w:p>
            <w:pPr>
              <w:pStyle w:val="0"/>
              <w:rPr>
                <w:rFonts w:hint="default" w:ascii="ＭＳ ゴシック" w:hAnsi="ＭＳ ゴシック" w:eastAsia="ＭＳ ゴシック"/>
                <w:sz w:val="24"/>
              </w:rPr>
            </w:pPr>
          </w:p>
        </w:tc>
        <w:tc>
          <w:tcPr>
            <w:tcW w:w="2755" w:type="dxa"/>
            <w:shd w:val="clear" w:color="auto" w:fill="auto"/>
            <w:tcMar>
              <w:top w:w="85" w:type="dxa"/>
              <w:bottom w:w="85" w:type="dxa"/>
            </w:tcMar>
            <w:vAlign w:val="center"/>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健やかで</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自立を支えるまち</w:t>
            </w:r>
          </w:p>
        </w:tc>
        <w:tc>
          <w:tcPr>
            <w:tcW w:w="5215" w:type="dxa"/>
            <w:shd w:val="clear" w:color="auto" w:fill="auto"/>
            <w:tcMar>
              <w:top w:w="85" w:type="dxa"/>
              <w:bottom w:w="85" w:type="dxa"/>
            </w:tcMar>
            <w:vAlign w:val="center"/>
          </w:tcPr>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１．保健・医療の充実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（１）乳幼児期における障がいの発生予防・</w:t>
            </w:r>
            <w:r>
              <w:rPr>
                <w:rFonts w:hint="default" w:ascii="ＭＳ ゴシック" w:hAnsi="ＭＳ ゴシック" w:eastAsia="ＭＳ ゴシック"/>
                <w:sz w:val="21"/>
              </w:rPr>
              <w:br w:type="textWrapping" w:clear="none"/>
            </w:r>
            <w:r>
              <w:rPr>
                <w:rFonts w:hint="eastAsia" w:ascii="ＭＳ ゴシック" w:hAnsi="ＭＳ ゴシック" w:eastAsia="ＭＳ ゴシック"/>
                <w:sz w:val="21"/>
              </w:rPr>
              <w:t>早期支援の充実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（２）障がいの原因となる疾病予防対策の充実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（３）精神保健福祉の充実</w:t>
            </w:r>
          </w:p>
          <w:p>
            <w:pPr>
              <w:pStyle w:val="0"/>
              <w:spacing w:line="0" w:lineRule="atLeast"/>
              <w:ind w:left="648" w:leftChars="150" w:hanging="312" w:hangingChars="300"/>
              <w:rPr>
                <w:rFonts w:hint="default" w:ascii="ＭＳ ゴシック" w:hAnsi="ＭＳ ゴシック" w:eastAsia="ＭＳ ゴシック"/>
                <w:sz w:val="10"/>
              </w:rPr>
            </w:pPr>
          </w:p>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２．自立生活支援の充実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（１）障害福祉サービス等の推進</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（２）障がい児支援の充実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（３）医療費等経済的支援の推進</w:t>
            </w:r>
          </w:p>
          <w:p>
            <w:pPr>
              <w:pStyle w:val="0"/>
              <w:ind w:left="978" w:leftChars="150" w:hanging="642" w:hangingChars="300"/>
              <w:rPr>
                <w:rFonts w:hint="default" w:ascii="ＭＳ ゴシック" w:hAnsi="ＭＳ ゴシック" w:eastAsia="ＭＳ ゴシック"/>
              </w:rPr>
            </w:pPr>
            <w:r>
              <w:rPr>
                <w:rFonts w:hint="eastAsia" w:ascii="ＭＳ ゴシック" w:hAnsi="ＭＳ ゴシック" w:eastAsia="ＭＳ ゴシック"/>
                <w:sz w:val="21"/>
              </w:rPr>
              <w:t>（４）その他の生活支援の推進</w:t>
            </w:r>
          </w:p>
        </w:tc>
      </w:tr>
      <w:tr>
        <w:trPr/>
        <w:tc>
          <w:tcPr>
            <w:tcW w:w="1266" w:type="dxa"/>
            <w:vMerge w:val="continue"/>
            <w:shd w:val="clear" w:color="auto" w:fill="auto"/>
            <w:tcMar>
              <w:top w:w="85" w:type="dxa"/>
              <w:bottom w:w="85" w:type="dxa"/>
            </w:tcMar>
            <w:vAlign w:val="center"/>
          </w:tcPr>
          <w:p>
            <w:pPr>
              <w:pStyle w:val="0"/>
              <w:rPr>
                <w:rFonts w:hint="default" w:ascii="ＭＳ ゴシック" w:hAnsi="ＭＳ ゴシック" w:eastAsia="ＭＳ ゴシック"/>
                <w:sz w:val="24"/>
              </w:rPr>
            </w:pPr>
          </w:p>
        </w:tc>
        <w:tc>
          <w:tcPr>
            <w:tcW w:w="2755" w:type="dxa"/>
            <w:shd w:val="clear" w:color="auto" w:fill="auto"/>
            <w:tcMar>
              <w:top w:w="85" w:type="dxa"/>
              <w:bottom w:w="85" w:type="dxa"/>
            </w:tcMar>
            <w:vAlign w:val="center"/>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住み良い環境と</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生きがいの持てるまち</w:t>
            </w:r>
          </w:p>
        </w:tc>
        <w:tc>
          <w:tcPr>
            <w:tcW w:w="5215" w:type="dxa"/>
            <w:shd w:val="clear" w:color="auto" w:fill="auto"/>
            <w:tcMar>
              <w:top w:w="85" w:type="dxa"/>
              <w:bottom w:w="85" w:type="dxa"/>
            </w:tcMar>
            <w:vAlign w:val="center"/>
          </w:tcPr>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１．生活環境の整備推進</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（１）外出・移動支援の推進</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（２）住環境の整備推進</w:t>
            </w:r>
          </w:p>
          <w:p>
            <w:pPr>
              <w:pStyle w:val="0"/>
              <w:spacing w:line="0" w:lineRule="atLeast"/>
              <w:ind w:left="648" w:leftChars="150" w:hanging="312" w:hangingChars="300"/>
              <w:rPr>
                <w:rFonts w:hint="default" w:ascii="ＭＳ ゴシック" w:hAnsi="ＭＳ ゴシック" w:eastAsia="ＭＳ ゴシック"/>
                <w:sz w:val="10"/>
              </w:rPr>
            </w:pPr>
          </w:p>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２．社会参加・生きがい活動の推進</w:t>
            </w:r>
          </w:p>
          <w:p>
            <w:pPr>
              <w:pStyle w:val="0"/>
              <w:ind w:left="978" w:leftChars="150" w:hanging="642" w:hangingChars="300"/>
              <w:rPr>
                <w:rFonts w:hint="default" w:ascii="ＭＳ ゴシック" w:hAnsi="ＭＳ ゴシック" w:eastAsia="ＭＳ ゴシック"/>
                <w:w w:val="85"/>
                <w:sz w:val="21"/>
              </w:rPr>
            </w:pPr>
            <w:r>
              <w:rPr>
                <w:rFonts w:hint="eastAsia" w:ascii="ＭＳ ゴシック" w:hAnsi="ＭＳ ゴシック" w:eastAsia="ＭＳ ゴシック"/>
                <w:sz w:val="21"/>
              </w:rPr>
              <w:t>（１）</w:t>
            </w:r>
            <w:r>
              <w:rPr>
                <w:rFonts w:hint="eastAsia" w:ascii="ＭＳ ゴシック" w:hAnsi="ＭＳ ゴシック" w:eastAsia="ＭＳ ゴシック"/>
                <w:spacing w:val="-6"/>
                <w:w w:val="85"/>
                <w:sz w:val="21"/>
              </w:rPr>
              <w:t>スポーツ・レクリエーション</w:t>
            </w:r>
            <w:r>
              <w:rPr>
                <w:rFonts w:hint="eastAsia" w:ascii="ＭＳ ゴシック" w:hAnsi="ＭＳ ゴシック" w:eastAsia="ＭＳ ゴシック"/>
                <w:w w:val="95"/>
                <w:sz w:val="21"/>
              </w:rPr>
              <w:t>及び文化活動の推進</w:t>
            </w:r>
          </w:p>
          <w:p>
            <w:pPr>
              <w:pStyle w:val="0"/>
              <w:ind w:left="978" w:leftChars="150" w:hanging="642" w:hangingChars="300"/>
              <w:rPr>
                <w:rFonts w:hint="default" w:ascii="ＭＳ ゴシック" w:hAnsi="ＭＳ ゴシック" w:eastAsia="ＭＳ ゴシック"/>
              </w:rPr>
            </w:pPr>
            <w:r>
              <w:rPr>
                <w:rFonts w:hint="eastAsia" w:ascii="ＭＳ ゴシック" w:hAnsi="ＭＳ ゴシック" w:eastAsia="ＭＳ ゴシック"/>
                <w:sz w:val="21"/>
              </w:rPr>
              <w:t>（２）就労支援</w:t>
            </w:r>
          </w:p>
        </w:tc>
      </w:tr>
    </w:tbl>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0"/>
        <w:widowControl w:val="1"/>
        <w:jc w:val="left"/>
        <w:rPr>
          <w:rFonts w:hint="default"/>
          <w:sz w:val="21"/>
        </w:rPr>
      </w:pPr>
    </w:p>
    <w:p>
      <w:pPr>
        <w:pStyle w:val="0"/>
        <w:widowControl w:val="1"/>
        <w:jc w:val="left"/>
        <w:rPr>
          <w:rFonts w:hint="default"/>
          <w:sz w:val="21"/>
        </w:rPr>
      </w:pPr>
      <w:r>
        <w:rPr>
          <w:rFonts w:hint="default"/>
        </w:rPr>
        <mc:AlternateContent>
          <mc:Choice Requires="wps">
            <w:drawing>
              <wp:anchor distT="0" distB="0" distL="114300" distR="114300" simplePos="0" relativeHeight="51" behindDoc="0" locked="1" layoutInCell="1" hidden="0" allowOverlap="1">
                <wp:simplePos x="0" y="0"/>
                <wp:positionH relativeFrom="column">
                  <wp:posOffset>1724660</wp:posOffset>
                </wp:positionH>
                <wp:positionV relativeFrom="page">
                  <wp:posOffset>7933055</wp:posOffset>
                </wp:positionV>
                <wp:extent cx="2359660" cy="2870200"/>
                <wp:effectExtent l="635" t="635" r="29845" b="10795"/>
                <wp:wrapNone/>
                <wp:docPr id="1137" name="正方形/長方形 42"/>
                <a:graphic xmlns:a="http://schemas.openxmlformats.org/drawingml/2006/main">
                  <a:graphicData uri="http://schemas.microsoft.com/office/word/2010/wordprocessingShape">
                    <wps:wsp>
                      <wps:cNvPr id="1137" name="正方形/長方形 42"/>
                      <wps:cNvSpPr/>
                      <wps:spPr>
                        <a:xfrm>
                          <a:off x="0" y="0"/>
                          <a:ext cx="2359660" cy="2870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2" style="mso-wrap-distance-right:9pt;mso-wrap-distance-bottom:0pt;margin-top:624.65pt;mso-position-vertical-relative:page;mso-position-horizontal-relative:text;position:absolute;height:226pt;mso-wrap-distance-top:0pt;width:185.8pt;mso-wrap-distance-left:9pt;margin-left:135.80000000000001pt;z-index:51;" o:spid="_x0000_s1137"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page"/>
                <w10:anchorlock/>
              </v:rect>
            </w:pict>
          </mc:Fallback>
        </mc:AlternateContent>
      </w:r>
      <w:r>
        <w:rPr>
          <w:rFonts w:hint="default"/>
        </w:rPr>
        <w:br w:type="page"/>
      </w:r>
    </w:p>
    <w:p>
      <w:pPr>
        <w:pStyle w:val="22"/>
        <w:spacing w:after="296" w:afterLines="0" w:afterAutospacing="0"/>
        <w:rPr>
          <w:rFonts w:hint="default"/>
        </w:rPr>
      </w:pPr>
      <w:bookmarkEnd w:id="24"/>
      <w:bookmarkStart w:id="35" w:name="_Toc154411461"/>
      <w:bookmarkStart w:id="36" w:name="_Toc162263665"/>
      <w:bookmarkStart w:id="37" w:name="_Toc505592298"/>
      <w:r>
        <w:rPr>
          <w:rFonts w:hint="eastAsia"/>
        </w:rPr>
        <w:t>第４章　第６次南風原町障がい者計画</w:t>
      </w:r>
      <w:bookmarkEnd w:id="35"/>
      <w:bookmarkEnd w:id="36"/>
    </w:p>
    <w:p>
      <w:pPr>
        <w:pStyle w:val="70"/>
        <w:rPr>
          <w:rFonts w:hint="default"/>
        </w:rPr>
      </w:pPr>
      <w:bookmarkStart w:id="38" w:name="_Toc154411462"/>
      <w:bookmarkStart w:id="39" w:name="_Toc162263666"/>
      <w:bookmarkStart w:id="40" w:name="_Toc62831665"/>
      <w:r>
        <w:rPr>
          <w:rFonts w:hint="eastAsia"/>
        </w:rPr>
        <w:t>基本目標１　安心して共に暮らせるまち</w:t>
      </w:r>
      <w:bookmarkEnd w:id="38"/>
      <w:bookmarkEnd w:id="39"/>
      <w:bookmarkEnd w:id="40"/>
    </w:p>
    <w:p>
      <w:pPr>
        <w:pStyle w:val="0"/>
        <w:spacing w:line="160" w:lineRule="exact"/>
        <w:rPr>
          <w:rFonts w:hint="default"/>
        </w:rPr>
      </w:pPr>
      <w:r>
        <w:rPr>
          <w:rFonts w:hint="eastAsia" w:ascii="ＭＳ ゴシック" w:hAnsi="ＭＳ ゴシック" w:eastAsia="ＭＳ ゴシック"/>
          <w:sz w:val="32"/>
        </w:rPr>
        <mc:AlternateContent>
          <mc:Choice Requires="wpg">
            <w:drawing>
              <wp:anchor distT="0" distB="0" distL="114300" distR="114300" simplePos="0" relativeHeight="83" behindDoc="1" locked="1" layoutInCell="1" hidden="0" allowOverlap="1">
                <wp:simplePos x="0" y="0"/>
                <wp:positionH relativeFrom="column">
                  <wp:posOffset>619760</wp:posOffset>
                </wp:positionH>
                <wp:positionV relativeFrom="paragraph">
                  <wp:posOffset>-289560</wp:posOffset>
                </wp:positionV>
                <wp:extent cx="5379085" cy="367665"/>
                <wp:effectExtent l="635" t="635" r="5080" b="635"/>
                <wp:wrapNone/>
                <wp:docPr id="1138" name="節の飾り（テキストの背景）"/>
                <a:graphic xmlns:a="http://schemas.openxmlformats.org/drawingml/2006/main">
                  <a:graphicData uri="http://schemas.microsoft.com/office/word/2010/wordprocessingGroup">
                    <wpg:wgp>
                      <wpg:cNvGrpSpPr/>
                      <wpg:grpSpPr>
                        <a:xfrm>
                          <a:off x="0" y="0"/>
                          <a:ext cx="5379085" cy="367665"/>
                          <a:chOff x="-1" y="0"/>
                          <a:chExt cx="5383414" cy="368807"/>
                        </a:xfrm>
                      </wpg:grpSpPr>
                      <wps:wsp>
                        <wps:cNvPr id="1139" name="節（項目）の影"/>
                        <wps:cNvSpPr/>
                        <wps:spPr>
                          <a:xfrm>
                            <a:off x="1276491" y="19050"/>
                            <a:ext cx="4106922" cy="349757"/>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40" name="節（数値）の影"/>
                        <wps:cNvSpPr/>
                        <wps:spPr>
                          <a:xfrm>
                            <a:off x="38099" y="19050"/>
                            <a:ext cx="1152820" cy="349757"/>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41" name="節（項目）"/>
                        <wps:cNvSpPr/>
                        <wps:spPr>
                          <a:xfrm>
                            <a:off x="1238390" y="0"/>
                            <a:ext cx="4120167" cy="32670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42" name="節（数値）"/>
                        <wps:cNvSpPr/>
                        <wps:spPr>
                          <a:xfrm>
                            <a:off x="-1" y="0"/>
                            <a:ext cx="1152820" cy="32630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節の飾り（テキストの背景）" style="mso-wrap-distance-right:9pt;mso-wrap-distance-bottom:0pt;margin-top:-22.8pt;mso-position-vertical-relative:text;mso-position-horizontal-relative:text;position:absolute;height:28.95pt;mso-wrap-distance-top:0pt;width:423.55pt;mso-wrap-distance-left:9pt;margin-left:48.8pt;z-index:-503316397;" coordsize="5383414,368807" coordorigin="-1,0" o:spid="_x0000_s1138" o:allowincell="t" o:allowoverlap="t">
                <v:roundrect id="節（項目）の影" style="height:349757;width:4106922;top:19050;left:1276491;position:absolute;" o:spid="_x0000_s1139" filled="t" fillcolor="#a6a6a6 [2092]" stroked="f" strokecolor="#42709c" strokeweight="1pt" o:spt="2" arcsize="10923f">
                  <v:fill/>
                  <v:stroke linestyle="single" miterlimit="8" endcap="flat" dashstyle="solid"/>
                  <v:textbox style="layout-flow:horizontal;"/>
                  <v:imagedata o:title=""/>
                  <w10:wrap type="none" anchorx="text" anchory="text"/>
                  <w10:anchorlock/>
                </v:roundrect>
                <v:roundrect id="節（数値）の影" style="height:349757;width:1152820;top:19050;left:38099;position:absolute;" o:spid="_x0000_s1140" filled="t" fillcolor="#a6a6a6 [2092]" stroked="f" strokecolor="#42709c" strokeweight="1pt" o:spt="2" arcsize="10923f">
                  <v:fill/>
                  <v:stroke linestyle="single" miterlimit="8" endcap="flat" dashstyle="solid"/>
                  <v:textbox style="layout-flow:horizontal;"/>
                  <v:imagedata o:title=""/>
                  <w10:wrap type="none" anchorx="text" anchory="text"/>
                  <w10:anchorlock/>
                </v:roundrect>
                <v:roundrect id="節（項目）" style="height:326708;width:4120167;top:0;left:1238390;position:absolute;" o:spid="_x0000_s1141" filled="t" fillcolor="#ffffff [3212]" stroked="t" strokecolor="#000000 [3213]" strokeweight="1pt" o:spt="2" arcsize="10923f">
                  <v:fill/>
                  <v:stroke linestyle="single" miterlimit="8" endcap="flat" dashstyle="solid" filltype="solid"/>
                  <v:textbox style="layout-flow:horizontal;"/>
                  <v:imagedata o:title=""/>
                  <w10:wrap type="none" anchorx="text" anchory="text"/>
                  <w10:anchorlock/>
                </v:roundrect>
                <v:roundrect id="節（数値）" style="height:326307;width:1152820;top:0;left:-1;position:absolute;" o:spid="_x0000_s1142" filled="t" fillcolor="#ffffff [3212]" stroked="t" strokecolor="#000000 [3213]" strokeweight="1pt" o:spt="2" arcsize="10923f">
                  <v:fill/>
                  <v:stroke linestyle="single" miterlimit="8" endcap="flat" dashstyle="solid" filltype="solid"/>
                  <v:textbox style="layout-flow:horizontal;"/>
                  <v:imagedata o:title=""/>
                  <w10:wrap type="none" anchorx="text" anchory="text"/>
                  <w10:anchorlock/>
                </v:roundrect>
                <w10:wrap type="none" anchorx="text" anchory="text"/>
                <w10:anchorlock/>
              </v:group>
            </w:pict>
          </mc:Fallback>
        </mc:AlternateContent>
      </w:r>
    </w:p>
    <w:p>
      <w:pPr>
        <w:pStyle w:val="0"/>
        <w:spacing w:line="0" w:lineRule="atLeast"/>
        <w:ind w:left="662" w:leftChars="200" w:hanging="214" w:hangingChars="100"/>
        <w:rPr>
          <w:rFonts w:hint="default"/>
          <w:sz w:val="21"/>
        </w:rPr>
      </w:pPr>
      <w:bookmarkStart w:id="41" w:name="_Toc154411463"/>
      <w:bookmarkStart w:id="42" w:name="_Toc505592289"/>
      <w:bookmarkStart w:id="43" w:name="_Toc62831666"/>
    </w:p>
    <w:p>
      <w:pPr>
        <w:pStyle w:val="80"/>
        <w:spacing w:after="92" w:afterLines="0" w:afterAutospacing="0"/>
        <w:rPr>
          <w:rFonts w:hint="default"/>
        </w:rPr>
      </w:pPr>
      <w:bookmarkStart w:id="44" w:name="_Toc162263667"/>
      <w:r>
        <w:rPr>
          <w:rFonts w:hint="default"/>
        </w:rPr>
        <w:t>１．理解</w:t>
      </w:r>
      <w:r>
        <w:rPr>
          <w:rFonts w:hint="eastAsia"/>
        </w:rPr>
        <w:t>啓発・差別解消の推進</w:t>
      </w:r>
      <w:bookmarkEnd w:id="41"/>
      <w:bookmarkEnd w:id="42"/>
      <w:bookmarkEnd w:id="43"/>
      <w:bookmarkEnd w:id="44"/>
    </w:p>
    <w:p>
      <w:pPr>
        <w:pStyle w:val="21"/>
        <w:spacing w:after="111" w:afterLines="0" w:afterAutospacing="0"/>
        <w:rPr>
          <w:rFonts w:hint="default"/>
        </w:rPr>
      </w:pPr>
      <w:bookmarkStart w:id="45" w:name="_Toc154411464"/>
      <w:r>
        <w:rPr>
          <w:rFonts w:hint="eastAsia"/>
        </w:rPr>
        <w:t>（１）理解啓発活動の充実</w:t>
      </w:r>
      <w:bookmarkEnd w:id="45"/>
    </w:p>
    <w:p>
      <w:pPr>
        <w:pStyle w:val="72"/>
        <w:ind w:left="224"/>
        <w:rPr>
          <w:rFonts w:hint="default"/>
        </w:rPr>
      </w:pPr>
      <w:r>
        <w:rPr>
          <w:rFonts w:hint="eastAsia"/>
        </w:rPr>
        <w:t>【現状と課題】</w:t>
      </w:r>
    </w:p>
    <w:p>
      <w:pPr>
        <w:pStyle w:val="0"/>
        <w:ind w:left="662" w:leftChars="200" w:hanging="214" w:hangingChars="100"/>
        <w:rPr>
          <w:rFonts w:hint="default"/>
          <w:sz w:val="21"/>
        </w:rPr>
      </w:pPr>
      <w:r>
        <w:rPr>
          <w:rFonts w:hint="eastAsia"/>
          <w:sz w:val="21"/>
        </w:rPr>
        <w:t>○障がいの理解及び啓発については、障害者週間や世界自閉症啓発デー、手話言語国際デー等の啓発期間に合わせて、役場庁舎等において、関係する資料の展示を行っているほか、広報紙や町ホームページへの掲載、社協だよりを活用しての周知を行っています。住民の障がいへの理解啓発に向けた継続的な取り組みが必要です。</w:t>
      </w:r>
    </w:p>
    <w:p>
      <w:pPr>
        <w:pStyle w:val="0"/>
        <w:ind w:left="662" w:leftChars="200" w:hanging="214" w:hangingChars="100"/>
        <w:rPr>
          <w:rFonts w:hint="default"/>
          <w:sz w:val="21"/>
        </w:rPr>
      </w:pPr>
      <w:r>
        <w:rPr>
          <w:rFonts w:hint="eastAsia"/>
          <w:sz w:val="21"/>
        </w:rPr>
        <w:t>○沖縄県が作成した「ヘルプマーク」や「ちゅらパーキング制度」の周知広報、窓口での配布などに努めています。</w:t>
      </w:r>
    </w:p>
    <w:p>
      <w:pPr>
        <w:pStyle w:val="0"/>
        <w:ind w:left="662" w:leftChars="200" w:hanging="214" w:hangingChars="100"/>
        <w:rPr>
          <w:rFonts w:hint="default"/>
          <w:sz w:val="21"/>
        </w:rPr>
      </w:pPr>
      <w:r>
        <w:rPr>
          <w:rFonts w:hint="eastAsia"/>
          <w:sz w:val="21"/>
        </w:rPr>
        <w:t>○町民生委員・児童委員に対し、障害福祉制度に関する勉強会を開催しました。</w:t>
      </w:r>
    </w:p>
    <w:p>
      <w:pPr>
        <w:pStyle w:val="0"/>
        <w:ind w:left="662" w:leftChars="200" w:hanging="214" w:hangingChars="100"/>
        <w:rPr>
          <w:rFonts w:hint="default"/>
          <w:sz w:val="21"/>
        </w:rPr>
      </w:pPr>
      <w:r>
        <w:rPr>
          <w:rFonts w:hint="eastAsia"/>
          <w:sz w:val="21"/>
        </w:rPr>
        <w:t>○町内小学４年生を対象に、当事者による講話を通して手話を学ぶ機会を設けたり、南風原高校３年生に障がいへの理解啓発に関する出前講座を実施しました。</w:t>
      </w:r>
    </w:p>
    <w:p>
      <w:pPr>
        <w:pStyle w:val="0"/>
        <w:ind w:left="662" w:leftChars="200" w:hanging="214" w:hangingChars="100"/>
        <w:rPr>
          <w:rFonts w:hint="default"/>
          <w:sz w:val="21"/>
        </w:rPr>
      </w:pPr>
      <w:r>
        <w:rPr>
          <w:rFonts w:hint="eastAsia"/>
          <w:sz w:val="21"/>
        </w:rPr>
        <w:t>○地域組織や団体等に対する理解啓発をさらに実施するため、町社会福祉協議会との連携が必要です。</w:t>
      </w:r>
    </w:p>
    <w:p>
      <w:pPr>
        <w:pStyle w:val="0"/>
        <w:ind w:left="662" w:leftChars="200" w:hanging="214" w:hangingChars="100"/>
        <w:rPr>
          <w:rFonts w:hint="default"/>
          <w:sz w:val="21"/>
        </w:rPr>
      </w:pPr>
      <w:r>
        <w:rPr>
          <w:rFonts w:hint="eastAsia"/>
          <w:sz w:val="21"/>
        </w:rPr>
        <w:t>○障害者週間の啓発活動の一環として、町内障害福祉サービス事業所が製作した商品の販売活動を町内スーパーでの実施や、南風原町オリジナルルールの「か・ボッチャ」を障害福祉サービス事業所に通う利用者参加型で実施する等、啓発活動と合わせた交流事業を行いました。今後も、体験・交流の場づくりを継続的に続けるための仕組みづくりが必要です。</w:t>
      </w:r>
    </w:p>
    <w:p>
      <w:pPr>
        <w:pStyle w:val="0"/>
        <w:ind w:left="662" w:leftChars="200" w:hanging="214" w:hangingChars="100"/>
        <w:rPr>
          <w:rFonts w:hint="default"/>
          <w:sz w:val="21"/>
        </w:rPr>
      </w:pPr>
    </w:p>
    <w:p>
      <w:pPr>
        <w:pStyle w:val="128"/>
        <w:ind w:left="224"/>
        <w:rPr>
          <w:rFonts w:hint="default"/>
        </w:rPr>
      </w:pPr>
      <w:r>
        <w:rPr>
          <w:rFonts w:hint="eastAsia"/>
        </w:rPr>
        <w:t>（アンケート調査より）</w:t>
      </w:r>
    </w:p>
    <w:p>
      <w:pPr>
        <w:pStyle w:val="0"/>
        <w:ind w:left="662" w:leftChars="200" w:hanging="214" w:hangingChars="100"/>
        <w:rPr>
          <w:rFonts w:hint="default"/>
          <w:sz w:val="21"/>
        </w:rPr>
      </w:pPr>
      <w:r>
        <w:rPr>
          <w:rFonts w:hint="eastAsia"/>
          <w:sz w:val="21"/>
        </w:rPr>
        <w:t>◯５年前と比べて障がい者に対する地域の理解・認識について、「何も変わらない」が</w:t>
      </w:r>
      <w:r>
        <w:rPr>
          <w:rFonts w:hint="default"/>
          <w:sz w:val="21"/>
        </w:rPr>
        <w:t>48.6</w:t>
      </w:r>
      <w:r>
        <w:rPr>
          <w:rFonts w:hint="eastAsia"/>
          <w:sz w:val="21"/>
        </w:rPr>
        <w:t>％</w:t>
      </w:r>
      <w:r>
        <w:rPr>
          <w:rFonts w:hint="eastAsia"/>
          <w:sz w:val="21"/>
        </w:rPr>
        <w:t>(</w:t>
      </w:r>
      <w:r>
        <w:rPr>
          <w:rFonts w:hint="eastAsia"/>
          <w:sz w:val="21"/>
        </w:rPr>
        <w:t>前回</w:t>
      </w:r>
      <w:r>
        <w:rPr>
          <w:rFonts w:hint="default"/>
          <w:sz w:val="21"/>
        </w:rPr>
        <w:t>47.3</w:t>
      </w:r>
      <w:r>
        <w:rPr>
          <w:rFonts w:hint="default"/>
          <w:sz w:val="21"/>
        </w:rPr>
        <w:t>％</w:t>
      </w:r>
      <w:r>
        <w:rPr>
          <w:rFonts w:hint="eastAsia"/>
          <w:sz w:val="21"/>
        </w:rPr>
        <w:t>)</w:t>
      </w:r>
      <w:r>
        <w:rPr>
          <w:rFonts w:hint="eastAsia"/>
          <w:sz w:val="21"/>
        </w:rPr>
        <w:t>と最も高く、次に「深まっていると思う」が</w:t>
      </w:r>
      <w:r>
        <w:rPr>
          <w:rFonts w:hint="eastAsia"/>
          <w:sz w:val="21"/>
        </w:rPr>
        <w:t>28.9</w:t>
      </w:r>
      <w:r>
        <w:rPr>
          <w:rFonts w:hint="eastAsia"/>
          <w:sz w:val="21"/>
        </w:rPr>
        <w:t>％</w:t>
      </w:r>
      <w:r>
        <w:rPr>
          <w:rFonts w:hint="eastAsia"/>
          <w:sz w:val="21"/>
        </w:rPr>
        <w:t>(</w:t>
      </w:r>
      <w:r>
        <w:rPr>
          <w:rFonts w:hint="eastAsia"/>
          <w:sz w:val="21"/>
        </w:rPr>
        <w:t>前回</w:t>
      </w:r>
      <w:r>
        <w:rPr>
          <w:rFonts w:hint="eastAsia"/>
          <w:sz w:val="21"/>
        </w:rPr>
        <w:t>28.5</w:t>
      </w:r>
      <w:r>
        <w:rPr>
          <w:rFonts w:hint="eastAsia"/>
          <w:sz w:val="21"/>
        </w:rPr>
        <w:t>％</w:t>
      </w:r>
      <w:r>
        <w:rPr>
          <w:rFonts w:hint="eastAsia"/>
          <w:sz w:val="21"/>
        </w:rPr>
        <w:t>)</w:t>
      </w:r>
      <w:r>
        <w:rPr>
          <w:rFonts w:hint="eastAsia"/>
          <w:sz w:val="21"/>
        </w:rPr>
        <w:t>となっています。一方、日常生活で困っていることでの「社会の障がいへの理解が十分ではなく、誤解や偏見がある」は</w:t>
      </w:r>
      <w:r>
        <w:rPr>
          <w:rFonts w:hint="eastAsia"/>
          <w:sz w:val="21"/>
        </w:rPr>
        <w:t>13.2</w:t>
      </w:r>
      <w:r>
        <w:rPr>
          <w:rFonts w:hint="eastAsia"/>
          <w:sz w:val="21"/>
        </w:rPr>
        <w:t>％</w:t>
      </w:r>
      <w:r>
        <w:rPr>
          <w:rFonts w:hint="eastAsia"/>
          <w:sz w:val="21"/>
        </w:rPr>
        <w:t>(</w:t>
      </w:r>
      <w:r>
        <w:rPr>
          <w:rFonts w:hint="eastAsia"/>
          <w:sz w:val="21"/>
        </w:rPr>
        <w:t>前回</w:t>
      </w:r>
      <w:r>
        <w:rPr>
          <w:rFonts w:hint="eastAsia"/>
          <w:sz w:val="21"/>
        </w:rPr>
        <w:t>19.1</w:t>
      </w:r>
      <w:r>
        <w:rPr>
          <w:rFonts w:hint="eastAsia"/>
          <w:sz w:val="21"/>
        </w:rPr>
        <w:t>％</w:t>
      </w:r>
      <w:r>
        <w:rPr>
          <w:rFonts w:hint="eastAsia"/>
          <w:sz w:val="21"/>
        </w:rPr>
        <w:t>)</w:t>
      </w:r>
      <w:r>
        <w:rPr>
          <w:rFonts w:hint="eastAsia"/>
          <w:sz w:val="21"/>
        </w:rPr>
        <w:t>となっています。</w:t>
      </w:r>
    </w:p>
    <w:p>
      <w:pPr>
        <w:pStyle w:val="0"/>
        <w:ind w:left="662" w:leftChars="200" w:hanging="214" w:hangingChars="100"/>
        <w:rPr>
          <w:rFonts w:hint="default"/>
          <w:sz w:val="21"/>
        </w:rPr>
      </w:pPr>
      <w:r>
        <w:rPr>
          <w:rFonts w:hint="eastAsia"/>
          <w:sz w:val="21"/>
        </w:rPr>
        <w:t>○障がい者に対する誤解や偏見があるの割合は前回に比べて低くなっているものの、理解・認識は十分ではないことがうかがえ、今後も理解啓発の充実に努める必要があります。</w:t>
      </w: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widowControl w:val="1"/>
        <w:jc w:val="left"/>
        <w:rPr>
          <w:rFonts w:hint="default" w:ascii="ＭＳ ゴシック" w:hAnsi="ＭＳ ゴシック" w:eastAsia="ＭＳ ゴシック"/>
        </w:rPr>
      </w:pPr>
      <w:r>
        <w:rPr>
          <w:rFonts w:hint="default"/>
        </w:rPr>
        <w:br w:type="page"/>
      </w: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231"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43"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44"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45"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46"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49;" coordsize="6044565,219710" coordorigin="0,0" o:spid="_x0000_s1143" o:allowincell="t" o:allowoverlap="t">
                <v:roundrect id="今後の取り組み_四角（灰）" style="height:219710;width:6044565;top:0;left:0;position:absolute;" o:spid="_x0000_s1144"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45"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46"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共生社会実現のためには、障がいや障がい者を正しく理解し、互いに認め合うことが大切であり、障がい者の自立支援、社会参加のため、関係機関、関係団体、障害福祉サービス事業所等と連携し、継続性を持って地域における理解・啓発活動の充実に取り組むことを目指します。</w:t>
      </w:r>
    </w:p>
    <w:p>
      <w:pPr>
        <w:pStyle w:val="0"/>
        <w:ind w:left="560" w:leftChars="250" w:firstLine="214" w:firstLineChars="100"/>
        <w:rPr>
          <w:rFonts w:hint="default"/>
          <w:sz w:val="21"/>
        </w:rPr>
      </w:pPr>
    </w:p>
    <w:p>
      <w:pPr>
        <w:pStyle w:val="73"/>
        <w:ind w:left="672" w:hanging="224"/>
        <w:rPr>
          <w:rFonts w:hint="default"/>
          <w:color w:val="auto"/>
        </w:rPr>
      </w:pPr>
      <w:r>
        <w:rPr>
          <w:rFonts w:hint="eastAsia"/>
          <w:color w:val="auto"/>
        </w:rPr>
        <w:t>①障がいや障がいのある人に関する理解・啓発の推進</w:t>
      </w:r>
    </w:p>
    <w:p>
      <w:pPr>
        <w:pStyle w:val="0"/>
        <w:ind w:left="886" w:leftChars="300" w:hanging="214" w:hangingChars="100"/>
        <w:rPr>
          <w:rFonts w:hint="default"/>
          <w:sz w:val="21"/>
        </w:rPr>
      </w:pPr>
      <w:r>
        <w:rPr>
          <w:rFonts w:hint="eastAsia"/>
          <w:sz w:val="21"/>
        </w:rPr>
        <w:t>・障がい及び障がいのある人に対する地域住民の正しい知識と理解を深めるために、広報紙やホームページをはじめ、イベントの開催や障害者週間を活用した啓発事業等、様々な機会を通じて、正しい知識の普及・啓発に取り組みます。</w:t>
      </w:r>
    </w:p>
    <w:p>
      <w:pPr>
        <w:pStyle w:val="0"/>
        <w:ind w:left="896" w:leftChars="300" w:hanging="224" w:hangingChars="100"/>
        <w:rPr>
          <w:rFonts w:hint="default" w:ascii="ＭＳ ゴシック" w:hAnsi="ＭＳ ゴシック" w:eastAsia="ＭＳ ゴシック"/>
        </w:rPr>
      </w:pPr>
    </w:p>
    <w:p>
      <w:pPr>
        <w:pStyle w:val="73"/>
        <w:ind w:left="672" w:hanging="224"/>
        <w:rPr>
          <w:rFonts w:hint="default"/>
          <w:color w:val="auto"/>
        </w:rPr>
      </w:pPr>
      <w:r>
        <w:rPr>
          <w:rFonts w:hint="eastAsia"/>
          <w:color w:val="auto"/>
        </w:rPr>
        <w:t>②地域組織等への理解・啓発の推進</w:t>
      </w:r>
    </w:p>
    <w:p>
      <w:pPr>
        <w:pStyle w:val="0"/>
        <w:ind w:left="886" w:leftChars="300" w:hanging="214" w:hangingChars="100"/>
        <w:rPr>
          <w:rFonts w:hint="default"/>
          <w:sz w:val="21"/>
        </w:rPr>
      </w:pPr>
      <w:r>
        <w:rPr>
          <w:rFonts w:hint="eastAsia"/>
          <w:sz w:val="21"/>
        </w:rPr>
        <w:t>・町社会福祉協議会と連携し、自治会及びその他住民組織・団体等に対する障がい及び障がい者理解促進のための講話や勉強会等の実施に取り組みます。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③体験・交流を通した理解促進</w:t>
      </w:r>
    </w:p>
    <w:p>
      <w:pPr>
        <w:pStyle w:val="0"/>
        <w:ind w:left="886" w:leftChars="300" w:hanging="214" w:hangingChars="100"/>
        <w:rPr>
          <w:rFonts w:hint="default"/>
          <w:sz w:val="21"/>
        </w:rPr>
      </w:pPr>
      <w:r>
        <w:rPr>
          <w:rFonts w:hint="eastAsia"/>
          <w:sz w:val="21"/>
        </w:rPr>
        <w:t>・町のイベントや｢福祉まつり｣等の取り組みにおいて、障がいや障がい者への理解が深まるような企画や障がい者が参加しやすい環境づくりを行い、障がいのある人もない人も共に理解し、交流できるよう、町社会福祉協議会、町民生委員・児童委員連合会、町内の障害福祉サービス事業所等との連携を図り、多様な交流活動を推進します。</w:t>
      </w:r>
    </w:p>
    <w:p>
      <w:pPr>
        <w:pStyle w:val="0"/>
        <w:ind w:left="886" w:leftChars="300" w:hanging="214" w:hangingChars="100"/>
        <w:rPr>
          <w:rFonts w:hint="default"/>
          <w:sz w:val="21"/>
        </w:rPr>
      </w:pPr>
    </w:p>
    <w:p>
      <w:pPr>
        <w:pStyle w:val="0"/>
        <w:widowControl w:val="1"/>
        <w:jc w:val="left"/>
        <w:rPr>
          <w:rFonts w:hint="default"/>
          <w:sz w:val="21"/>
        </w:rPr>
      </w:pPr>
      <w:r>
        <w:rPr>
          <w:rFonts w:hint="default"/>
          <w:sz w:val="21"/>
        </w:rPr>
        <w:br w:type="page"/>
      </w:r>
    </w:p>
    <w:p>
      <w:pPr>
        <w:pStyle w:val="21"/>
        <w:spacing w:after="111" w:afterLines="0" w:afterAutospacing="0"/>
        <w:rPr>
          <w:rFonts w:hint="default"/>
        </w:rPr>
      </w:pPr>
      <w:bookmarkStart w:id="46" w:name="_Toc154411465"/>
      <w:r>
        <w:rPr>
          <w:rFonts w:hint="eastAsia"/>
        </w:rPr>
        <w:t>（２）差別解消・合理的配慮の普及啓発</w:t>
      </w:r>
      <w:bookmarkEnd w:id="46"/>
    </w:p>
    <w:p>
      <w:pPr>
        <w:pStyle w:val="72"/>
        <w:ind w:left="224"/>
        <w:rPr>
          <w:rFonts w:hint="default"/>
        </w:rPr>
      </w:pPr>
      <w:r>
        <w:rPr>
          <w:rFonts w:hint="eastAsia"/>
        </w:rPr>
        <w:t>【現状と課題】</w:t>
      </w:r>
    </w:p>
    <w:p>
      <w:pPr>
        <w:pStyle w:val="0"/>
        <w:ind w:left="662" w:leftChars="200" w:hanging="214" w:hangingChars="100"/>
        <w:rPr>
          <w:rFonts w:hint="default"/>
          <w:sz w:val="21"/>
        </w:rPr>
      </w:pPr>
      <w:r>
        <w:rPr>
          <w:rFonts w:hint="eastAsia"/>
          <w:sz w:val="21"/>
        </w:rPr>
        <w:t>○「障害者差別解消法」では、障がいのある人に対して、正当な理由なく、障がいを理由とした不当な差別的取り扱いを禁止しています。「障害者差別解消法」の改正点である</w:t>
      </w:r>
      <w:r>
        <w:rPr>
          <w:rFonts w:hint="default"/>
          <w:sz w:val="21"/>
        </w:rPr>
        <w:t>事業者による合理的配慮が義務化されること</w:t>
      </w:r>
      <w:r>
        <w:rPr>
          <w:rFonts w:hint="eastAsia"/>
          <w:sz w:val="21"/>
        </w:rPr>
        <w:t>等</w:t>
      </w:r>
      <w:r>
        <w:rPr>
          <w:rFonts w:hint="default"/>
          <w:sz w:val="21"/>
        </w:rPr>
        <w:t>も含めてホームページに掲載してい</w:t>
      </w:r>
      <w:r>
        <w:rPr>
          <w:rFonts w:hint="eastAsia"/>
          <w:sz w:val="21"/>
        </w:rPr>
        <w:t>ます</w:t>
      </w:r>
      <w:r>
        <w:rPr>
          <w:rFonts w:hint="default"/>
          <w:sz w:val="21"/>
        </w:rPr>
        <w:t>。</w:t>
      </w:r>
    </w:p>
    <w:p>
      <w:pPr>
        <w:pStyle w:val="0"/>
        <w:ind w:left="662" w:leftChars="200" w:hanging="214" w:hangingChars="100"/>
        <w:rPr>
          <w:rFonts w:hint="default"/>
          <w:sz w:val="21"/>
        </w:rPr>
      </w:pPr>
      <w:r>
        <w:rPr>
          <w:rFonts w:hint="eastAsia"/>
          <w:sz w:val="21"/>
        </w:rPr>
        <w:t>○障害者週間期間中に障がい特性に応じた配慮に関する掲示を行い障がいを理由とした差別防止や合理的配慮について理解啓発に取り組んでいます。</w:t>
      </w:r>
    </w:p>
    <w:p>
      <w:pPr>
        <w:pStyle w:val="0"/>
        <w:ind w:left="662" w:leftChars="200" w:hanging="214" w:hangingChars="100"/>
        <w:rPr>
          <w:rFonts w:hint="default"/>
          <w:sz w:val="21"/>
        </w:rPr>
      </w:pPr>
      <w:r>
        <w:rPr>
          <w:rFonts w:hint="eastAsia"/>
          <w:sz w:val="21"/>
        </w:rPr>
        <w:t>○差別解消や合理的配慮に対する地域への理解浸透は十分ではなく、今後も、広報・啓発活動を行うとともに、町社会福祉協議会と連携協力し地域組織への勉強会等の開催に取り組む必要があります。</w:t>
      </w:r>
    </w:p>
    <w:p>
      <w:pPr>
        <w:pStyle w:val="0"/>
        <w:ind w:left="662" w:leftChars="200" w:hanging="214" w:hangingChars="100"/>
        <w:rPr>
          <w:rFonts w:hint="default"/>
          <w:sz w:val="21"/>
        </w:rPr>
      </w:pPr>
      <w:r>
        <w:rPr>
          <w:rFonts w:hint="eastAsia"/>
          <w:sz w:val="21"/>
        </w:rPr>
        <w:t>○障がい者の差別解消や合理的配慮の観点から、障がいの特性に応じた適切な窓口対応が提供できるよう、職員一同接遇向上に取り組んでいます。</w:t>
      </w:r>
    </w:p>
    <w:p>
      <w:pPr>
        <w:pStyle w:val="0"/>
        <w:ind w:left="662" w:leftChars="200" w:hanging="214" w:hangingChars="100"/>
        <w:rPr>
          <w:rFonts w:hint="default"/>
          <w:sz w:val="21"/>
        </w:rPr>
      </w:pPr>
      <w:r>
        <w:rPr>
          <w:rFonts w:hint="eastAsia"/>
          <w:sz w:val="21"/>
        </w:rPr>
        <w:t>○投票所のバリアフリーについては、各投票所を段差が少ないフラットな環境になるよう配慮し、障がい者の利用に配慮しています。また、介助が必要な方についても人員を配置し、適宜状況に合った対応を行っています。郵便投票についても申請を受け付けて、投票機会の確保をしています。</w:t>
      </w:r>
    </w:p>
    <w:p>
      <w:pPr>
        <w:pStyle w:val="0"/>
        <w:ind w:left="662" w:leftChars="200" w:hanging="214" w:hangingChars="100"/>
        <w:rPr>
          <w:rFonts w:hint="default"/>
          <w:sz w:val="21"/>
        </w:rPr>
      </w:pPr>
    </w:p>
    <w:p>
      <w:pPr>
        <w:pStyle w:val="128"/>
        <w:ind w:left="224"/>
        <w:rPr>
          <w:rFonts w:hint="default"/>
        </w:rPr>
      </w:pPr>
      <w:r>
        <w:rPr>
          <w:rFonts w:hint="eastAsia"/>
        </w:rPr>
        <w:t>（アンケート調査より）</w:t>
      </w:r>
    </w:p>
    <w:p>
      <w:pPr>
        <w:pStyle w:val="0"/>
        <w:ind w:left="662" w:leftChars="200" w:hanging="214" w:hangingChars="100"/>
        <w:rPr>
          <w:rFonts w:hint="default"/>
          <w:sz w:val="21"/>
        </w:rPr>
      </w:pPr>
      <w:r>
        <w:rPr>
          <w:rFonts w:hint="eastAsia"/>
          <w:sz w:val="21"/>
        </w:rPr>
        <w:t>○障がいがあることで差別や嫌な思いをしたことについて、</w:t>
      </w:r>
      <w:r>
        <w:rPr>
          <w:rFonts w:hint="eastAsia"/>
          <w:sz w:val="21"/>
        </w:rPr>
        <w:t>35.7</w:t>
      </w:r>
      <w:r>
        <w:rPr>
          <w:rFonts w:hint="eastAsia"/>
          <w:sz w:val="21"/>
        </w:rPr>
        <w:t>％</w:t>
      </w:r>
      <w:r>
        <w:rPr>
          <w:rFonts w:hint="eastAsia"/>
          <w:sz w:val="21"/>
        </w:rPr>
        <w:t>(</w:t>
      </w:r>
      <w:r>
        <w:rPr>
          <w:rFonts w:hint="eastAsia"/>
          <w:sz w:val="21"/>
        </w:rPr>
        <w:t>前回</w:t>
      </w:r>
      <w:r>
        <w:rPr>
          <w:rFonts w:hint="eastAsia"/>
          <w:sz w:val="21"/>
        </w:rPr>
        <w:t>40.0</w:t>
      </w:r>
      <w:r>
        <w:rPr>
          <w:rFonts w:hint="eastAsia"/>
          <w:sz w:val="21"/>
        </w:rPr>
        <w:t>％</w:t>
      </w:r>
      <w:r>
        <w:rPr>
          <w:rFonts w:hint="eastAsia"/>
          <w:sz w:val="21"/>
        </w:rPr>
        <w:t>)</w:t>
      </w:r>
      <w:r>
        <w:rPr>
          <w:rFonts w:hint="eastAsia"/>
          <w:sz w:val="21"/>
        </w:rPr>
        <w:t>の障がい者が「ある」と答えています。また、障がい児の保護者では</w:t>
      </w:r>
      <w:r>
        <w:rPr>
          <w:rFonts w:hint="eastAsia"/>
          <w:sz w:val="21"/>
        </w:rPr>
        <w:t>41.8</w:t>
      </w:r>
      <w:r>
        <w:rPr>
          <w:rFonts w:hint="eastAsia"/>
          <w:sz w:val="21"/>
        </w:rPr>
        <w:t>％</w:t>
      </w:r>
      <w:r>
        <w:rPr>
          <w:rFonts w:hint="eastAsia"/>
          <w:sz w:val="21"/>
        </w:rPr>
        <w:t>(</w:t>
      </w:r>
      <w:r>
        <w:rPr>
          <w:rFonts w:hint="eastAsia"/>
          <w:sz w:val="21"/>
        </w:rPr>
        <w:t>前回</w:t>
      </w:r>
      <w:r>
        <w:rPr>
          <w:rFonts w:hint="eastAsia"/>
          <w:sz w:val="21"/>
        </w:rPr>
        <w:t>39.6</w:t>
      </w:r>
      <w:r>
        <w:rPr>
          <w:rFonts w:hint="eastAsia"/>
          <w:sz w:val="21"/>
        </w:rPr>
        <w:t>％</w:t>
      </w:r>
      <w:r>
        <w:rPr>
          <w:rFonts w:hint="eastAsia"/>
          <w:sz w:val="21"/>
        </w:rPr>
        <w:t>)</w:t>
      </w:r>
      <w:r>
        <w:rPr>
          <w:rFonts w:hint="eastAsia"/>
          <w:sz w:val="21"/>
        </w:rPr>
        <w:t>が「ある」と答えています。差別や嫌な思いをした場所として病院、学校、スーパー・ショッピングセンター、バス・タクシー等の公共交通機関等様々です。</w:t>
      </w:r>
    </w:p>
    <w:p>
      <w:pPr>
        <w:pStyle w:val="0"/>
        <w:ind w:left="662" w:leftChars="200" w:hanging="214" w:hangingChars="100"/>
        <w:rPr>
          <w:rFonts w:hint="default"/>
          <w:sz w:val="21"/>
        </w:rPr>
      </w:pPr>
      <w:r>
        <w:rPr>
          <w:rFonts w:hint="eastAsia"/>
          <w:sz w:val="21"/>
        </w:rPr>
        <w:t>○「障害者差別解消法」や「合理的配慮」について、「名称も内容も知っている」障がい者は前回は</w:t>
      </w:r>
      <w:r>
        <w:rPr>
          <w:rFonts w:hint="eastAsia"/>
          <w:sz w:val="21"/>
        </w:rPr>
        <w:t>7.3</w:t>
      </w:r>
      <w:r>
        <w:rPr>
          <w:rFonts w:hint="eastAsia"/>
          <w:sz w:val="21"/>
        </w:rPr>
        <w:t>％、</w:t>
      </w:r>
      <w:r>
        <w:rPr>
          <w:rFonts w:hint="eastAsia"/>
          <w:sz w:val="21"/>
        </w:rPr>
        <w:t>6.1</w:t>
      </w:r>
      <w:r>
        <w:rPr>
          <w:rFonts w:hint="eastAsia"/>
          <w:sz w:val="21"/>
        </w:rPr>
        <w:t>％となっていますが、今回は障がい児の保護者のみに聞いています。それぞれ</w:t>
      </w:r>
      <w:r>
        <w:rPr>
          <w:rFonts w:hint="eastAsia"/>
          <w:sz w:val="21"/>
        </w:rPr>
        <w:t>9.2</w:t>
      </w:r>
      <w:r>
        <w:rPr>
          <w:rFonts w:hint="eastAsia"/>
          <w:sz w:val="21"/>
        </w:rPr>
        <w:t>％</w:t>
      </w:r>
      <w:r>
        <w:rPr>
          <w:rFonts w:hint="eastAsia"/>
          <w:sz w:val="21"/>
        </w:rPr>
        <w:t>(</w:t>
      </w:r>
      <w:r>
        <w:rPr>
          <w:rFonts w:hint="eastAsia"/>
          <w:sz w:val="21"/>
        </w:rPr>
        <w:t>前回</w:t>
      </w:r>
      <w:r>
        <w:rPr>
          <w:rFonts w:hint="default"/>
          <w:sz w:val="21"/>
        </w:rPr>
        <w:t>7.2</w:t>
      </w:r>
      <w:r>
        <w:rPr>
          <w:rFonts w:hint="eastAsia"/>
          <w:sz w:val="21"/>
        </w:rPr>
        <w:t>％</w:t>
      </w:r>
      <w:r>
        <w:rPr>
          <w:rFonts w:hint="eastAsia"/>
          <w:sz w:val="21"/>
        </w:rPr>
        <w:t>)</w:t>
      </w:r>
      <w:r>
        <w:rPr>
          <w:rFonts w:hint="eastAsia"/>
          <w:sz w:val="21"/>
        </w:rPr>
        <w:t>、</w:t>
      </w:r>
      <w:r>
        <w:rPr>
          <w:rFonts w:hint="eastAsia"/>
          <w:sz w:val="21"/>
        </w:rPr>
        <w:t>22.2</w:t>
      </w:r>
      <w:r>
        <w:rPr>
          <w:rFonts w:hint="eastAsia"/>
          <w:sz w:val="21"/>
        </w:rPr>
        <w:t>％</w:t>
      </w:r>
      <w:r>
        <w:rPr>
          <w:rFonts w:hint="eastAsia"/>
          <w:sz w:val="21"/>
        </w:rPr>
        <w:t>(</w:t>
      </w:r>
      <w:r>
        <w:rPr>
          <w:rFonts w:hint="eastAsia"/>
          <w:sz w:val="21"/>
        </w:rPr>
        <w:t>前回</w:t>
      </w:r>
      <w:r>
        <w:rPr>
          <w:rFonts w:hint="default"/>
          <w:sz w:val="21"/>
        </w:rPr>
        <w:t>18.9</w:t>
      </w:r>
      <w:r>
        <w:rPr>
          <w:rFonts w:hint="eastAsia"/>
          <w:sz w:val="21"/>
        </w:rPr>
        <w:t>％</w:t>
      </w:r>
      <w:r>
        <w:rPr>
          <w:rFonts w:hint="eastAsia"/>
          <w:sz w:val="21"/>
        </w:rPr>
        <w:t>)</w:t>
      </w:r>
      <w:r>
        <w:rPr>
          <w:rFonts w:hint="eastAsia"/>
          <w:sz w:val="21"/>
        </w:rPr>
        <w:t>と前回とほぼ同程度であることから、更なる周知強化に努める必要があります。</w:t>
      </w: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72" w:leftChars="200" w:hanging="224" w:hangingChars="100"/>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r>
        <w:rPr>
          <w:rFonts w:hint="default"/>
        </w:rPr>
        <w:br w:type="page"/>
      </w: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88"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47"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48"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49"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50"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92;" coordsize="6044565,219710" coordorigin="0,0" o:spid="_x0000_s1147" o:allowincell="t" o:allowoverlap="t">
                <v:roundrect id="今後の取り組み_四角（灰）" style="height:219710;width:6044565;top:0;left:0;position:absolute;" o:spid="_x0000_s1148"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49"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50"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default"/>
        </w:rPr>
        <w:t>【</w:t>
      </w:r>
      <w:r>
        <w:rPr>
          <w:rFonts w:hint="eastAsia"/>
        </w:rPr>
        <w:t>施策の基本的な考え方</w:t>
      </w:r>
      <w:r>
        <w:rPr>
          <w:rFonts w:hint="default"/>
        </w:rPr>
        <w:t>】</w:t>
      </w:r>
    </w:p>
    <w:p>
      <w:pPr>
        <w:pStyle w:val="0"/>
        <w:ind w:left="448" w:leftChars="200" w:firstLine="214" w:firstLineChars="100"/>
        <w:rPr>
          <w:rFonts w:hint="default"/>
          <w:sz w:val="21"/>
        </w:rPr>
      </w:pPr>
      <w:r>
        <w:rPr>
          <w:rFonts w:hint="eastAsia"/>
          <w:sz w:val="21"/>
        </w:rPr>
        <w:t>障がいのある人もない人も共に暮らせる社会を目指すには、日常生活や社会生活において障がい者の活動を制限し、社会への参加を制約している社会的障壁を取り除くことが重要となります。このため、障害者差別解消法の趣旨や合理的配慮の普及啓発に取り組み、障がい者も含めた一人ひとりが、それぞれの立場において自発的に差別解消に取り組むことを促していきます。</w:t>
      </w:r>
    </w:p>
    <w:p>
      <w:pPr>
        <w:pStyle w:val="0"/>
        <w:ind w:left="448" w:leftChars="200" w:firstLine="214" w:firstLineChars="100"/>
        <w:rPr>
          <w:rFonts w:hint="default"/>
          <w:sz w:val="21"/>
        </w:rPr>
      </w:pPr>
    </w:p>
    <w:p>
      <w:pPr>
        <w:pStyle w:val="73"/>
        <w:ind w:left="672" w:hanging="224"/>
        <w:rPr>
          <w:rFonts w:hint="default"/>
          <w:color w:val="auto"/>
        </w:rPr>
      </w:pPr>
      <w:r>
        <w:rPr>
          <w:rFonts w:hint="eastAsia"/>
          <w:color w:val="auto"/>
        </w:rPr>
        <w:t>①障がいを理由とする差別解消や合理的配慮の提供に関する啓発活動</w:t>
      </w:r>
    </w:p>
    <w:p>
      <w:pPr>
        <w:pStyle w:val="59"/>
        <w:widowControl w:val="1"/>
        <w:ind w:left="886" w:leftChars="300" w:hanging="214" w:hangingChars="100"/>
        <w:jc w:val="left"/>
        <w:rPr>
          <w:rFonts w:hint="default"/>
          <w:sz w:val="21"/>
        </w:rPr>
      </w:pPr>
      <w:r>
        <w:rPr>
          <w:rFonts w:hint="eastAsia"/>
          <w:sz w:val="21"/>
        </w:rPr>
        <w:t>・差別解消や合理的配慮に対する地域への理解浸透を図るため、今後も、障害者週間等の啓発週間を活用した広報や啓発活動を行うとともに、町社会福祉協議会と連携協力し、町民生委員・児童委員等の関係団体や地域団体への勉強会等、普及啓発に取り組み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②職員に対する障がい者理解の周知・啓発</w:t>
      </w:r>
    </w:p>
    <w:p>
      <w:pPr>
        <w:pStyle w:val="59"/>
        <w:widowControl w:val="1"/>
        <w:ind w:left="886" w:leftChars="300" w:hanging="214" w:hangingChars="100"/>
        <w:jc w:val="left"/>
        <w:rPr>
          <w:rFonts w:hint="default"/>
          <w:sz w:val="21"/>
        </w:rPr>
      </w:pPr>
      <w:r>
        <w:rPr>
          <w:rFonts w:hint="eastAsia"/>
          <w:sz w:val="21"/>
        </w:rPr>
        <w:t>・障がい特性に応じた適切な対応が提供できるよう障がいを理由とした差別の禁止や合理的配慮について職員への周知徹底を図ります。</w:t>
      </w:r>
    </w:p>
    <w:p>
      <w:pPr>
        <w:pStyle w:val="59"/>
        <w:widowControl w:val="1"/>
        <w:ind w:left="886" w:leftChars="300" w:hanging="214" w:hangingChars="100"/>
        <w:jc w:val="left"/>
        <w:rPr>
          <w:rFonts w:hint="default"/>
          <w:sz w:val="21"/>
        </w:rPr>
      </w:pPr>
    </w:p>
    <w:p>
      <w:pPr>
        <w:pStyle w:val="73"/>
        <w:ind w:left="672" w:hanging="224"/>
        <w:rPr>
          <w:rFonts w:hint="default"/>
          <w:color w:val="auto"/>
        </w:rPr>
      </w:pPr>
      <w:r>
        <w:rPr>
          <w:rFonts w:hint="eastAsia"/>
          <w:color w:val="auto"/>
        </w:rPr>
        <w:t>③選挙における配慮の推進</w:t>
      </w:r>
    </w:p>
    <w:p>
      <w:pPr>
        <w:pStyle w:val="0"/>
        <w:ind w:left="886" w:leftChars="300" w:hanging="214" w:hangingChars="100"/>
        <w:rPr>
          <w:rFonts w:hint="default"/>
          <w:sz w:val="21"/>
        </w:rPr>
      </w:pPr>
      <w:r>
        <w:rPr>
          <w:rFonts w:hint="eastAsia"/>
          <w:sz w:val="21"/>
        </w:rPr>
        <w:t>・障がい者の参政権を保障し、選挙に参加しやすい環境を整えるために、投票所や投票の在り方等について、必要な合理的配慮を行います。</w:t>
      </w:r>
    </w:p>
    <w:p>
      <w:pPr>
        <w:pStyle w:val="0"/>
        <w:ind w:left="886" w:leftChars="300" w:hanging="214" w:hangingChars="100"/>
        <w:rPr>
          <w:rFonts w:hint="default"/>
          <w:sz w:val="21"/>
        </w:rPr>
      </w:pPr>
      <w:r>
        <w:rPr>
          <w:rFonts w:hint="eastAsia"/>
          <w:sz w:val="21"/>
        </w:rPr>
        <w:t>・投票所での投票が困難な障がい者への配慮として、代理投票や郵便等による不在者投票等を推進します。</w:t>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widowControl w:val="1"/>
        <w:jc w:val="left"/>
        <w:rPr>
          <w:rFonts w:hint="default"/>
          <w:sz w:val="21"/>
        </w:rPr>
      </w:pPr>
      <w:r>
        <w:rPr>
          <w:rFonts w:hint="default"/>
          <w:sz w:val="21"/>
        </w:rPr>
        <w:br w:type="page"/>
      </w:r>
    </w:p>
    <w:p>
      <w:pPr>
        <w:pStyle w:val="80"/>
        <w:spacing w:after="92" w:afterLines="0" w:afterAutospacing="0"/>
        <w:rPr>
          <w:rFonts w:hint="default"/>
        </w:rPr>
      </w:pPr>
      <w:bookmarkStart w:id="47" w:name="_Toc505592290"/>
      <w:bookmarkStart w:id="48" w:name="_Toc154411466"/>
      <w:bookmarkStart w:id="49" w:name="_Toc162263668"/>
      <w:bookmarkStart w:id="50" w:name="_Toc62831667"/>
      <w:bookmarkStart w:id="51" w:name="_Toc346185251"/>
      <w:r>
        <w:rPr>
          <w:rFonts w:hint="eastAsia"/>
        </w:rPr>
        <w:t>２</w:t>
      </w:r>
      <w:r>
        <w:rPr>
          <w:rFonts w:hint="default"/>
        </w:rPr>
        <w:t>．</w:t>
      </w:r>
      <w:r>
        <w:rPr>
          <w:rFonts w:hint="eastAsia"/>
        </w:rPr>
        <w:t>相談支援の充実・権利擁護の</w:t>
      </w:r>
      <w:bookmarkEnd w:id="47"/>
      <w:r>
        <w:rPr>
          <w:rFonts w:hint="eastAsia"/>
        </w:rPr>
        <w:t>推進</w:t>
      </w:r>
      <w:bookmarkEnd w:id="48"/>
      <w:bookmarkEnd w:id="49"/>
      <w:bookmarkEnd w:id="50"/>
    </w:p>
    <w:p>
      <w:pPr>
        <w:pStyle w:val="21"/>
        <w:spacing w:after="111" w:afterLines="0" w:afterAutospacing="0"/>
        <w:rPr>
          <w:rFonts w:hint="default"/>
        </w:rPr>
      </w:pPr>
      <w:bookmarkStart w:id="52" w:name="_Toc154411467"/>
      <w:r>
        <w:rPr>
          <w:rFonts w:hint="eastAsia"/>
        </w:rPr>
        <w:t>（１）相談支援体制の充実</w:t>
      </w:r>
      <w:bookmarkEnd w:id="52"/>
    </w:p>
    <w:p>
      <w:pPr>
        <w:pStyle w:val="72"/>
        <w:ind w:left="224"/>
        <w:rPr>
          <w:rFonts w:hint="default"/>
          <w:sz w:val="21"/>
        </w:rPr>
      </w:pPr>
      <w:r>
        <w:rPr>
          <w:rFonts w:hint="eastAsia"/>
        </w:rPr>
        <w:t>【現状と課題】</w:t>
      </w:r>
    </w:p>
    <w:p>
      <w:pPr>
        <w:pStyle w:val="0"/>
        <w:ind w:left="662" w:leftChars="200" w:hanging="214" w:hangingChars="100"/>
        <w:rPr>
          <w:rFonts w:hint="default"/>
          <w:sz w:val="21"/>
        </w:rPr>
      </w:pPr>
      <w:r>
        <w:rPr>
          <w:rFonts w:hint="eastAsia"/>
          <w:sz w:val="21"/>
        </w:rPr>
        <w:t>○町には、障がい児者やその家族の身近な相談窓口として、町役場保健福祉課が運営している基幹相談支援センターと町社会福祉協議会が障害者相談支援事業を受託し実施している委託相談支援事業所があり、各機関が連携し相談対応を行っています。</w:t>
      </w:r>
    </w:p>
    <w:p>
      <w:pPr>
        <w:pStyle w:val="0"/>
        <w:ind w:left="662" w:leftChars="200" w:hanging="214" w:hangingChars="100"/>
        <w:rPr>
          <w:rFonts w:hint="default"/>
          <w:sz w:val="21"/>
        </w:rPr>
      </w:pPr>
      <w:r>
        <w:rPr>
          <w:rFonts w:hint="eastAsia"/>
          <w:sz w:val="21"/>
        </w:rPr>
        <w:t>○</w:t>
      </w:r>
      <w:r>
        <w:rPr>
          <w:rFonts w:hint="default"/>
          <w:sz w:val="21"/>
        </w:rPr>
        <w:t>基幹相談支援センターは、地域における相談支援の中核的な役割を担う機関として、</w:t>
      </w:r>
      <w:r>
        <w:rPr>
          <w:rFonts w:hint="eastAsia"/>
          <w:sz w:val="21"/>
        </w:rPr>
        <w:t>地域の相談支援体制の強化、委託相談支援事業所や計画相談支援事業所の後方支援、地域移行・地域定着の促進、権利擁護・虐待防止等に関するさまざまな取り組みを行っています。</w:t>
      </w:r>
    </w:p>
    <w:p>
      <w:pPr>
        <w:pStyle w:val="0"/>
        <w:ind w:left="662" w:leftChars="200" w:hanging="214" w:hangingChars="100"/>
        <w:rPr>
          <w:rFonts w:hint="default"/>
          <w:sz w:val="21"/>
        </w:rPr>
      </w:pPr>
      <w:r>
        <w:rPr>
          <w:rFonts w:hint="eastAsia"/>
          <w:sz w:val="21"/>
        </w:rPr>
        <w:t>○委託相談支援事業所は、地域で生活する障がい者やその家族、関係機関等の相談に応じ、必要な情報提供や助言、各種障害福祉サービスへの利用支援等、個別支援に関する取り組みを行っています。町社会福祉協議会のコミュニティーソーシャルワーカーが委託相談支援事業を兼務しています。</w:t>
      </w:r>
    </w:p>
    <w:p>
      <w:pPr>
        <w:pStyle w:val="0"/>
        <w:ind w:left="662" w:leftChars="200" w:hanging="214" w:hangingChars="100"/>
        <w:rPr>
          <w:rFonts w:hint="default"/>
          <w:sz w:val="21"/>
        </w:rPr>
      </w:pPr>
      <w:r>
        <w:rPr>
          <w:rFonts w:hint="eastAsia"/>
          <w:sz w:val="21"/>
        </w:rPr>
        <w:t>○町民に基幹相談支援センターや委託相談支援事業所の相談窓口が知られていないため、相談窓口の周知強化を図る必要があります。</w:t>
      </w:r>
    </w:p>
    <w:p>
      <w:pPr>
        <w:pStyle w:val="0"/>
        <w:ind w:left="662" w:leftChars="200" w:hanging="214" w:hangingChars="100"/>
        <w:rPr>
          <w:rFonts w:hint="default"/>
          <w:sz w:val="21"/>
        </w:rPr>
      </w:pPr>
      <w:r>
        <w:rPr>
          <w:rFonts w:hint="eastAsia"/>
          <w:sz w:val="21"/>
        </w:rPr>
        <w:t>○令和４年度の相談支援部会において、町内計画相談支援事業所、委託相談支援事業所、基幹相談支援センター各機関の役割を検討し、整理・見える化することによって重層的な相談支援体制の構築に向けて取り組みました。障がい児者やその家族等からの相談対応を充実するために、各機関が連携し対応できる相談体制の充実が必要です。</w:t>
      </w:r>
    </w:p>
    <w:p>
      <w:pPr>
        <w:pStyle w:val="0"/>
        <w:ind w:left="662" w:leftChars="200" w:hanging="214" w:hangingChars="100"/>
        <w:rPr>
          <w:rFonts w:hint="default"/>
          <w:sz w:val="21"/>
        </w:rPr>
      </w:pPr>
      <w:r>
        <w:rPr>
          <w:rFonts w:hint="eastAsia"/>
          <w:sz w:val="21"/>
        </w:rPr>
        <w:t>○相談支援では自宅訪問、会議参加等アウトリーチにも力を入れ、自ら相談できない方々や潜在的なニーズへの相談支援を継続的に取り組んでいます。</w:t>
      </w:r>
    </w:p>
    <w:p>
      <w:pPr>
        <w:pStyle w:val="0"/>
        <w:ind w:left="662" w:leftChars="200" w:hanging="214" w:hangingChars="100"/>
        <w:rPr>
          <w:rFonts w:hint="default"/>
          <w:sz w:val="21"/>
        </w:rPr>
      </w:pPr>
      <w:r>
        <w:rPr>
          <w:rFonts w:hint="eastAsia"/>
          <w:sz w:val="21"/>
        </w:rPr>
        <w:t>○令和４年度に町内障害福祉サービス事業所の情報をまとめた「南風原町障害福祉サービス事業所資源マップ」を作成し、町ホームページに掲載しました。</w:t>
      </w:r>
    </w:p>
    <w:p>
      <w:pPr>
        <w:pStyle w:val="0"/>
        <w:ind w:left="662" w:leftChars="200" w:hanging="214" w:hangingChars="100"/>
        <w:rPr>
          <w:rFonts w:hint="default"/>
          <w:sz w:val="21"/>
        </w:rPr>
      </w:pPr>
      <w:r>
        <w:rPr>
          <w:rFonts w:hint="eastAsia"/>
          <w:sz w:val="21"/>
        </w:rPr>
        <w:t>○複雑化、多様化する相談者のニーズに対して基幹相談支援センターや委託相談支援事業所が適切に対応できるよう、相談員１人１人のケースワーク力の強化が求められています。相談支援に従事する者の資質向上に向けた研修会等の開催及び参加が必要です。</w:t>
      </w:r>
    </w:p>
    <w:p>
      <w:pPr>
        <w:pStyle w:val="0"/>
        <w:ind w:left="662" w:leftChars="200" w:hanging="214" w:hangingChars="100"/>
        <w:rPr>
          <w:rFonts w:hint="default"/>
          <w:sz w:val="21"/>
        </w:rPr>
      </w:pPr>
      <w:r>
        <w:rPr>
          <w:rFonts w:hint="eastAsia"/>
          <w:sz w:val="21"/>
        </w:rPr>
        <w:t>○自立支援協議会の全体会では、障害福祉行政及び各専門部会の報告を行い、各委員から意見や助言を受けています。</w:t>
      </w:r>
    </w:p>
    <w:p>
      <w:pPr>
        <w:pStyle w:val="0"/>
        <w:ind w:left="662" w:leftChars="200" w:hanging="214" w:hangingChars="100"/>
        <w:rPr>
          <w:rFonts w:hint="default"/>
          <w:sz w:val="21"/>
        </w:rPr>
      </w:pPr>
      <w:r>
        <w:rPr>
          <w:rFonts w:hint="eastAsia"/>
          <w:sz w:val="21"/>
        </w:rPr>
        <w:t>○自立支援協議会の専門部会として、相談部会と拠点部会を立ち上げ、課題を共有し、地域課題形成や解決に向けた協議を行っています。新たに就労部会やこども部会等の専門部会が求められており立ち上げに関する検討が必要です。</w:t>
      </w:r>
    </w:p>
    <w:p>
      <w:pPr>
        <w:pStyle w:val="0"/>
        <w:spacing w:line="0" w:lineRule="atLeast"/>
        <w:ind w:left="672" w:leftChars="200" w:hanging="224" w:hangingChars="100"/>
        <w:rPr>
          <w:rFonts w:hint="default" w:ascii="ＭＳ ゴシック" w:hAnsi="ＭＳ ゴシック" w:eastAsia="ＭＳ ゴシック"/>
        </w:rPr>
      </w:pPr>
    </w:p>
    <w:p>
      <w:pPr>
        <w:pStyle w:val="128"/>
        <w:ind w:left="224"/>
        <w:rPr>
          <w:rFonts w:hint="default"/>
        </w:rPr>
      </w:pPr>
      <w:r>
        <w:rPr>
          <w:rFonts w:hint="eastAsia"/>
        </w:rPr>
        <w:t>（アンケート調査より）</w:t>
      </w:r>
    </w:p>
    <w:p>
      <w:pPr>
        <w:pStyle w:val="0"/>
        <w:ind w:left="662" w:leftChars="200" w:hanging="214" w:hangingChars="100"/>
        <w:rPr>
          <w:rFonts w:hint="default" w:ascii="ＭＳ ゴシック" w:hAnsi="ＭＳ ゴシック" w:eastAsia="ＭＳ ゴシック"/>
        </w:rPr>
      </w:pPr>
      <w:r>
        <w:rPr>
          <w:rFonts w:hint="eastAsia"/>
          <w:sz w:val="21"/>
        </w:rPr>
        <w:t>○悩みや困りごとの相談相手・相談先として、「家族・親族」が</w:t>
      </w:r>
      <w:r>
        <w:rPr>
          <w:rFonts w:hint="default"/>
          <w:sz w:val="21"/>
        </w:rPr>
        <w:t>65.8</w:t>
      </w:r>
      <w:r>
        <w:rPr>
          <w:rFonts w:hint="eastAsia"/>
          <w:sz w:val="21"/>
        </w:rPr>
        <w:t>％</w:t>
      </w:r>
      <w:r>
        <w:rPr>
          <w:rFonts w:hint="eastAsia"/>
          <w:sz w:val="21"/>
        </w:rPr>
        <w:t>(</w:t>
      </w:r>
      <w:r>
        <w:rPr>
          <w:rFonts w:hint="eastAsia"/>
          <w:sz w:val="21"/>
        </w:rPr>
        <w:t>前回</w:t>
      </w:r>
      <w:r>
        <w:rPr>
          <w:rFonts w:hint="eastAsia"/>
          <w:sz w:val="21"/>
        </w:rPr>
        <w:t>65.9</w:t>
      </w:r>
      <w:r>
        <w:rPr>
          <w:rFonts w:hint="eastAsia"/>
          <w:sz w:val="21"/>
        </w:rPr>
        <w:t>％</w:t>
      </w:r>
      <w:r>
        <w:rPr>
          <w:rFonts w:hint="eastAsia"/>
          <w:sz w:val="21"/>
        </w:rPr>
        <w:t>)</w:t>
      </w:r>
      <w:r>
        <w:rPr>
          <w:rFonts w:hint="eastAsia"/>
          <w:sz w:val="21"/>
        </w:rPr>
        <w:t>と最も高く、次に「友人・知人」が</w:t>
      </w:r>
      <w:r>
        <w:rPr>
          <w:rFonts w:hint="default"/>
          <w:sz w:val="21"/>
        </w:rPr>
        <w:t>30.4</w:t>
      </w:r>
      <w:r>
        <w:rPr>
          <w:rFonts w:hint="eastAsia"/>
          <w:sz w:val="21"/>
        </w:rPr>
        <w:t>％</w:t>
      </w:r>
      <w:r>
        <w:rPr>
          <w:rFonts w:hint="eastAsia"/>
          <w:sz w:val="21"/>
        </w:rPr>
        <w:t>(</w:t>
      </w:r>
      <w:r>
        <w:rPr>
          <w:rFonts w:hint="eastAsia"/>
          <w:sz w:val="21"/>
        </w:rPr>
        <w:t>前回</w:t>
      </w:r>
      <w:r>
        <w:rPr>
          <w:rFonts w:hint="eastAsia"/>
          <w:sz w:val="21"/>
        </w:rPr>
        <w:t>22.5</w:t>
      </w:r>
      <w:r>
        <w:rPr>
          <w:rFonts w:hint="eastAsia"/>
          <w:sz w:val="21"/>
        </w:rPr>
        <w:t>％</w:t>
      </w:r>
      <w:r>
        <w:rPr>
          <w:rFonts w:hint="eastAsia"/>
          <w:sz w:val="21"/>
        </w:rPr>
        <w:t>)</w:t>
      </w:r>
      <w:r>
        <w:rPr>
          <w:rFonts w:hint="eastAsia"/>
          <w:sz w:val="21"/>
        </w:rPr>
        <w:t>、「医療の専門家」が</w:t>
      </w:r>
      <w:r>
        <w:rPr>
          <w:rFonts w:hint="default"/>
          <w:sz w:val="21"/>
        </w:rPr>
        <w:t>22.7</w:t>
      </w:r>
      <w:r>
        <w:rPr>
          <w:rFonts w:hint="eastAsia"/>
          <w:sz w:val="21"/>
        </w:rPr>
        <w:t>％</w:t>
      </w:r>
      <w:r>
        <w:rPr>
          <w:rFonts w:hint="eastAsia"/>
          <w:sz w:val="21"/>
        </w:rPr>
        <w:t>(</w:t>
      </w:r>
      <w:r>
        <w:rPr>
          <w:rFonts w:hint="eastAsia"/>
          <w:sz w:val="21"/>
        </w:rPr>
        <w:t>前回</w:t>
      </w:r>
      <w:r>
        <w:rPr>
          <w:rFonts w:hint="eastAsia"/>
          <w:sz w:val="21"/>
        </w:rPr>
        <w:t>34.1</w:t>
      </w:r>
      <w:r>
        <w:rPr>
          <w:rFonts w:hint="eastAsia"/>
          <w:sz w:val="21"/>
        </w:rPr>
        <w:t>％</w:t>
      </w:r>
      <w:r>
        <w:rPr>
          <w:rFonts w:hint="eastAsia"/>
          <w:sz w:val="21"/>
        </w:rPr>
        <w:t>)</w:t>
      </w:r>
      <w:r>
        <w:rPr>
          <w:rFonts w:hint="eastAsia"/>
          <w:sz w:val="21"/>
        </w:rPr>
        <w:t>となっています。一方、「サービス事業所」が</w:t>
      </w:r>
      <w:r>
        <w:rPr>
          <w:rFonts w:hint="eastAsia"/>
          <w:sz w:val="21"/>
        </w:rPr>
        <w:t>10.5</w:t>
      </w:r>
      <w:r>
        <w:rPr>
          <w:rFonts w:hint="eastAsia"/>
          <w:sz w:val="21"/>
        </w:rPr>
        <w:t>％</w:t>
      </w:r>
      <w:r>
        <w:rPr>
          <w:rFonts w:hint="eastAsia"/>
          <w:sz w:val="21"/>
        </w:rPr>
        <w:t>(</w:t>
      </w:r>
      <w:r>
        <w:rPr>
          <w:rFonts w:hint="eastAsia"/>
          <w:sz w:val="21"/>
        </w:rPr>
        <w:t>前回</w:t>
      </w:r>
      <w:r>
        <w:rPr>
          <w:rFonts w:hint="eastAsia"/>
          <w:sz w:val="21"/>
        </w:rPr>
        <w:t>15.4</w:t>
      </w:r>
      <w:r>
        <w:rPr>
          <w:rFonts w:hint="eastAsia"/>
          <w:sz w:val="21"/>
        </w:rPr>
        <w:t>％</w:t>
      </w:r>
      <w:r>
        <w:rPr>
          <w:rFonts w:hint="eastAsia"/>
          <w:sz w:val="21"/>
        </w:rPr>
        <w:t>)</w:t>
      </w:r>
      <w:r>
        <w:rPr>
          <w:rFonts w:hint="eastAsia"/>
          <w:sz w:val="21"/>
        </w:rPr>
        <w:t>、「町社会福祉協議会」が</w:t>
      </w:r>
      <w:r>
        <w:rPr>
          <w:rFonts w:hint="default"/>
          <w:sz w:val="21"/>
        </w:rPr>
        <w:t>8.0</w:t>
      </w:r>
      <w:r>
        <w:rPr>
          <w:rFonts w:hint="eastAsia"/>
          <w:sz w:val="21"/>
        </w:rPr>
        <w:t>％</w:t>
      </w:r>
      <w:r>
        <w:rPr>
          <w:rFonts w:hint="eastAsia"/>
          <w:sz w:val="21"/>
        </w:rPr>
        <w:t>(</w:t>
      </w:r>
      <w:r>
        <w:rPr>
          <w:rFonts w:hint="eastAsia"/>
          <w:sz w:val="21"/>
        </w:rPr>
        <w:t>前回</w:t>
      </w:r>
      <w:r>
        <w:rPr>
          <w:rFonts w:hint="eastAsia"/>
          <w:sz w:val="21"/>
        </w:rPr>
        <w:t>8.6</w:t>
      </w:r>
      <w:r>
        <w:rPr>
          <w:rFonts w:hint="eastAsia"/>
          <w:sz w:val="21"/>
        </w:rPr>
        <w:t>％</w:t>
      </w:r>
      <w:r>
        <w:rPr>
          <w:rFonts w:hint="eastAsia"/>
          <w:sz w:val="21"/>
        </w:rPr>
        <w:t>)</w:t>
      </w:r>
      <w:r>
        <w:rPr>
          <w:rFonts w:hint="eastAsia"/>
          <w:sz w:val="21"/>
        </w:rPr>
        <w:t>、「町役場」が</w:t>
      </w:r>
      <w:r>
        <w:rPr>
          <w:rFonts w:hint="eastAsia"/>
          <w:sz w:val="21"/>
        </w:rPr>
        <w:t>7.7</w:t>
      </w:r>
      <w:r>
        <w:rPr>
          <w:rFonts w:hint="eastAsia"/>
          <w:sz w:val="21"/>
        </w:rPr>
        <w:t>％</w:t>
      </w:r>
      <w:r>
        <w:rPr>
          <w:rFonts w:hint="eastAsia"/>
          <w:sz w:val="21"/>
        </w:rPr>
        <w:t>(</w:t>
      </w:r>
      <w:r>
        <w:rPr>
          <w:rFonts w:hint="eastAsia"/>
          <w:sz w:val="21"/>
        </w:rPr>
        <w:t>前回</w:t>
      </w:r>
      <w:r>
        <w:rPr>
          <w:rFonts w:hint="eastAsia"/>
          <w:sz w:val="21"/>
        </w:rPr>
        <w:t>8.2</w:t>
      </w:r>
      <w:r>
        <w:rPr>
          <w:rFonts w:hint="eastAsia"/>
          <w:sz w:val="21"/>
        </w:rPr>
        <w:t>％</w:t>
      </w:r>
      <w:r>
        <w:rPr>
          <w:rFonts w:hint="eastAsia"/>
          <w:sz w:val="21"/>
        </w:rPr>
        <w:t>)</w:t>
      </w:r>
      <w:r>
        <w:rPr>
          <w:rFonts w:hint="eastAsia"/>
          <w:sz w:val="21"/>
        </w:rPr>
        <w:t>とそれぞれ１割程度にとどまっています。</w:t>
      </w:r>
    </w:p>
    <w:p>
      <w:pPr>
        <w:pStyle w:val="0"/>
        <w:ind w:left="672" w:leftChars="200" w:hanging="224" w:hangingChars="100"/>
        <w:rPr>
          <w:rFonts w:hint="default" w:ascii="ＭＳ ゴシック" w:hAnsi="ＭＳ ゴシック" w:eastAsia="ＭＳ ゴシック"/>
        </w:rPr>
      </w:pP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92"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51"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52"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53"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54"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88;" coordsize="6044565,219710" coordorigin="0,0" o:spid="_x0000_s1151" o:allowincell="t" o:allowoverlap="t">
                <v:roundrect id="今後の取り組み_四角（灰）" style="height:219710;width:6044565;top:0;left:0;position:absolute;" o:spid="_x0000_s1152"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53"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54"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default"/>
        </w:rPr>
        <w:t>【</w:t>
      </w:r>
      <w:r>
        <w:rPr>
          <w:rFonts w:hint="eastAsia"/>
        </w:rPr>
        <w:t>施策の基本的な考え方</w:t>
      </w:r>
      <w:r>
        <w:rPr>
          <w:rFonts w:hint="default"/>
        </w:rPr>
        <w:t>】</w:t>
      </w:r>
    </w:p>
    <w:p>
      <w:pPr>
        <w:pStyle w:val="0"/>
        <w:ind w:left="560" w:leftChars="250" w:firstLine="210" w:firstLineChars="100"/>
        <w:rPr>
          <w:rFonts w:hint="default"/>
          <w:spacing w:val="-2"/>
          <w:sz w:val="21"/>
        </w:rPr>
      </w:pPr>
      <w:r>
        <w:rPr>
          <w:rFonts w:hint="eastAsia"/>
          <w:spacing w:val="-2"/>
          <w:sz w:val="21"/>
        </w:rPr>
        <w:t>障がい者やその家族からの相談に対し、町内相談支援事業所間の連携・協力、関係機関・関係団体との連携強化及び地域とのつながりを視野に入れた包括的な支援を進めます。また、相談支援従事者の質的向上や各種協議の場、自立支援協議会等の活性化を図るなど相談支援体制の充実を図るとともに、相談しやすい環境づくりを進めます。</w:t>
      </w:r>
    </w:p>
    <w:p>
      <w:pPr>
        <w:pStyle w:val="0"/>
        <w:ind w:left="560" w:leftChars="250" w:firstLine="210" w:firstLineChars="100"/>
        <w:rPr>
          <w:rFonts w:hint="default"/>
          <w:spacing w:val="-2"/>
          <w:sz w:val="21"/>
        </w:rPr>
      </w:pPr>
    </w:p>
    <w:p>
      <w:pPr>
        <w:pStyle w:val="73"/>
        <w:ind w:left="672" w:hanging="224"/>
        <w:rPr>
          <w:rFonts w:hint="default"/>
          <w:color w:val="auto"/>
        </w:rPr>
      </w:pPr>
      <w:r>
        <w:rPr>
          <w:rFonts w:hint="eastAsia"/>
          <w:color w:val="auto"/>
        </w:rPr>
        <w:t>①障がい者相談支援体制の充実</w:t>
      </w:r>
    </w:p>
    <w:p>
      <w:pPr>
        <w:pStyle w:val="0"/>
        <w:ind w:left="886" w:leftChars="300" w:hanging="214" w:hangingChars="100"/>
        <w:rPr>
          <w:rFonts w:hint="default"/>
          <w:sz w:val="21"/>
        </w:rPr>
      </w:pPr>
      <w:r>
        <w:rPr>
          <w:rFonts w:hint="eastAsia"/>
          <w:sz w:val="21"/>
        </w:rPr>
        <w:t>・障がい児者やその家族等の相談</w:t>
      </w:r>
      <w:r>
        <w:rPr>
          <w:rFonts w:hint="default"/>
          <w:sz w:val="21"/>
        </w:rPr>
        <w:t>対応</w:t>
      </w:r>
      <w:r>
        <w:rPr>
          <w:rFonts w:hint="eastAsia"/>
          <w:sz w:val="21"/>
        </w:rPr>
        <w:t>を</w:t>
      </w:r>
      <w:r>
        <w:rPr>
          <w:rFonts w:hint="default"/>
          <w:sz w:val="21"/>
        </w:rPr>
        <w:t>充実するため</w:t>
      </w:r>
      <w:r>
        <w:rPr>
          <w:rFonts w:hint="eastAsia"/>
          <w:sz w:val="21"/>
        </w:rPr>
        <w:t>に</w:t>
      </w:r>
      <w:r>
        <w:rPr>
          <w:rFonts w:hint="default"/>
          <w:sz w:val="21"/>
        </w:rPr>
        <w:t>、</w:t>
      </w:r>
      <w:r>
        <w:rPr>
          <w:rFonts w:hint="eastAsia"/>
          <w:sz w:val="21"/>
        </w:rPr>
        <w:t>基幹相談支援センター、委託相談支援事業所、計画相談支援事業所の各相談機関が</w:t>
      </w:r>
      <w:r>
        <w:rPr>
          <w:rFonts w:hint="default"/>
          <w:sz w:val="21"/>
        </w:rPr>
        <w:t>情報共有や連携を一層強化</w:t>
      </w:r>
      <w:r>
        <w:rPr>
          <w:rFonts w:hint="eastAsia"/>
          <w:sz w:val="21"/>
        </w:rPr>
        <w:t>し、重層的な相談支援体制の充実を図り</w:t>
      </w:r>
      <w:r>
        <w:rPr>
          <w:rFonts w:hint="default"/>
          <w:sz w:val="21"/>
        </w:rPr>
        <w:t>ます。</w:t>
      </w:r>
      <w:r>
        <w:rPr>
          <w:rFonts w:hint="eastAsia"/>
          <w:sz w:val="21"/>
        </w:rPr>
        <w:t>また、相談支援部会を継続的に実施し、地域の相談支援のネットワーク形成の強化に取り組みます。</w:t>
      </w:r>
    </w:p>
    <w:p>
      <w:pPr>
        <w:pStyle w:val="0"/>
        <w:ind w:left="886" w:leftChars="300" w:hanging="214" w:hangingChars="100"/>
        <w:rPr>
          <w:rFonts w:hint="default"/>
          <w:sz w:val="21"/>
        </w:rPr>
      </w:pPr>
      <w:r>
        <w:rPr>
          <w:rFonts w:hint="eastAsia"/>
          <w:sz w:val="21"/>
        </w:rPr>
        <w:t>・基幹相談支援センター、委託相談支援事業所、計画相談支援事業所の各相談窓口の周知を強化し、地域の身近な相談窓口として、障がい者やその家族及び関係機関等から相談を受け、地域とのつながりを視野に入れた相談支援の充実に取り組みます。</w:t>
      </w:r>
    </w:p>
    <w:p>
      <w:pPr>
        <w:pStyle w:val="0"/>
        <w:ind w:left="886" w:leftChars="300" w:hanging="214" w:hangingChars="100"/>
        <w:rPr>
          <w:rFonts w:hint="default"/>
          <w:sz w:val="21"/>
        </w:rPr>
      </w:pPr>
      <w:r>
        <w:rPr>
          <w:rFonts w:hint="eastAsia"/>
          <w:sz w:val="21"/>
        </w:rPr>
        <w:t>・自ら相談できない方や来所相談が困難な方に対して、アウトリーチ型の相談対応を行います。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②包括的な相談支援体制の強化</w:t>
      </w:r>
    </w:p>
    <w:p>
      <w:pPr>
        <w:pStyle w:val="0"/>
        <w:ind w:left="886" w:leftChars="300" w:hanging="214" w:hangingChars="100"/>
        <w:rPr>
          <w:rFonts w:hint="default"/>
          <w:sz w:val="21"/>
        </w:rPr>
      </w:pPr>
      <w:r>
        <w:rPr>
          <w:rFonts w:hint="eastAsia"/>
          <w:sz w:val="21"/>
        </w:rPr>
        <w:t>・複雑化・多様化するニーズに対応した適切な支援につながるよう、保健、福祉、医療等の関係機関や町社会福祉協議会、町民生委員・児童委員連合会、地域の関係団体等との連携体制を強化します。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③相談支援従事者の質的向上の推進</w:t>
      </w:r>
    </w:p>
    <w:p>
      <w:pPr>
        <w:pStyle w:val="0"/>
        <w:ind w:left="886" w:leftChars="300" w:hanging="214" w:hangingChars="100"/>
        <w:rPr>
          <w:rFonts w:hint="default"/>
          <w:sz w:val="21"/>
        </w:rPr>
      </w:pPr>
      <w:r>
        <w:rPr>
          <w:rFonts w:hint="eastAsia"/>
          <w:sz w:val="21"/>
        </w:rPr>
        <w:t>・相談支援従事者の質的向上等を図るために、相談支援に関する研修会や勉強会等を企画し、人材育成の支援に取り組みます。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④自立支援協議会等の活性化推進</w:t>
      </w:r>
    </w:p>
    <w:p>
      <w:pPr>
        <w:pStyle w:val="0"/>
        <w:ind w:left="886" w:leftChars="300" w:hanging="214" w:hangingChars="100"/>
        <w:rPr>
          <w:rFonts w:hint="default"/>
          <w:sz w:val="21"/>
        </w:rPr>
      </w:pPr>
      <w:r>
        <w:rPr>
          <w:rFonts w:hint="eastAsia"/>
          <w:sz w:val="21"/>
        </w:rPr>
        <w:t>・自立支援協議会においては、共生社会の実現を目指し、地域課題の共有と課題解決にむけた議論を深めます。そのために、専門部会において個別課題から地域課題を抽出し、課題を見える化する取組に力を入れていきます。</w:t>
      </w:r>
    </w:p>
    <w:p>
      <w:pPr>
        <w:pStyle w:val="0"/>
        <w:ind w:left="886" w:leftChars="300" w:hanging="214" w:hangingChars="100"/>
        <w:rPr>
          <w:rFonts w:hint="default"/>
          <w:sz w:val="21"/>
        </w:rPr>
      </w:pPr>
      <w:r>
        <w:rPr>
          <w:rFonts w:hint="eastAsia"/>
          <w:sz w:val="21"/>
        </w:rPr>
        <w:t>・新たな専門部会の立ち上げについて、町内事業所の意見を聞きながら検討していきます。</w:t>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widowControl w:val="1"/>
        <w:jc w:val="left"/>
        <w:rPr>
          <w:rFonts w:hint="default"/>
          <w:sz w:val="21"/>
        </w:rPr>
      </w:pPr>
      <w:r>
        <w:rPr>
          <w:rFonts w:hint="default"/>
          <w:sz w:val="21"/>
        </w:rPr>
        <w:br w:type="page"/>
      </w:r>
    </w:p>
    <w:p>
      <w:pPr>
        <w:pStyle w:val="21"/>
        <w:spacing w:after="111" w:afterLines="0" w:afterAutospacing="0"/>
        <w:rPr>
          <w:rFonts w:hint="default"/>
        </w:rPr>
      </w:pPr>
      <w:bookmarkStart w:id="53" w:name="_Toc154411468"/>
      <w:r>
        <w:rPr>
          <w:rFonts w:hint="eastAsia"/>
        </w:rPr>
        <w:t>（２）権利擁護・虐待防止の推進</w:t>
      </w:r>
      <w:bookmarkEnd w:id="53"/>
    </w:p>
    <w:p>
      <w:pPr>
        <w:pStyle w:val="72"/>
        <w:ind w:left="224"/>
        <w:rPr>
          <w:rFonts w:hint="default"/>
        </w:rPr>
      </w:pPr>
      <w:r>
        <w:rPr>
          <w:rFonts w:hint="eastAsia"/>
        </w:rPr>
        <w:t>【現状と課題】</w:t>
      </w:r>
    </w:p>
    <w:p>
      <w:pPr>
        <w:pStyle w:val="0"/>
        <w:ind w:left="662" w:leftChars="200" w:hanging="214" w:hangingChars="100"/>
        <w:rPr>
          <w:rFonts w:hint="default"/>
          <w:sz w:val="21"/>
        </w:rPr>
      </w:pPr>
      <w:r>
        <w:rPr>
          <w:rFonts w:hint="eastAsia"/>
          <w:sz w:val="21"/>
        </w:rPr>
        <w:t>権利擁護（成年後見制度等）</w:t>
      </w:r>
    </w:p>
    <w:p>
      <w:pPr>
        <w:pStyle w:val="0"/>
        <w:ind w:left="662" w:leftChars="200" w:hanging="214" w:hangingChars="100"/>
        <w:rPr>
          <w:rFonts w:hint="default"/>
          <w:sz w:val="21"/>
        </w:rPr>
      </w:pPr>
      <w:r>
        <w:rPr>
          <w:rFonts w:hint="eastAsia"/>
          <w:sz w:val="21"/>
        </w:rPr>
        <w:t>○基幹相談支援センターにおいては従来から、</w:t>
      </w:r>
      <w:r>
        <w:rPr>
          <w:rFonts w:hint="eastAsia"/>
          <w:sz w:val="21"/>
          <w:vertAlign w:val="superscript"/>
        </w:rPr>
        <w:t>※１</w:t>
      </w:r>
      <w:r>
        <w:rPr>
          <w:rFonts w:hint="eastAsia"/>
          <w:sz w:val="21"/>
        </w:rPr>
        <w:t>成年後見制度や</w:t>
      </w:r>
      <w:r>
        <w:rPr>
          <w:rFonts w:hint="eastAsia"/>
          <w:sz w:val="21"/>
          <w:vertAlign w:val="superscript"/>
        </w:rPr>
        <w:t>※２</w:t>
      </w:r>
      <w:r>
        <w:rPr>
          <w:rFonts w:hint="eastAsia"/>
          <w:sz w:val="21"/>
        </w:rPr>
        <w:t>日常生活自立支援事業の制度利用を案内していましたが、令和５年度から保健福祉課内に「成年後見制度中核機関」を立ち上げ、成年後見制度に関する相談対応及び成年後見制度の周知強化に努めています。また、外部の専門職を交えた権利擁護支援会議を開催し、相談受理したケースの支援方針の検討や、権利擁護支援の地域連携ネットワーク構築に向け取り組んでいます。</w:t>
      </w:r>
    </w:p>
    <w:p>
      <w:pPr>
        <w:pStyle w:val="0"/>
        <w:ind w:left="662" w:leftChars="200" w:hanging="214" w:hangingChars="100"/>
        <w:rPr>
          <w:rFonts w:hint="default"/>
          <w:sz w:val="21"/>
        </w:rPr>
      </w:pPr>
      <w:r>
        <w:rPr>
          <w:rFonts w:hint="eastAsia"/>
          <w:sz w:val="21"/>
        </w:rPr>
        <w:t>○成年後見制度の利用が必要ですが、身寄りがない等、申立てを行う親族がいない方に対する市町村長申立て及び成年後見人等に対する報酬支払が困難な方に対して報酬助成を行う成年後見制度利用支援事業を行っています。</w:t>
      </w:r>
    </w:p>
    <w:p>
      <w:pPr>
        <w:pStyle w:val="0"/>
        <w:ind w:left="662" w:leftChars="200" w:hanging="214" w:hangingChars="100"/>
        <w:rPr>
          <w:rFonts w:hint="default"/>
          <w:sz w:val="21"/>
        </w:rPr>
      </w:pPr>
      <w:r>
        <w:rPr>
          <w:rFonts w:hint="eastAsia"/>
          <w:sz w:val="21"/>
        </w:rPr>
        <w:t>○成年後見制度の利用促進のため、町民が制度を理解するための普及啓発が必要です。また、相談対応の充実を図るために、職員の資質向上が求められます。</w:t>
      </w:r>
    </w:p>
    <w:p>
      <w:pPr>
        <w:pStyle w:val="0"/>
        <w:ind w:left="774" w:leftChars="250" w:hanging="214" w:hangingChars="100"/>
        <w:rPr>
          <w:rFonts w:hint="default"/>
          <w:sz w:val="21"/>
        </w:rPr>
      </w:pPr>
    </w:p>
    <w:p>
      <w:pPr>
        <w:pStyle w:val="0"/>
        <w:ind w:left="662" w:leftChars="200" w:hanging="214" w:hangingChars="100"/>
        <w:rPr>
          <w:rFonts w:hint="default"/>
          <w:sz w:val="21"/>
        </w:rPr>
      </w:pPr>
      <w:r>
        <w:rPr>
          <w:rFonts w:hint="eastAsia"/>
          <w:sz w:val="21"/>
        </w:rPr>
        <w:t>虐待防止</w:t>
      </w:r>
    </w:p>
    <w:p>
      <w:pPr>
        <w:pStyle w:val="0"/>
        <w:ind w:left="662" w:leftChars="200" w:hanging="214" w:hangingChars="100"/>
        <w:rPr>
          <w:rFonts w:hint="default"/>
          <w:sz w:val="21"/>
        </w:rPr>
      </w:pPr>
      <w:r>
        <w:rPr>
          <w:rFonts w:hint="eastAsia"/>
          <w:sz w:val="21"/>
        </w:rPr>
        <w:t>○基幹相談支援センターにおいて、虐待に関する相談受理、事実確認調査の実施、コアメンバー会議を開催して虐待の有無や緊急性の判断を行い、対応方針を決め、関係機関と連携しながら虐待の解消に向け取り組んでいます。</w:t>
      </w:r>
    </w:p>
    <w:p>
      <w:pPr>
        <w:pStyle w:val="0"/>
        <w:ind w:left="662" w:leftChars="200" w:hanging="214" w:hangingChars="100"/>
        <w:rPr>
          <w:rFonts w:hint="default"/>
          <w:sz w:val="21"/>
        </w:rPr>
      </w:pPr>
      <w:r>
        <w:rPr>
          <w:rFonts w:hint="eastAsia"/>
          <w:sz w:val="21"/>
        </w:rPr>
        <w:t>○虐待防止では、早期発見と虐待の予防が重要です。令和５年度に障がい者虐待の相談窓口を記載したパンフレットを作成し、周知強化に努めています。また、困難事例の段階から委託相談支援事業所と基幹相談支援センターが連携して支援を行い、虐待を予防する取り組みを行う必要があります。</w:t>
      </w:r>
    </w:p>
    <w:p>
      <w:pPr>
        <w:pStyle w:val="0"/>
        <w:ind w:left="662" w:leftChars="200" w:hanging="214" w:hangingChars="100"/>
        <w:rPr>
          <w:rFonts w:hint="default"/>
          <w:sz w:val="21"/>
        </w:rPr>
      </w:pPr>
      <w:r>
        <w:rPr>
          <w:rFonts w:hint="eastAsia"/>
          <w:sz w:val="21"/>
        </w:rPr>
        <w:t>○施設従事者による虐待を予防するために、令和４年度から町主催の事業所向け障がい者虐待防止研修会を開催しています。障がいのある方が安心・安全に障害福祉サービスを利用できる環境整備、サービスの質の向上という視点からも虐待防止研修会の継続実施が必要です。</w:t>
      </w: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spacing w:line="0" w:lineRule="atLeast"/>
        <w:ind w:left="724" w:leftChars="250" w:hanging="164" w:hangingChars="100"/>
        <w:rPr>
          <w:rFonts w:hint="default"/>
          <w:sz w:val="16"/>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76"/>
              <w:spacing w:before="74" w:beforeLines="0" w:beforeAutospacing="0"/>
              <w:ind w:left="224"/>
              <w:rPr>
                <w:rFonts w:hint="default"/>
                <w:color w:val="auto"/>
              </w:rPr>
            </w:pPr>
            <w:r>
              <w:rPr>
                <w:rFonts w:hint="eastAsia"/>
                <w:color w:val="auto"/>
              </w:rPr>
              <w:t>※</w:t>
            </w:r>
            <w:r>
              <w:rPr>
                <w:rFonts w:hint="eastAsia"/>
                <w:color w:val="auto"/>
              </w:rPr>
              <w:t>1</w:t>
            </w:r>
            <w:r>
              <w:rPr>
                <w:rFonts w:hint="default"/>
                <w:color w:val="auto"/>
              </w:rPr>
              <w:t xml:space="preserve"> </w:t>
            </w:r>
            <w:r>
              <w:rPr>
                <w:rFonts w:hint="eastAsia"/>
                <w:color w:val="auto"/>
              </w:rPr>
              <w:t>成年後見制度</w:t>
            </w:r>
          </w:p>
          <w:p>
            <w:pPr>
              <w:pStyle w:val="75"/>
              <w:ind w:left="448" w:firstLine="204"/>
              <w:rPr>
                <w:rFonts w:hint="default"/>
                <w:color w:val="auto"/>
              </w:rPr>
            </w:pPr>
            <w:r>
              <w:rPr>
                <w:rFonts w:hint="eastAsia"/>
                <w:color w:val="auto"/>
              </w:rPr>
              <w:t>成年後見制度は、認知症や知的障がい、精神障がいにより判断能力が不十分なため、不動産や預貯金などの財産管理や介護・福祉サービス等利用の契約行為を行うことが困難な方を、法律的に保護し支援する制度です。成年後見制度には、法定後見制度と任意後見制度があります。</w:t>
            </w:r>
          </w:p>
          <w:p>
            <w:pPr>
              <w:pStyle w:val="76"/>
              <w:spacing w:before="74" w:beforeLines="0" w:beforeAutospacing="0"/>
              <w:ind w:left="224"/>
              <w:rPr>
                <w:rFonts w:hint="default"/>
                <w:color w:val="auto"/>
              </w:rPr>
            </w:pPr>
            <w:r>
              <w:rPr>
                <w:rFonts w:hint="eastAsia"/>
                <w:color w:val="auto"/>
              </w:rPr>
              <w:t>※</w:t>
            </w:r>
            <w:r>
              <w:rPr>
                <w:rFonts w:hint="eastAsia"/>
                <w:color w:val="auto"/>
              </w:rPr>
              <w:t>2</w:t>
            </w:r>
            <w:r>
              <w:rPr>
                <w:rFonts w:hint="default"/>
                <w:color w:val="auto"/>
              </w:rPr>
              <w:t xml:space="preserve"> </w:t>
            </w:r>
            <w:r>
              <w:rPr>
                <w:rFonts w:hint="eastAsia"/>
                <w:color w:val="auto"/>
              </w:rPr>
              <w:t>日常生活自立支援事業</w:t>
            </w:r>
          </w:p>
          <w:p>
            <w:pPr>
              <w:pStyle w:val="75"/>
              <w:ind w:left="448" w:firstLine="204"/>
              <w:rPr>
                <w:rFonts w:hint="default"/>
                <w:color w:val="auto"/>
              </w:rPr>
            </w:pPr>
            <w:r>
              <w:rPr>
                <w:rFonts w:hint="eastAsia"/>
                <w:color w:val="auto"/>
              </w:rPr>
              <w:t>生活に不安のある高齢者</w:t>
            </w:r>
            <w:r>
              <w:rPr>
                <w:rFonts w:hint="eastAsia"/>
                <w:color w:val="auto"/>
              </w:rPr>
              <w:t>(</w:t>
            </w:r>
            <w:r>
              <w:rPr>
                <w:rFonts w:hint="eastAsia"/>
                <w:color w:val="auto"/>
              </w:rPr>
              <w:t>認知症高齢者など</w:t>
            </w:r>
            <w:r>
              <w:rPr>
                <w:rFonts w:hint="eastAsia"/>
                <w:color w:val="auto"/>
              </w:rPr>
              <w:t>)</w:t>
            </w:r>
            <w:r>
              <w:rPr>
                <w:rFonts w:hint="eastAsia"/>
                <w:color w:val="auto"/>
              </w:rPr>
              <w:t>や知的障がい者・精神障がい者等判断能力が十分でない方が安心して地域生活が送れるよう｢生活支援員｣が福祉サービスの利用援助、日常的金銭管理、書類等の預かりサービスを行います。市町村社会福祉協議会が窓口となって提供されるサービスです。</w:t>
            </w:r>
          </w:p>
        </w:tc>
      </w:tr>
    </w:tbl>
    <w:p>
      <w:pPr>
        <w:pStyle w:val="128"/>
        <w:ind w:left="224"/>
        <w:rPr>
          <w:rFonts w:hint="default"/>
        </w:rPr>
      </w:pPr>
      <w:r>
        <w:rPr>
          <w:rFonts w:hint="eastAsia"/>
        </w:rPr>
        <w:t>（アンケート調査より）</w:t>
      </w:r>
    </w:p>
    <w:p>
      <w:pPr>
        <w:pStyle w:val="0"/>
        <w:ind w:left="662" w:leftChars="200" w:hanging="214" w:hangingChars="100"/>
        <w:rPr>
          <w:rFonts w:hint="default"/>
          <w:sz w:val="21"/>
        </w:rPr>
      </w:pPr>
      <w:r>
        <w:rPr>
          <w:rFonts w:hint="eastAsia"/>
          <w:sz w:val="21"/>
        </w:rPr>
        <w:t>○権利擁護に関する制度等の周知状況について､「名前も内容も知っている」は成年後見制度が</w:t>
      </w:r>
      <w:r>
        <w:rPr>
          <w:rFonts w:hint="default"/>
          <w:sz w:val="21"/>
        </w:rPr>
        <w:t>25.2</w:t>
      </w:r>
      <w:r>
        <w:rPr>
          <w:rFonts w:hint="eastAsia"/>
          <w:sz w:val="21"/>
        </w:rPr>
        <w:t>％</w:t>
      </w:r>
      <w:r>
        <w:rPr>
          <w:rFonts w:hint="eastAsia"/>
          <w:sz w:val="21"/>
        </w:rPr>
        <w:t>(</w:t>
      </w:r>
      <w:r>
        <w:rPr>
          <w:rFonts w:hint="eastAsia"/>
          <w:sz w:val="21"/>
        </w:rPr>
        <w:t>前回</w:t>
      </w:r>
      <w:r>
        <w:rPr>
          <w:rFonts w:hint="eastAsia"/>
          <w:sz w:val="21"/>
        </w:rPr>
        <w:t>20.3</w:t>
      </w:r>
      <w:r>
        <w:rPr>
          <w:rFonts w:hint="eastAsia"/>
          <w:sz w:val="21"/>
        </w:rPr>
        <w:t>％</w:t>
      </w:r>
      <w:r>
        <w:rPr>
          <w:rFonts w:hint="eastAsia"/>
          <w:sz w:val="21"/>
        </w:rPr>
        <w:t>)</w:t>
      </w:r>
      <w:r>
        <w:rPr>
          <w:rFonts w:hint="eastAsia"/>
          <w:sz w:val="21"/>
        </w:rPr>
        <w:t>、日常生活自立支援事業</w:t>
      </w:r>
      <w:r>
        <w:rPr>
          <w:rFonts w:hint="eastAsia"/>
          <w:sz w:val="21"/>
        </w:rPr>
        <w:t>(</w:t>
      </w:r>
      <w:r>
        <w:rPr>
          <w:rFonts w:hint="eastAsia"/>
          <w:sz w:val="21"/>
        </w:rPr>
        <w:t>社協が窓口</w:t>
      </w:r>
      <w:r>
        <w:rPr>
          <w:rFonts w:hint="eastAsia"/>
          <w:sz w:val="21"/>
        </w:rPr>
        <w:t>)</w:t>
      </w:r>
      <w:r>
        <w:rPr>
          <w:rFonts w:hint="eastAsia"/>
          <w:sz w:val="21"/>
        </w:rPr>
        <w:t>が</w:t>
      </w:r>
      <w:r>
        <w:rPr>
          <w:rFonts w:hint="default"/>
          <w:sz w:val="21"/>
        </w:rPr>
        <w:t>13.7</w:t>
      </w:r>
      <w:r>
        <w:rPr>
          <w:rFonts w:hint="eastAsia"/>
          <w:sz w:val="21"/>
        </w:rPr>
        <w:t>％</w:t>
      </w:r>
      <w:r>
        <w:rPr>
          <w:rFonts w:hint="eastAsia"/>
          <w:sz w:val="21"/>
        </w:rPr>
        <w:t>(</w:t>
      </w:r>
      <w:r>
        <w:rPr>
          <w:rFonts w:hint="eastAsia"/>
          <w:sz w:val="21"/>
        </w:rPr>
        <w:t>前回</w:t>
      </w:r>
      <w:r>
        <w:rPr>
          <w:rFonts w:hint="eastAsia"/>
          <w:sz w:val="21"/>
        </w:rPr>
        <w:t>15.8</w:t>
      </w:r>
      <w:r>
        <w:rPr>
          <w:rFonts w:hint="eastAsia"/>
          <w:sz w:val="21"/>
        </w:rPr>
        <w:t>％</w:t>
      </w:r>
      <w:r>
        <w:rPr>
          <w:rFonts w:hint="eastAsia"/>
          <w:sz w:val="21"/>
        </w:rPr>
        <w:t>)</w:t>
      </w:r>
      <w:r>
        <w:rPr>
          <w:rFonts w:hint="eastAsia"/>
          <w:sz w:val="21"/>
        </w:rPr>
        <w:t>で、いずれも十分周知されているとは言えません。</w:t>
      </w:r>
    </w:p>
    <w:p>
      <w:pPr>
        <w:pStyle w:val="0"/>
        <w:ind w:left="662" w:leftChars="200" w:hanging="214" w:hangingChars="100"/>
        <w:rPr>
          <w:rFonts w:hint="default"/>
          <w:sz w:val="21"/>
        </w:rPr>
      </w:pPr>
      <w:r>
        <w:rPr>
          <w:rFonts w:hint="eastAsia"/>
          <w:sz w:val="21"/>
        </w:rPr>
        <w:t>○成年後見制度の相談窓口の周知度について、「知っている」は</w:t>
      </w:r>
      <w:r>
        <w:rPr>
          <w:rFonts w:hint="eastAsia"/>
          <w:sz w:val="21"/>
        </w:rPr>
        <w:t>30.5</w:t>
      </w:r>
      <w:r>
        <w:rPr>
          <w:rFonts w:hint="eastAsia"/>
          <w:sz w:val="21"/>
        </w:rPr>
        <w:t>％で、十分周知されているとは言えないため、相談窓口の周知強化を図る必要があります。</w:t>
      </w:r>
    </w:p>
    <w:p>
      <w:pPr>
        <w:pStyle w:val="0"/>
        <w:ind w:left="662" w:leftChars="200" w:hanging="214" w:hangingChars="100"/>
        <w:rPr>
          <w:rFonts w:hint="default"/>
          <w:sz w:val="21"/>
        </w:rPr>
      </w:pPr>
      <w:r>
        <w:rPr>
          <w:rFonts w:hint="eastAsia"/>
          <w:sz w:val="21"/>
        </w:rPr>
        <w:t>○将来的に家族等支援者がいなくなった時にどのような方法で支援を受けるか、権利を守ってもらえるか周知しておくことが、将来に対する不安感を和らげるとともに、必要な対策を講じておくことができます。そのため、成年後見制度や日常生活自立支援事業等の周知に努める必要があります。</w:t>
      </w: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96"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55"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56"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57"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58"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84;" coordsize="6044565,219710" coordorigin="0,0" o:spid="_x0000_s1155" o:allowincell="t" o:allowoverlap="t">
                <v:roundrect id="今後の取り組み_四角（灰）" style="height:219710;width:6044565;top:0;left:0;position:absolute;" o:spid="_x0000_s1156"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57"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58"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ind w:left="448" w:leftChars="200" w:firstLine="210" w:firstLineChars="100"/>
        <w:rPr>
          <w:rFonts w:hint="default"/>
          <w:spacing w:val="-2"/>
          <w:sz w:val="21"/>
        </w:rPr>
      </w:pPr>
      <w:r>
        <w:rPr>
          <w:rFonts w:hint="eastAsia"/>
          <w:spacing w:val="-2"/>
          <w:sz w:val="21"/>
        </w:rPr>
        <w:t>障がいのある方の権利が守られるよう、障がいのある方やその家族等に対して権利擁護に関する制度周知と制度の適切な利用を支援します。また、虐待の早期発見を行うために、地域への広報啓発を行なうとともに、関係機関等と連携して、虐待防止・解消に向けた対応を行います。</w:t>
      </w:r>
    </w:p>
    <w:p>
      <w:pPr>
        <w:pStyle w:val="0"/>
        <w:ind w:left="448" w:leftChars="200" w:firstLine="210" w:firstLineChars="100"/>
        <w:rPr>
          <w:rFonts w:hint="default"/>
          <w:spacing w:val="-2"/>
          <w:sz w:val="21"/>
        </w:rPr>
      </w:pPr>
    </w:p>
    <w:p>
      <w:pPr>
        <w:pStyle w:val="73"/>
        <w:ind w:left="672" w:hanging="224"/>
        <w:rPr>
          <w:rFonts w:hint="default"/>
          <w:color w:val="auto"/>
        </w:rPr>
      </w:pPr>
      <w:r>
        <w:rPr>
          <w:rFonts w:hint="eastAsia"/>
          <w:color w:val="auto"/>
        </w:rPr>
        <w:t>①成年後見制度等の周知と利用支援の充実</w:t>
      </w:r>
    </w:p>
    <w:p>
      <w:pPr>
        <w:pStyle w:val="114"/>
        <w:ind w:left="774" w:hanging="214"/>
        <w:rPr>
          <w:rFonts w:hint="default"/>
        </w:rPr>
      </w:pPr>
      <w:r>
        <w:rPr>
          <w:rFonts w:hint="eastAsia"/>
        </w:rPr>
        <w:t>ｱ</w:t>
      </w:r>
      <w:r>
        <w:rPr>
          <w:rFonts w:hint="eastAsia"/>
        </w:rPr>
        <w:t>)</w:t>
      </w:r>
      <w:r>
        <w:rPr>
          <w:rFonts w:hint="eastAsia"/>
        </w:rPr>
        <w:t>「成年後見制度中核機関」を活用した権利擁護支援</w:t>
      </w:r>
    </w:p>
    <w:p>
      <w:pPr>
        <w:pStyle w:val="0"/>
        <w:ind w:left="886" w:leftChars="300" w:hanging="214" w:hangingChars="100"/>
        <w:rPr>
          <w:rFonts w:hint="default"/>
          <w:sz w:val="21"/>
        </w:rPr>
      </w:pPr>
      <w:r>
        <w:rPr>
          <w:rFonts w:hint="eastAsia"/>
          <w:sz w:val="21"/>
        </w:rPr>
        <w:t>・認知症や知的障がい、精神障がいにより判断能力が不十分な方が、地域において本人らしい生活を継続できるよう、令和５年４月に保健福祉課に設置した「成年後見制度中核機関」</w:t>
      </w:r>
      <w:r>
        <w:rPr>
          <w:rFonts w:hint="default"/>
          <w:sz w:val="21"/>
        </w:rPr>
        <w:t>(</w:t>
      </w:r>
      <w:r>
        <w:rPr>
          <w:rFonts w:hint="default"/>
          <w:sz w:val="21"/>
        </w:rPr>
        <w:t>以下、中核機関という</w:t>
      </w:r>
      <w:r>
        <w:rPr>
          <w:rFonts w:hint="default"/>
          <w:sz w:val="21"/>
        </w:rPr>
        <w:t>)</w:t>
      </w:r>
      <w:r>
        <w:rPr>
          <w:rFonts w:hint="default"/>
          <w:sz w:val="21"/>
        </w:rPr>
        <w:t>を活用し、権利擁護支援のネットワーク及び成年後見制度の利用促進を行います。</w:t>
      </w:r>
    </w:p>
    <w:p>
      <w:pPr>
        <w:pStyle w:val="0"/>
        <w:spacing w:line="0" w:lineRule="atLeast"/>
        <w:ind w:left="724" w:leftChars="250" w:hanging="164" w:hangingChars="100"/>
        <w:rPr>
          <w:rFonts w:hint="default"/>
          <w:sz w:val="16"/>
        </w:rPr>
      </w:pPr>
    </w:p>
    <w:p>
      <w:pPr>
        <w:pStyle w:val="114"/>
        <w:ind w:left="774" w:hanging="214"/>
        <w:rPr>
          <w:rFonts w:hint="default"/>
        </w:rPr>
      </w:pPr>
      <w:bookmarkStart w:id="54" w:name="_Toc145432247"/>
      <w:bookmarkStart w:id="55" w:name="_Toc145433065"/>
      <w:bookmarkStart w:id="56" w:name="_Toc145433442"/>
      <w:bookmarkStart w:id="57" w:name="_Toc145433674"/>
      <w:bookmarkStart w:id="58" w:name="_Toc145433913"/>
      <w:bookmarkStart w:id="59" w:name="_Toc145434154"/>
      <w:r>
        <w:rPr>
          <w:rFonts w:hint="eastAsia"/>
        </w:rPr>
        <w:t>ｲ</w:t>
      </w:r>
      <w:r>
        <w:rPr>
          <w:rFonts w:hint="eastAsia"/>
        </w:rPr>
        <w:t>)</w:t>
      </w:r>
      <w:r>
        <w:rPr>
          <w:rFonts w:hint="eastAsia"/>
        </w:rPr>
        <w:t>成年後見制度や中核機関の広報・啓発</w:t>
      </w:r>
      <w:bookmarkEnd w:id="54"/>
      <w:bookmarkEnd w:id="55"/>
      <w:bookmarkEnd w:id="56"/>
      <w:bookmarkEnd w:id="57"/>
      <w:bookmarkEnd w:id="58"/>
      <w:bookmarkEnd w:id="59"/>
    </w:p>
    <w:p>
      <w:pPr>
        <w:pStyle w:val="0"/>
        <w:ind w:left="886" w:leftChars="300" w:hanging="214" w:hangingChars="100"/>
        <w:rPr>
          <w:rFonts w:hint="default"/>
          <w:sz w:val="21"/>
        </w:rPr>
      </w:pPr>
      <w:r>
        <w:rPr>
          <w:rFonts w:hint="eastAsia"/>
          <w:sz w:val="21"/>
        </w:rPr>
        <w:t>・成年後見制度について正しい知識を持ち、成年後見制度の利用を必要としている方が適切に制度に結びつくことができるよう、介護・障害福祉サービス事業所等の関係機関や住民を対象に成年後見制度に関する研修会等を開催します。</w:t>
      </w:r>
    </w:p>
    <w:p>
      <w:pPr>
        <w:pStyle w:val="0"/>
        <w:ind w:left="886" w:leftChars="300" w:hanging="214" w:hangingChars="100"/>
        <w:rPr>
          <w:rFonts w:hint="default"/>
          <w:sz w:val="21"/>
        </w:rPr>
      </w:pPr>
      <w:r>
        <w:rPr>
          <w:rFonts w:hint="eastAsia"/>
          <w:sz w:val="21"/>
        </w:rPr>
        <w:t>・成年後見制度の利用支援に関する相談窓口である中核機関について、町ホームページや町広報紙等を活用し幅広く周知します。</w:t>
      </w:r>
    </w:p>
    <w:p>
      <w:pPr>
        <w:pStyle w:val="0"/>
        <w:spacing w:line="0" w:lineRule="atLeast"/>
        <w:ind w:left="724" w:leftChars="250" w:hanging="164" w:hangingChars="100"/>
        <w:rPr>
          <w:rFonts w:hint="default"/>
          <w:sz w:val="16"/>
        </w:rPr>
      </w:pPr>
      <w:bookmarkStart w:id="60" w:name="_Toc145432248"/>
      <w:bookmarkStart w:id="61" w:name="_Toc145433066"/>
      <w:bookmarkStart w:id="62" w:name="_Toc145433443"/>
      <w:bookmarkStart w:id="63" w:name="_Toc145433675"/>
      <w:bookmarkStart w:id="64" w:name="_Toc145433914"/>
      <w:bookmarkStart w:id="65" w:name="_Toc145434155"/>
    </w:p>
    <w:p>
      <w:pPr>
        <w:pStyle w:val="114"/>
        <w:ind w:left="774" w:hanging="214"/>
        <w:rPr>
          <w:rFonts w:hint="default"/>
        </w:rPr>
      </w:pPr>
      <w:r>
        <w:rPr>
          <w:rFonts w:hint="eastAsia"/>
        </w:rPr>
        <w:t>ｳ</w:t>
      </w:r>
      <w:r>
        <w:rPr>
          <w:rFonts w:hint="eastAsia"/>
        </w:rPr>
        <w:t>)</w:t>
      </w:r>
      <w:r>
        <w:rPr>
          <w:rFonts w:hint="eastAsia"/>
        </w:rPr>
        <w:t>権利擁護支援会議の開催と充実</w:t>
      </w:r>
      <w:bookmarkEnd w:id="60"/>
      <w:bookmarkEnd w:id="61"/>
      <w:bookmarkEnd w:id="62"/>
      <w:bookmarkEnd w:id="63"/>
      <w:bookmarkEnd w:id="64"/>
      <w:bookmarkEnd w:id="65"/>
    </w:p>
    <w:p>
      <w:pPr>
        <w:pStyle w:val="0"/>
        <w:ind w:left="886" w:leftChars="300" w:hanging="214" w:hangingChars="100"/>
        <w:rPr>
          <w:rFonts w:hint="default"/>
          <w:sz w:val="21"/>
        </w:rPr>
      </w:pPr>
      <w:r>
        <w:rPr>
          <w:rFonts w:hint="eastAsia"/>
          <w:sz w:val="21"/>
        </w:rPr>
        <w:t>・中核機関で受理した権利擁護支援に関する相談について、専門的な判断に基づいて支援方針を検討するため、弁護士・司法書士・社会福祉士等の権利擁護に関する専門職をアドバイザーに招き</w:t>
      </w:r>
      <w:r>
        <w:rPr>
          <w:rFonts w:hint="default"/>
          <w:sz w:val="21"/>
        </w:rPr>
        <w:t>｢</w:t>
      </w:r>
      <w:r>
        <w:rPr>
          <w:rFonts w:hint="eastAsia"/>
          <w:sz w:val="21"/>
        </w:rPr>
        <w:t>権利擁護支援会議</w:t>
      </w:r>
      <w:r>
        <w:rPr>
          <w:rFonts w:hint="default"/>
          <w:sz w:val="21"/>
        </w:rPr>
        <w:t>｣</w:t>
      </w:r>
      <w:r>
        <w:rPr>
          <w:rFonts w:hint="eastAsia"/>
          <w:sz w:val="21"/>
        </w:rPr>
        <w:t>を開催します。</w:t>
      </w:r>
    </w:p>
    <w:p>
      <w:pPr>
        <w:pStyle w:val="0"/>
        <w:ind w:left="886" w:leftChars="300" w:hanging="214" w:hangingChars="100"/>
        <w:rPr>
          <w:rFonts w:hint="default"/>
          <w:sz w:val="21"/>
        </w:rPr>
      </w:pPr>
      <w:r>
        <w:rPr>
          <w:rFonts w:hint="eastAsia"/>
          <w:sz w:val="21"/>
        </w:rPr>
        <w:t>・権利擁護支援の充実を図り、中核機関の役割を存分に発揮していくための人材の確保を検討していきます。</w:t>
      </w:r>
    </w:p>
    <w:p>
      <w:pPr>
        <w:pStyle w:val="0"/>
        <w:spacing w:line="0" w:lineRule="atLeast"/>
        <w:ind w:left="724" w:leftChars="250" w:hanging="164" w:hangingChars="100"/>
        <w:rPr>
          <w:rFonts w:hint="default"/>
          <w:sz w:val="16"/>
        </w:rPr>
      </w:pPr>
      <w:bookmarkStart w:id="66" w:name="_Toc145432251"/>
      <w:bookmarkStart w:id="67" w:name="_Toc145433069"/>
      <w:bookmarkStart w:id="68" w:name="_Toc145433446"/>
      <w:bookmarkStart w:id="69" w:name="_Toc145433678"/>
      <w:bookmarkStart w:id="70" w:name="_Toc145433917"/>
      <w:bookmarkStart w:id="71" w:name="_Toc145434158"/>
    </w:p>
    <w:p>
      <w:pPr>
        <w:pStyle w:val="114"/>
        <w:ind w:left="774" w:hanging="214"/>
        <w:rPr>
          <w:rFonts w:hint="default"/>
        </w:rPr>
      </w:pPr>
      <w:r>
        <w:rPr>
          <w:rFonts w:hint="eastAsia"/>
        </w:rPr>
        <w:t>ｴ</w:t>
      </w:r>
      <w:r>
        <w:rPr>
          <w:rFonts w:hint="eastAsia"/>
        </w:rPr>
        <w:t>)</w:t>
      </w:r>
      <w:r>
        <w:rPr>
          <w:rFonts w:hint="eastAsia"/>
        </w:rPr>
        <w:t>日常生活自立支援事業、日常的金銭管理支援事業の周知・連携</w:t>
      </w:r>
    </w:p>
    <w:p>
      <w:pPr>
        <w:pStyle w:val="0"/>
        <w:ind w:left="886" w:leftChars="300" w:hanging="214" w:hangingChars="100"/>
        <w:rPr>
          <w:rFonts w:hint="default"/>
          <w:sz w:val="21"/>
        </w:rPr>
      </w:pPr>
      <w:r>
        <w:rPr>
          <w:rFonts w:hint="eastAsia"/>
          <w:sz w:val="21"/>
        </w:rPr>
        <w:t>・社会福祉協議会が実施している｢日常生活自立支援事業｣及び</w:t>
      </w:r>
      <w:r>
        <w:rPr>
          <w:rFonts w:hint="default"/>
          <w:sz w:val="21"/>
        </w:rPr>
        <w:t>｢</w:t>
      </w:r>
      <w:r>
        <w:rPr>
          <w:rFonts w:hint="eastAsia"/>
          <w:sz w:val="21"/>
        </w:rPr>
        <w:t>日常的金銭管理支援事業</w:t>
      </w:r>
      <w:r>
        <w:rPr>
          <w:rFonts w:hint="default"/>
          <w:sz w:val="21"/>
        </w:rPr>
        <w:t>｣</w:t>
      </w:r>
      <w:r>
        <w:rPr>
          <w:rFonts w:hint="eastAsia"/>
          <w:sz w:val="21"/>
        </w:rPr>
        <w:t>について情報提供を行い、連携して支援します。</w:t>
      </w:r>
    </w:p>
    <w:p>
      <w:pPr>
        <w:pStyle w:val="0"/>
        <w:spacing w:line="0" w:lineRule="atLeast"/>
        <w:ind w:left="724" w:leftChars="250" w:hanging="164" w:hangingChars="100"/>
        <w:rPr>
          <w:rFonts w:hint="default"/>
          <w:sz w:val="16"/>
        </w:rPr>
      </w:pPr>
    </w:p>
    <w:p>
      <w:pPr>
        <w:pStyle w:val="114"/>
        <w:ind w:left="774" w:hanging="214"/>
        <w:rPr>
          <w:rFonts w:hint="default"/>
        </w:rPr>
      </w:pPr>
      <w:r>
        <w:rPr>
          <w:rFonts w:hint="eastAsia"/>
        </w:rPr>
        <w:t>ｵ</w:t>
      </w:r>
      <w:r>
        <w:rPr>
          <w:rFonts w:hint="eastAsia"/>
        </w:rPr>
        <w:t>)</w:t>
      </w:r>
      <w:r>
        <w:rPr>
          <w:rFonts w:hint="eastAsia"/>
        </w:rPr>
        <w:t>成年後見制度利用支援事業の利用促進</w:t>
      </w:r>
    </w:p>
    <w:p>
      <w:pPr>
        <w:pStyle w:val="0"/>
        <w:ind w:left="886" w:leftChars="300" w:hanging="214" w:hangingChars="100"/>
        <w:rPr>
          <w:rFonts w:hint="default"/>
          <w:sz w:val="21"/>
        </w:rPr>
      </w:pPr>
      <w:r>
        <w:rPr>
          <w:rFonts w:hint="eastAsia"/>
          <w:sz w:val="21"/>
        </w:rPr>
        <w:t>・権利擁護支援会議において成年後見制度の利用が適切と判断されたが、身寄りがない等の理由で申し立てを行う方がいない場合や、成年後見人等への報酬の支払が困難な場合等においては、｢成年後見制度利用支援事業｣による利用支援を行います。</w:t>
      </w:r>
    </w:p>
    <w:p>
      <w:pPr>
        <w:pStyle w:val="0"/>
        <w:spacing w:line="0" w:lineRule="atLeast"/>
        <w:ind w:left="724" w:leftChars="250" w:hanging="164" w:hangingChars="100"/>
        <w:rPr>
          <w:rFonts w:hint="default"/>
          <w:sz w:val="16"/>
        </w:rPr>
      </w:pPr>
    </w:p>
    <w:p>
      <w:pPr>
        <w:pStyle w:val="114"/>
        <w:ind w:left="774" w:hanging="214"/>
        <w:rPr>
          <w:rFonts w:hint="default"/>
        </w:rPr>
      </w:pPr>
      <w:r>
        <w:rPr>
          <w:rFonts w:hint="eastAsia"/>
        </w:rPr>
        <w:t>ｶ</w:t>
      </w:r>
      <w:r>
        <w:rPr>
          <w:rFonts w:hint="eastAsia"/>
        </w:rPr>
        <w:t>)</w:t>
      </w:r>
      <w:r>
        <w:rPr>
          <w:rFonts w:hint="eastAsia"/>
        </w:rPr>
        <w:t>市民後見人の養成・法人後見の設置検討</w:t>
      </w:r>
    </w:p>
    <w:p>
      <w:pPr>
        <w:pStyle w:val="0"/>
        <w:ind w:left="886" w:leftChars="300" w:hanging="214" w:hangingChars="100"/>
        <w:rPr>
          <w:rFonts w:hint="default"/>
          <w:sz w:val="21"/>
        </w:rPr>
      </w:pPr>
      <w:r>
        <w:rPr>
          <w:rFonts w:hint="eastAsia"/>
          <w:sz w:val="21"/>
        </w:rPr>
        <w:t>・今後、専門職後見人の確保が難しくなることが懸念されており、市民後見人の養成や法人後見の設置について検討していきます。</w:t>
      </w:r>
    </w:p>
    <w:p>
      <w:pPr>
        <w:pStyle w:val="0"/>
        <w:spacing w:line="0" w:lineRule="atLeast"/>
        <w:ind w:left="724" w:leftChars="250" w:hanging="164" w:hangingChars="100"/>
        <w:rPr>
          <w:rFonts w:hint="default"/>
          <w:sz w:val="16"/>
        </w:rPr>
      </w:pPr>
      <w:bookmarkStart w:id="72" w:name="_Toc145432252"/>
      <w:bookmarkStart w:id="73" w:name="_Toc145433070"/>
      <w:bookmarkStart w:id="74" w:name="_Toc145433447"/>
      <w:bookmarkStart w:id="75" w:name="_Toc145433679"/>
      <w:bookmarkStart w:id="76" w:name="_Toc145433918"/>
      <w:bookmarkStart w:id="77" w:name="_Toc145434159"/>
    </w:p>
    <w:p>
      <w:pPr>
        <w:pStyle w:val="114"/>
        <w:ind w:left="774" w:hanging="214"/>
        <w:rPr>
          <w:rFonts w:hint="default"/>
        </w:rPr>
      </w:pPr>
      <w:bookmarkEnd w:id="72"/>
      <w:bookmarkEnd w:id="73"/>
      <w:bookmarkEnd w:id="74"/>
      <w:bookmarkEnd w:id="75"/>
      <w:bookmarkEnd w:id="76"/>
      <w:bookmarkEnd w:id="77"/>
      <w:bookmarkStart w:id="78" w:name="_Toc145432255"/>
      <w:bookmarkStart w:id="79" w:name="_Toc145433073"/>
      <w:bookmarkStart w:id="80" w:name="_Toc145433450"/>
      <w:bookmarkStart w:id="81" w:name="_Toc145433682"/>
      <w:bookmarkStart w:id="82" w:name="_Toc145433921"/>
      <w:bookmarkStart w:id="83" w:name="_Toc145434162"/>
      <w:r>
        <w:rPr>
          <w:rFonts w:hint="eastAsia"/>
        </w:rPr>
        <w:t>ｷ</w:t>
      </w:r>
      <w:r>
        <w:rPr>
          <w:rFonts w:hint="eastAsia"/>
        </w:rPr>
        <w:t>)</w:t>
      </w:r>
      <w:r>
        <w:rPr>
          <w:rFonts w:hint="eastAsia"/>
        </w:rPr>
        <w:t>成年後見人等への支援強化</w:t>
      </w:r>
      <w:bookmarkEnd w:id="78"/>
      <w:bookmarkEnd w:id="79"/>
      <w:bookmarkEnd w:id="80"/>
      <w:bookmarkEnd w:id="81"/>
      <w:bookmarkEnd w:id="82"/>
      <w:bookmarkEnd w:id="83"/>
    </w:p>
    <w:p>
      <w:pPr>
        <w:pStyle w:val="0"/>
        <w:ind w:left="886" w:leftChars="300" w:hanging="214" w:hangingChars="100"/>
        <w:rPr>
          <w:rFonts w:hint="default"/>
          <w:sz w:val="21"/>
        </w:rPr>
      </w:pPr>
      <w:r>
        <w:rPr>
          <w:rFonts w:hint="eastAsia"/>
          <w:sz w:val="21"/>
        </w:rPr>
        <w:t>・成年後見人等が、成年後見制度を利用している本人の思いや自己決定支援を大切にしながら、従来から関わっている福祉・医療・地域等の関係者とチームになって成年後見業務が行えるよう、中核機関の職員が適切に関わる支援体制づくりを行います。</w:t>
      </w:r>
    </w:p>
    <w:p>
      <w:pPr>
        <w:pStyle w:val="0"/>
        <w:spacing w:line="0" w:lineRule="atLeast"/>
        <w:ind w:left="724" w:leftChars="250" w:hanging="164" w:hangingChars="100"/>
        <w:rPr>
          <w:rFonts w:hint="default"/>
          <w:sz w:val="16"/>
        </w:rPr>
      </w:pPr>
      <w:bookmarkEnd w:id="66"/>
      <w:bookmarkEnd w:id="67"/>
      <w:bookmarkEnd w:id="68"/>
      <w:bookmarkEnd w:id="69"/>
      <w:bookmarkEnd w:id="70"/>
      <w:bookmarkEnd w:id="71"/>
      <w:bookmarkStart w:id="84" w:name="_Toc145432256"/>
      <w:bookmarkStart w:id="85" w:name="_Toc145433074"/>
      <w:bookmarkStart w:id="86" w:name="_Toc145433451"/>
      <w:bookmarkStart w:id="87" w:name="_Toc145433683"/>
      <w:bookmarkStart w:id="88" w:name="_Toc145433922"/>
      <w:bookmarkStart w:id="89" w:name="_Toc145434163"/>
    </w:p>
    <w:p>
      <w:pPr>
        <w:pStyle w:val="114"/>
        <w:ind w:left="774" w:hanging="214"/>
        <w:rPr>
          <w:rFonts w:hint="default"/>
        </w:rPr>
      </w:pPr>
      <w:r>
        <w:rPr>
          <w:rFonts w:hint="eastAsia"/>
        </w:rPr>
        <w:t>ｸ</w:t>
      </w:r>
      <w:r>
        <w:rPr>
          <w:rFonts w:hint="eastAsia"/>
        </w:rPr>
        <w:t>)</w:t>
      </w:r>
      <w:r>
        <w:rPr>
          <w:rFonts w:hint="eastAsia"/>
        </w:rPr>
        <w:t>権利擁護支援の地域連携ネットワークの構築</w:t>
      </w:r>
      <w:bookmarkEnd w:id="84"/>
      <w:bookmarkEnd w:id="85"/>
      <w:bookmarkEnd w:id="86"/>
      <w:bookmarkEnd w:id="87"/>
      <w:bookmarkEnd w:id="88"/>
      <w:bookmarkEnd w:id="89"/>
    </w:p>
    <w:p>
      <w:pPr>
        <w:pStyle w:val="0"/>
        <w:ind w:left="886" w:leftChars="300" w:hanging="214" w:hangingChars="100"/>
        <w:rPr>
          <w:rFonts w:hint="default"/>
          <w:sz w:val="21"/>
        </w:rPr>
      </w:pPr>
      <w:r>
        <w:rPr>
          <w:rFonts w:hint="eastAsia"/>
          <w:sz w:val="21"/>
        </w:rPr>
        <w:t>・医療機関や社会福祉協議会、民生委員・児童委員等の町内の権利擁護支援に携わる関係機関及び弁護士会・社会福祉士会・司法書士会等の専門職団体と成年後見制度等に関する町の状況を共有し、権利擁護支援のネットワークを構築、成年後見制度の利用促進を図るために</w:t>
      </w:r>
      <w:r>
        <w:rPr>
          <w:rFonts w:hint="default"/>
          <w:sz w:val="21"/>
        </w:rPr>
        <w:t>｢</w:t>
      </w:r>
      <w:r>
        <w:rPr>
          <w:rFonts w:hint="eastAsia"/>
          <w:sz w:val="21"/>
        </w:rPr>
        <w:t>成年後見制度利用促進協議会</w:t>
      </w:r>
      <w:r>
        <w:rPr>
          <w:rFonts w:hint="default"/>
          <w:sz w:val="21"/>
        </w:rPr>
        <w:t>｣</w:t>
      </w:r>
      <w:r>
        <w:rPr>
          <w:rFonts w:hint="eastAsia"/>
          <w:sz w:val="21"/>
        </w:rPr>
        <w:t>を開催していきます。また、家庭裁判所との連携も進めていきます。</w:t>
      </w:r>
    </w:p>
    <w:p>
      <w:pPr>
        <w:pStyle w:val="0"/>
        <w:widowControl w:val="1"/>
        <w:jc w:val="left"/>
        <w:rPr>
          <w:rFonts w:hint="default"/>
          <w:kern w:val="0"/>
          <w:sz w:val="21"/>
        </w:rPr>
      </w:pPr>
      <w:r>
        <w:rPr>
          <w:rFonts w:hint="default"/>
        </w:rPr>
        <w:br w:type="page"/>
      </w:r>
    </w:p>
    <w:p>
      <w:pPr>
        <w:pStyle w:val="0"/>
        <w:ind w:left="886" w:leftChars="300" w:hanging="214" w:hangingChars="100"/>
        <w:rPr>
          <w:rFonts w:hint="default"/>
          <w:sz w:val="21"/>
        </w:rPr>
      </w:pPr>
      <w:r>
        <w:rPr>
          <w:rFonts w:hint="default"/>
          <w:sz w:val="21"/>
        </w:rPr>
        <w:drawing>
          <wp:anchor distT="0" distB="0" distL="114300" distR="114300" simplePos="0" relativeHeight="3" behindDoc="0" locked="0" layoutInCell="1" hidden="0" allowOverlap="1">
            <wp:simplePos x="0" y="0"/>
            <wp:positionH relativeFrom="column">
              <wp:posOffset>879475</wp:posOffset>
            </wp:positionH>
            <wp:positionV relativeFrom="paragraph">
              <wp:posOffset>-706120</wp:posOffset>
            </wp:positionV>
            <wp:extent cx="4559300" cy="6144260"/>
            <wp:effectExtent l="0" t="0" r="0" b="0"/>
            <wp:wrapNone/>
            <wp:docPr id="1159" name="Picture 2"/>
            <a:graphic xmlns:a="http://schemas.openxmlformats.org/drawingml/2006/main">
              <a:graphicData uri="http://schemas.openxmlformats.org/drawingml/2006/picture">
                <pic:pic xmlns:pic="http://schemas.openxmlformats.org/drawingml/2006/picture">
                  <pic:nvPicPr>
                    <pic:cNvPr id="1159" name="Picture 2"/>
                    <pic:cNvPicPr>
                      <a:picLocks noChangeAspect="1" noChangeArrowheads="1"/>
                    </pic:cNvPicPr>
                  </pic:nvPicPr>
                  <pic:blipFill>
                    <a:blip r:embed="rId15"/>
                    <a:srcRect t="3456" r="2196" b="3407"/>
                    <a:stretch>
                      <a:fillRect/>
                    </a:stretch>
                  </pic:blipFill>
                  <pic:spPr>
                    <a:xfrm rot="5400000">
                      <a:off x="0" y="0"/>
                      <a:ext cx="4559300" cy="6144260"/>
                    </a:xfrm>
                    <a:prstGeom prst="rect">
                      <a:avLst/>
                    </a:prstGeom>
                    <a:noFill/>
                    <a:ln>
                      <a:noFill/>
                    </a:ln>
                  </pic:spPr>
                </pic:pic>
              </a:graphicData>
            </a:graphic>
          </wp:anchor>
        </w:drawing>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②虐待防止・解消に向けた関係機関等の連携推進</w:t>
      </w:r>
    </w:p>
    <w:p>
      <w:pPr>
        <w:pStyle w:val="0"/>
        <w:ind w:left="886" w:leftChars="300" w:hanging="214" w:hangingChars="100"/>
        <w:rPr>
          <w:rFonts w:hint="default"/>
          <w:sz w:val="21"/>
        </w:rPr>
      </w:pPr>
      <w:r>
        <w:rPr>
          <w:rFonts w:hint="eastAsia"/>
          <w:sz w:val="21"/>
        </w:rPr>
        <w:t>・虐待防止や解消に向け、委託相談支援事業所、計画相談支援事業所、医療機関、警察、障害福祉サービス事業所、ケースに応じた関係機関等と連携した支援を行います。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③虐待防止に関する広報啓発の推進</w:t>
      </w:r>
    </w:p>
    <w:p>
      <w:pPr>
        <w:pStyle w:val="0"/>
        <w:ind w:left="886" w:leftChars="300" w:hanging="214" w:hangingChars="100"/>
        <w:rPr>
          <w:rFonts w:hint="default"/>
          <w:sz w:val="21"/>
        </w:rPr>
      </w:pPr>
      <w:r>
        <w:rPr>
          <w:rFonts w:hint="eastAsia"/>
          <w:sz w:val="21"/>
        </w:rPr>
        <w:t>・虐待防止と早期発見のため、町広報紙やパンフレット等を用いて、地域に対し虐待に関する相談窓口の周知を強化します。</w:t>
      </w:r>
    </w:p>
    <w:p>
      <w:pPr>
        <w:pStyle w:val="0"/>
        <w:ind w:left="886" w:leftChars="300" w:hanging="214" w:hangingChars="100"/>
        <w:rPr>
          <w:rFonts w:hint="default"/>
          <w:sz w:val="21"/>
        </w:rPr>
      </w:pPr>
      <w:r>
        <w:rPr>
          <w:rFonts w:hint="eastAsia"/>
          <w:sz w:val="21"/>
        </w:rPr>
        <w:t>・施設従事者による虐待を予防するために町内事業所向けの虐待防止研修会を継続して開催します。</w:t>
      </w:r>
    </w:p>
    <w:p>
      <w:pPr>
        <w:pStyle w:val="0"/>
        <w:ind w:left="886" w:leftChars="300" w:hanging="214" w:hangingChars="100"/>
        <w:rPr>
          <w:rFonts w:hint="default"/>
          <w:sz w:val="21"/>
        </w:rPr>
      </w:pPr>
    </w:p>
    <w:p>
      <w:pPr>
        <w:pStyle w:val="0"/>
        <w:widowControl w:val="1"/>
        <w:jc w:val="left"/>
        <w:rPr>
          <w:rFonts w:hint="default"/>
          <w:sz w:val="21"/>
        </w:rPr>
      </w:pPr>
      <w:bookmarkStart w:id="90" w:name="_Toc505592291"/>
      <w:bookmarkStart w:id="91" w:name="_Toc62831668"/>
      <w:r>
        <w:rPr>
          <w:rFonts w:hint="default"/>
          <w:sz w:val="21"/>
        </w:rPr>
        <w:br w:type="page"/>
      </w:r>
    </w:p>
    <w:p>
      <w:pPr>
        <w:pStyle w:val="80"/>
        <w:spacing w:after="92" w:afterLines="0" w:afterAutospacing="0"/>
        <w:rPr>
          <w:rFonts w:hint="default"/>
        </w:rPr>
      </w:pPr>
      <w:bookmarkStart w:id="92" w:name="_Toc154411469"/>
      <w:bookmarkStart w:id="93" w:name="_Toc162263669"/>
      <w:r>
        <w:rPr>
          <w:rFonts w:hint="eastAsia"/>
        </w:rPr>
        <w:t>３</w:t>
      </w:r>
      <w:r>
        <w:rPr>
          <w:rFonts w:hint="default"/>
        </w:rPr>
        <w:t>．</w:t>
      </w:r>
      <w:r>
        <w:rPr>
          <w:rFonts w:hint="eastAsia"/>
        </w:rPr>
        <w:t>情報提供・意思疎通支援の充実</w:t>
      </w:r>
      <w:bookmarkEnd w:id="90"/>
      <w:bookmarkEnd w:id="91"/>
      <w:bookmarkEnd w:id="92"/>
      <w:bookmarkEnd w:id="93"/>
    </w:p>
    <w:p>
      <w:pPr>
        <w:pStyle w:val="21"/>
        <w:spacing w:after="111" w:afterLines="0" w:afterAutospacing="0"/>
        <w:rPr>
          <w:rFonts w:hint="default"/>
        </w:rPr>
      </w:pPr>
      <w:bookmarkStart w:id="94" w:name="_Toc154411470"/>
      <w:bookmarkStart w:id="95" w:name="_Toc416340559"/>
      <w:r>
        <w:rPr>
          <w:rFonts w:hint="eastAsia"/>
        </w:rPr>
        <w:t>（１）情報提供の充実</w:t>
      </w:r>
      <w:bookmarkEnd w:id="94"/>
    </w:p>
    <w:p>
      <w:pPr>
        <w:pStyle w:val="72"/>
        <w:ind w:left="224"/>
        <w:rPr>
          <w:rFonts w:hint="default"/>
        </w:rPr>
      </w:pPr>
      <w:r>
        <w:rPr>
          <w:rFonts w:hint="eastAsia"/>
        </w:rPr>
        <w:t>【現状と課題】</w:t>
      </w:r>
    </w:p>
    <w:p>
      <w:pPr>
        <w:pStyle w:val="0"/>
        <w:ind w:left="662" w:leftChars="200" w:hanging="214" w:hangingChars="100"/>
        <w:rPr>
          <w:rFonts w:hint="default"/>
          <w:sz w:val="21"/>
        </w:rPr>
      </w:pPr>
      <w:r>
        <w:rPr>
          <w:rFonts w:hint="eastAsia"/>
          <w:sz w:val="21"/>
        </w:rPr>
        <w:t>○情報提供においては、南風原町の福祉全般に関する情報を掲載している「福祉のしおり」を活用し、窓口での説明を行っているほか、町民生委員・児童委員への障害福祉情報の提供を行っています。</w:t>
      </w:r>
    </w:p>
    <w:p>
      <w:pPr>
        <w:pStyle w:val="0"/>
        <w:ind w:left="662" w:leftChars="200" w:hanging="214" w:hangingChars="100"/>
        <w:rPr>
          <w:rFonts w:hint="default"/>
          <w:sz w:val="21"/>
        </w:rPr>
      </w:pPr>
      <w:r>
        <w:rPr>
          <w:rFonts w:hint="eastAsia"/>
          <w:sz w:val="21"/>
        </w:rPr>
        <w:t>○様々な障害福祉制度、関連する事業、イベント等について、町の広報紙やホームページ、ＬＩＮＥで発信しています。また、</w:t>
      </w:r>
      <w:r>
        <w:rPr>
          <w:rFonts w:hint="default"/>
          <w:sz w:val="21"/>
        </w:rPr>
        <w:t>町内</w:t>
      </w:r>
      <w:r>
        <w:rPr>
          <w:rFonts w:hint="eastAsia"/>
          <w:sz w:val="21"/>
        </w:rPr>
        <w:t>の障害福祉サービス</w:t>
      </w:r>
      <w:r>
        <w:rPr>
          <w:rFonts w:hint="default"/>
          <w:sz w:val="21"/>
        </w:rPr>
        <w:t>事業所への周知</w:t>
      </w:r>
      <w:r>
        <w:rPr>
          <w:rFonts w:hint="eastAsia"/>
          <w:sz w:val="21"/>
        </w:rPr>
        <w:t>を行い、事業所を通じて情報提供を行っています</w:t>
      </w:r>
      <w:r>
        <w:rPr>
          <w:rFonts w:hint="default"/>
          <w:sz w:val="21"/>
        </w:rPr>
        <w:t>。</w:t>
      </w:r>
    </w:p>
    <w:p>
      <w:pPr>
        <w:pStyle w:val="0"/>
        <w:ind w:left="662" w:leftChars="200" w:hanging="214" w:hangingChars="100"/>
        <w:rPr>
          <w:rFonts w:hint="default"/>
          <w:sz w:val="21"/>
        </w:rPr>
      </w:pPr>
      <w:r>
        <w:rPr>
          <w:rFonts w:hint="eastAsia"/>
          <w:sz w:val="21"/>
        </w:rPr>
        <w:t>○情報提供においては、情報を得やすく、わかりやすい工夫が必要であり、ホームページをわかりやすい画面構成にするほか、文字拡大機能、背景色変更機能を実施しています。</w:t>
      </w:r>
    </w:p>
    <w:p>
      <w:pPr>
        <w:pStyle w:val="0"/>
        <w:ind w:left="662" w:leftChars="200" w:hanging="214" w:hangingChars="100"/>
        <w:rPr>
          <w:rFonts w:hint="default"/>
          <w:sz w:val="21"/>
        </w:rPr>
      </w:pPr>
      <w:r>
        <w:rPr>
          <w:rFonts w:hint="eastAsia"/>
          <w:sz w:val="21"/>
        </w:rPr>
        <w:t>○音訳サークルたんぽぽの協力を得て音声による広報紙「声の広報」をＣＤに保存作成し、利用希望者へ無料で届けています。必要な人が利用できるよう周知を図る必要があります。</w:t>
      </w:r>
    </w:p>
    <w:p>
      <w:pPr>
        <w:pStyle w:val="0"/>
        <w:ind w:left="662" w:leftChars="200" w:hanging="214" w:hangingChars="100"/>
        <w:rPr>
          <w:rFonts w:hint="default"/>
          <w:sz w:val="21"/>
        </w:rPr>
      </w:pPr>
      <w:r>
        <w:rPr>
          <w:rFonts w:hint="eastAsia"/>
          <w:sz w:val="21"/>
        </w:rPr>
        <w:t>○難病患者については、制度やサービス利用等について、窓口来庁時、相談支援時に案内や申請に関する相談等を行っています。</w:t>
      </w:r>
    </w:p>
    <w:p>
      <w:pPr>
        <w:pStyle w:val="0"/>
        <w:ind w:left="662" w:leftChars="200" w:hanging="214" w:hangingChars="100"/>
        <w:rPr>
          <w:rFonts w:hint="default"/>
          <w:sz w:val="21"/>
        </w:rPr>
      </w:pPr>
    </w:p>
    <w:p>
      <w:pPr>
        <w:pStyle w:val="128"/>
        <w:ind w:left="224"/>
        <w:rPr>
          <w:rFonts w:hint="default"/>
        </w:rPr>
      </w:pPr>
      <w:r>
        <w:rPr>
          <w:rFonts w:hint="eastAsia"/>
        </w:rPr>
        <w:t>（アンケート調査より）</w:t>
      </w:r>
    </w:p>
    <w:p>
      <w:pPr>
        <w:pStyle w:val="0"/>
        <w:ind w:left="662" w:leftChars="200" w:hanging="214" w:hangingChars="100"/>
        <w:rPr>
          <w:rFonts w:hint="default"/>
          <w:sz w:val="21"/>
        </w:rPr>
      </w:pPr>
      <w:r>
        <w:rPr>
          <w:rFonts w:hint="eastAsia"/>
          <w:sz w:val="21"/>
        </w:rPr>
        <w:t>○情報の入手やコミュニケーションをとる上で配慮してほしいことでは、「情報をわかりやすく説明してくれる人がほしい」が</w:t>
      </w:r>
      <w:r>
        <w:rPr>
          <w:rFonts w:hint="default"/>
          <w:sz w:val="21"/>
        </w:rPr>
        <w:t>26.9</w:t>
      </w:r>
      <w:r>
        <w:rPr>
          <w:rFonts w:hint="eastAsia"/>
          <w:sz w:val="21"/>
        </w:rPr>
        <w:t>％</w:t>
      </w:r>
      <w:r>
        <w:rPr>
          <w:rFonts w:hint="eastAsia"/>
          <w:sz w:val="21"/>
        </w:rPr>
        <w:t>(</w:t>
      </w:r>
      <w:r>
        <w:rPr>
          <w:rFonts w:hint="eastAsia"/>
          <w:sz w:val="21"/>
        </w:rPr>
        <w:t>前回</w:t>
      </w:r>
      <w:r>
        <w:rPr>
          <w:rFonts w:hint="eastAsia"/>
          <w:sz w:val="21"/>
        </w:rPr>
        <w:t>31.8</w:t>
      </w:r>
      <w:r>
        <w:rPr>
          <w:rFonts w:hint="eastAsia"/>
          <w:sz w:val="21"/>
        </w:rPr>
        <w:t>％</w:t>
      </w:r>
      <w:r>
        <w:rPr>
          <w:rFonts w:hint="eastAsia"/>
          <w:sz w:val="21"/>
        </w:rPr>
        <w:t>)</w:t>
      </w:r>
      <w:r>
        <w:rPr>
          <w:rFonts w:hint="eastAsia"/>
          <w:sz w:val="21"/>
        </w:rPr>
        <w:t>､「知りたい情報について相談できる所がほしい」が</w:t>
      </w:r>
      <w:r>
        <w:rPr>
          <w:rFonts w:hint="default"/>
          <w:sz w:val="21"/>
        </w:rPr>
        <w:t>25.4</w:t>
      </w:r>
      <w:r>
        <w:rPr>
          <w:rFonts w:hint="eastAsia"/>
          <w:sz w:val="21"/>
        </w:rPr>
        <w:t>％</w:t>
      </w:r>
      <w:r>
        <w:rPr>
          <w:rFonts w:hint="eastAsia"/>
          <w:sz w:val="21"/>
        </w:rPr>
        <w:t>(</w:t>
      </w:r>
      <w:r>
        <w:rPr>
          <w:rFonts w:hint="eastAsia"/>
          <w:sz w:val="21"/>
        </w:rPr>
        <w:t>前回</w:t>
      </w:r>
      <w:r>
        <w:rPr>
          <w:rFonts w:hint="eastAsia"/>
          <w:sz w:val="21"/>
        </w:rPr>
        <w:t>32.4</w:t>
      </w:r>
      <w:r>
        <w:rPr>
          <w:rFonts w:hint="eastAsia"/>
          <w:sz w:val="21"/>
        </w:rPr>
        <w:t>％</w:t>
      </w:r>
      <w:r>
        <w:rPr>
          <w:rFonts w:hint="eastAsia"/>
          <w:sz w:val="21"/>
        </w:rPr>
        <w:t>)</w:t>
      </w:r>
      <w:r>
        <w:rPr>
          <w:rFonts w:hint="eastAsia"/>
          <w:sz w:val="21"/>
        </w:rPr>
        <w:t>と高くなっています。</w:t>
      </w: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00"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60"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61"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62"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63"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80;" coordsize="6044565,219710" coordorigin="0,0" o:spid="_x0000_s1160" o:allowincell="t" o:allowoverlap="t">
                <v:roundrect id="今後の取り組み_四角（灰）" style="height:219710;width:6044565;top:0;left:0;position:absolute;" o:spid="_x0000_s1161"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62"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63"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ind w:left="560" w:leftChars="250" w:firstLine="210" w:firstLineChars="100"/>
        <w:rPr>
          <w:rFonts w:hint="default" w:ascii="ＭＳ ゴシック" w:hAnsi="ＭＳ ゴシック" w:eastAsia="ＭＳ ゴシック"/>
        </w:rPr>
      </w:pPr>
      <w:r>
        <w:rPr>
          <w:rFonts w:hint="eastAsia"/>
          <w:spacing w:val="-2"/>
          <w:sz w:val="21"/>
        </w:rPr>
        <w:t>障がい者の日常生活及び社会生活の自立を図る上では、必要な情報を入手できることが基本となります。そのため、障がい者の求める情報が得やすい環境づくりを進めるとともに、わかりやすい内容となるよう配慮するなど情報提供の充実に取り組みます。</w:t>
      </w:r>
    </w:p>
    <w:p>
      <w:pPr>
        <w:pStyle w:val="0"/>
        <w:ind w:left="560" w:leftChars="250" w:firstLine="224" w:firstLineChars="100"/>
        <w:rPr>
          <w:rFonts w:hint="default" w:ascii="ＭＳ ゴシック" w:hAnsi="ＭＳ ゴシック" w:eastAsia="ＭＳ ゴシック"/>
        </w:rPr>
      </w:pPr>
    </w:p>
    <w:p>
      <w:pPr>
        <w:pStyle w:val="73"/>
        <w:ind w:left="672" w:hanging="224"/>
        <w:rPr>
          <w:rFonts w:hint="default"/>
          <w:color w:val="auto"/>
        </w:rPr>
      </w:pPr>
      <w:r>
        <w:rPr>
          <w:rFonts w:hint="eastAsia"/>
          <w:color w:val="auto"/>
        </w:rPr>
        <w:t>①情報提供の充実</w:t>
      </w:r>
    </w:p>
    <w:p>
      <w:pPr>
        <w:pStyle w:val="0"/>
        <w:ind w:left="886" w:leftChars="300" w:hanging="214" w:hangingChars="100"/>
        <w:rPr>
          <w:rFonts w:hint="default"/>
          <w:sz w:val="21"/>
        </w:rPr>
      </w:pPr>
      <w:r>
        <w:rPr>
          <w:rFonts w:hint="eastAsia"/>
          <w:sz w:val="21"/>
        </w:rPr>
        <w:t>・障害福祉に関する情報を、「福祉のしおり」や広報紙、ホームページ等様々な媒体を活用した情報提供を行うとともに、わかりやすい内容となるよう工夫していきます。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②ウェブアクセシビリティの向上</w:t>
      </w:r>
    </w:p>
    <w:p>
      <w:pPr>
        <w:pStyle w:val="0"/>
        <w:ind w:left="886" w:leftChars="300" w:hanging="214" w:hangingChars="100"/>
        <w:rPr>
          <w:rFonts w:hint="default"/>
          <w:sz w:val="21"/>
        </w:rPr>
      </w:pPr>
      <w:r>
        <w:rPr>
          <w:rFonts w:hint="eastAsia"/>
          <w:sz w:val="21"/>
        </w:rPr>
        <w:t>・町のホームページによる情報提供にあたっては、障がい者が情報を取得しやすいよう、分かりやすい画面構成に取り組みます。また、本町の障がい者等のニーズを踏まえた操作性の向上など、ウェブアクセシビリティの向上に取り組み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③声の広報等事業の推進</w:t>
      </w:r>
    </w:p>
    <w:p>
      <w:pPr>
        <w:pStyle w:val="0"/>
        <w:ind w:left="886" w:leftChars="300" w:hanging="214" w:hangingChars="100"/>
        <w:rPr>
          <w:rFonts w:hint="default"/>
          <w:sz w:val="21"/>
        </w:rPr>
      </w:pPr>
      <w:r>
        <w:rPr>
          <w:rFonts w:hint="eastAsia"/>
          <w:sz w:val="21"/>
        </w:rPr>
        <w:t>・文字による情報の取得が困難な方に対し、町の広報紙や議会だより、社協だより等の内容を、音訳ＣＤによる情報提供を継続します。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④難病患者へのサービス等周知の推進</w:t>
      </w:r>
    </w:p>
    <w:p>
      <w:pPr>
        <w:pStyle w:val="0"/>
        <w:ind w:left="886" w:leftChars="300" w:hanging="214" w:hangingChars="100"/>
        <w:rPr>
          <w:rFonts w:hint="default"/>
          <w:sz w:val="21"/>
        </w:rPr>
      </w:pPr>
      <w:r>
        <w:rPr>
          <w:rFonts w:hint="eastAsia"/>
          <w:sz w:val="21"/>
        </w:rPr>
        <w:t>・難病患者についても、障害福祉制度による必要な支援が受けられるよう、今後もサービスの案内や利用に関する情報提供・相談支援等を行います。</w:t>
      </w:r>
    </w:p>
    <w:p>
      <w:pPr>
        <w:pStyle w:val="0"/>
        <w:ind w:left="886" w:leftChars="300" w:hanging="214" w:hangingChars="100"/>
        <w:rPr>
          <w:rFonts w:hint="default"/>
          <w:sz w:val="21"/>
        </w:rPr>
      </w:pPr>
    </w:p>
    <w:p>
      <w:pPr>
        <w:pStyle w:val="0"/>
        <w:widowControl w:val="1"/>
        <w:spacing w:line="20" w:lineRule="exact"/>
        <w:jc w:val="left"/>
        <w:rPr>
          <w:rFonts w:hint="default"/>
        </w:rPr>
      </w:pPr>
    </w:p>
    <w:p>
      <w:pPr>
        <w:pStyle w:val="0"/>
        <w:ind w:left="886" w:leftChars="300" w:hanging="214" w:hangingChars="100"/>
        <w:rPr>
          <w:rFonts w:hint="default"/>
          <w:sz w:val="21"/>
        </w:rPr>
      </w:pPr>
    </w:p>
    <w:p>
      <w:pPr>
        <w:pStyle w:val="0"/>
        <w:widowControl w:val="1"/>
        <w:jc w:val="left"/>
        <w:rPr>
          <w:rFonts w:hint="default"/>
          <w:spacing w:val="4"/>
          <w:kern w:val="0"/>
        </w:rPr>
      </w:pPr>
      <w:r>
        <w:rPr>
          <w:rFonts w:hint="default"/>
        </w:rPr>
        <w:br w:type="page"/>
      </w:r>
    </w:p>
    <w:p>
      <w:pPr>
        <w:pStyle w:val="21"/>
        <w:spacing w:after="111" w:afterLines="0" w:afterAutospacing="0"/>
        <w:rPr>
          <w:rFonts w:hint="default"/>
        </w:rPr>
      </w:pPr>
      <w:bookmarkStart w:id="96" w:name="_Toc154411471"/>
      <w:r>
        <w:rPr>
          <w:rFonts w:hint="eastAsia"/>
        </w:rPr>
        <w:t>（２）意思疎通支援の充実</w:t>
      </w:r>
      <w:bookmarkEnd w:id="96"/>
    </w:p>
    <w:p>
      <w:pPr>
        <w:pStyle w:val="72"/>
        <w:ind w:left="224"/>
        <w:rPr>
          <w:rFonts w:hint="default"/>
        </w:rPr>
      </w:pPr>
      <w:r>
        <w:rPr>
          <w:rFonts w:hint="eastAsia"/>
        </w:rPr>
        <w:t>【現状と課題】</w:t>
      </w:r>
    </w:p>
    <w:p>
      <w:pPr>
        <w:pStyle w:val="0"/>
        <w:ind w:left="662" w:leftChars="200" w:hanging="214" w:hangingChars="100"/>
        <w:rPr>
          <w:rFonts w:hint="default"/>
          <w:sz w:val="21"/>
        </w:rPr>
      </w:pPr>
      <w:r>
        <w:rPr>
          <w:rFonts w:hint="eastAsia"/>
          <w:sz w:val="21"/>
        </w:rPr>
        <w:t>○手話通訳者を配置し、手話通訳者等の派遣や聴覚障がい者等の窓口手続支援を行っています。また、コロナ禍においては、通訳者が訪問できなかったため、手話通訳者がタブレットを活用し遠隔による手話通訳を行いました。</w:t>
      </w:r>
    </w:p>
    <w:p>
      <w:pPr>
        <w:pStyle w:val="0"/>
        <w:ind w:left="662" w:leftChars="200" w:hanging="214" w:hangingChars="100"/>
        <w:rPr>
          <w:rFonts w:hint="default"/>
          <w:sz w:val="21"/>
        </w:rPr>
      </w:pPr>
      <w:r>
        <w:rPr>
          <w:rFonts w:hint="eastAsia"/>
          <w:sz w:val="21"/>
        </w:rPr>
        <w:t>○町主催の会議やイベント等へ手話通訳者派遣を行い、意思疎通支援を行いました。また、聴覚障がい者が参加する会議等へも通訳者等の派遣を行いました。今後は、継続的な支援のほか、ニーズを踏まえた支援について検討することも必要です。</w:t>
      </w:r>
    </w:p>
    <w:p>
      <w:pPr>
        <w:pStyle w:val="0"/>
        <w:ind w:left="662" w:leftChars="200" w:hanging="214" w:hangingChars="100"/>
        <w:rPr>
          <w:rFonts w:hint="default"/>
          <w:sz w:val="21"/>
        </w:rPr>
      </w:pPr>
      <w:r>
        <w:rPr>
          <w:rFonts w:hint="eastAsia"/>
          <w:sz w:val="21"/>
        </w:rPr>
        <w:t>○日常生活用具給付事業には、情報・意思疎通支援用具の給付があり、必要な方に必要な支援を行っています。</w:t>
      </w:r>
    </w:p>
    <w:p>
      <w:pPr>
        <w:pStyle w:val="0"/>
        <w:ind w:left="662" w:leftChars="200" w:hanging="214" w:hangingChars="100"/>
        <w:rPr>
          <w:rFonts w:hint="default"/>
          <w:sz w:val="21"/>
        </w:rPr>
      </w:pPr>
      <w:r>
        <w:rPr>
          <w:rFonts w:hint="eastAsia"/>
          <w:sz w:val="21"/>
        </w:rPr>
        <w:t>○早い段階から聞こえづらさを感じている児童への関わりとして、保幼小中学校や町内の障害児通所支援事業所に対して“聞こえ”に関する実態調査を行ないました。聞こえに関する相談窓口も設置し、早期支援が必要な児童には、「軽度・中等度難聴児補聴器購入費等助成事業」につなぐ支援を行いました。</w:t>
      </w:r>
    </w:p>
    <w:p>
      <w:pPr>
        <w:pStyle w:val="0"/>
        <w:ind w:left="662" w:leftChars="200" w:hanging="214" w:hangingChars="100"/>
        <w:rPr>
          <w:rFonts w:hint="default"/>
          <w:sz w:val="21"/>
        </w:rPr>
      </w:pPr>
      <w:r>
        <w:rPr>
          <w:rFonts w:hint="eastAsia"/>
          <w:sz w:val="21"/>
        </w:rPr>
        <w:t>○手話を習得するための講座として、手話奉仕員養成講座を沖縄県聴覚障害者協会へ委託し、南城市と合同で開催しています。また、奉仕員養成講座を修了した方を対象に、県主催の手話通訳者の受講を促しています。さらに、奉仕員登録者の技術向上のため、近隣六市町と合同で学習会を開催しています。</w:t>
      </w:r>
    </w:p>
    <w:p>
      <w:pPr>
        <w:pStyle w:val="0"/>
        <w:ind w:left="662" w:leftChars="200" w:hanging="214" w:hangingChars="100"/>
        <w:rPr>
          <w:rFonts w:hint="default"/>
          <w:sz w:val="21"/>
        </w:rPr>
      </w:pPr>
      <w:r>
        <w:rPr>
          <w:rFonts w:hint="eastAsia"/>
          <w:sz w:val="21"/>
        </w:rPr>
        <w:t>○子どもたちへ障がいの理解を深める機会として、地域学校協働本部事業による総合学習において、小学４年生</w:t>
      </w:r>
      <w:r>
        <w:rPr>
          <w:rFonts w:hint="default"/>
          <w:sz w:val="21"/>
        </w:rPr>
        <w:t>を対象</w:t>
      </w:r>
      <w:r>
        <w:rPr>
          <w:rFonts w:hint="eastAsia"/>
          <w:sz w:val="21"/>
        </w:rPr>
        <w:t>とした</w:t>
      </w:r>
      <w:r>
        <w:rPr>
          <w:rFonts w:hint="default"/>
          <w:sz w:val="21"/>
        </w:rPr>
        <w:t>聴覚障</w:t>
      </w:r>
      <w:r>
        <w:rPr>
          <w:rFonts w:hint="eastAsia"/>
          <w:sz w:val="21"/>
        </w:rPr>
        <w:t>がいの</w:t>
      </w:r>
      <w:r>
        <w:rPr>
          <w:rFonts w:hint="default"/>
          <w:sz w:val="21"/>
        </w:rPr>
        <w:t>講話</w:t>
      </w:r>
      <w:r>
        <w:rPr>
          <w:rFonts w:hint="eastAsia"/>
          <w:sz w:val="21"/>
        </w:rPr>
        <w:t>や</w:t>
      </w:r>
      <w:r>
        <w:rPr>
          <w:rFonts w:hint="default"/>
          <w:sz w:val="21"/>
        </w:rPr>
        <w:t>手話を学ぶ場</w:t>
      </w:r>
      <w:r>
        <w:rPr>
          <w:rFonts w:hint="eastAsia"/>
          <w:sz w:val="21"/>
        </w:rPr>
        <w:t>を設けています。</w:t>
      </w:r>
    </w:p>
    <w:p>
      <w:pPr>
        <w:pStyle w:val="0"/>
        <w:ind w:left="662" w:leftChars="200" w:hanging="214" w:hangingChars="100"/>
        <w:rPr>
          <w:rFonts w:hint="default"/>
          <w:sz w:val="21"/>
        </w:rPr>
      </w:pPr>
      <w:r>
        <w:rPr>
          <w:rFonts w:hint="eastAsia"/>
          <w:sz w:val="21"/>
        </w:rPr>
        <w:t>○町広報紙、ホームページ、パンフレット、ポスター、手話言語国際デー等の啓発週間等の広報媒体を活用し、手話言語等への理解促進及び普及に取り組んでいます。</w:t>
      </w:r>
    </w:p>
    <w:p>
      <w:pPr>
        <w:pStyle w:val="0"/>
        <w:ind w:left="886" w:leftChars="300" w:hanging="214" w:hangingChars="100"/>
        <w:rPr>
          <w:rFonts w:hint="default"/>
          <w:sz w:val="21"/>
        </w:rPr>
      </w:pP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04"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64"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65"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66"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67"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76;" coordsize="6044565,219710" coordorigin="0,0" o:spid="_x0000_s1164" o:allowincell="t" o:allowoverlap="t">
                <v:roundrect id="今後の取り組み_四角（灰）" style="height:219710;width:6044565;top:0;left:0;position:absolute;" o:spid="_x0000_s1165"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66"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67"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default"/>
        </w:rPr>
        <w:t>【</w:t>
      </w:r>
      <w:r>
        <w:rPr>
          <w:rFonts w:hint="eastAsia"/>
        </w:rPr>
        <w:t>施策の基本的な考え方</w:t>
      </w:r>
      <w:r>
        <w:rPr>
          <w:rFonts w:hint="default"/>
        </w:rPr>
        <w:t>】</w:t>
      </w:r>
    </w:p>
    <w:p>
      <w:pPr>
        <w:pStyle w:val="0"/>
        <w:ind w:left="560" w:leftChars="250" w:firstLine="210" w:firstLineChars="100"/>
        <w:rPr>
          <w:rFonts w:hint="default"/>
          <w:spacing w:val="-2"/>
          <w:sz w:val="21"/>
        </w:rPr>
      </w:pPr>
      <w:r>
        <w:rPr>
          <w:rFonts w:hint="eastAsia"/>
          <w:spacing w:val="-2"/>
          <w:sz w:val="21"/>
        </w:rPr>
        <w:t>障がい者の日常生活及び社会生活の自立を図る上では、必要な情報の入手とともに、意思疎通が図れることが基本となります。そのため、「</w:t>
      </w:r>
      <w:r>
        <w:rPr>
          <w:rFonts w:hint="eastAsia"/>
          <w:sz w:val="21"/>
        </w:rPr>
        <w:t>町手話言語等条例</w:t>
      </w:r>
      <w:r>
        <w:rPr>
          <w:rFonts w:hint="eastAsia"/>
          <w:spacing w:val="-2"/>
          <w:sz w:val="21"/>
        </w:rPr>
        <w:t>」を踏まえて、意思疎通のための多様なコミュニケーション手段の普及と利用の促進に取り組みます。</w:t>
      </w:r>
    </w:p>
    <w:p>
      <w:pPr>
        <w:pStyle w:val="0"/>
        <w:ind w:left="560" w:leftChars="250" w:firstLine="210" w:firstLineChars="100"/>
        <w:rPr>
          <w:rFonts w:hint="default"/>
          <w:spacing w:val="-2"/>
          <w:sz w:val="21"/>
        </w:rPr>
      </w:pPr>
    </w:p>
    <w:p>
      <w:pPr>
        <w:pStyle w:val="73"/>
        <w:ind w:left="672" w:hanging="224"/>
        <w:rPr>
          <w:rFonts w:hint="default"/>
          <w:color w:val="auto"/>
        </w:rPr>
      </w:pPr>
      <w:r>
        <w:rPr>
          <w:rFonts w:hint="eastAsia"/>
          <w:color w:val="auto"/>
        </w:rPr>
        <w:t>①手話言語等による意思疎通支援の推進</w:t>
      </w:r>
    </w:p>
    <w:p>
      <w:pPr>
        <w:pStyle w:val="0"/>
        <w:ind w:left="886" w:leftChars="300" w:hanging="214" w:hangingChars="100"/>
        <w:rPr>
          <w:rFonts w:hint="default"/>
          <w:sz w:val="21"/>
        </w:rPr>
      </w:pPr>
      <w:r>
        <w:rPr>
          <w:rFonts w:hint="eastAsia"/>
          <w:sz w:val="21"/>
        </w:rPr>
        <w:t>・聴覚障がい者及び音声・言語機能障がい者の意思疎通を支援するため、手話通訳者や要約筆記者の派遣及び手話通訳者の配置を継続します。</w:t>
      </w:r>
    </w:p>
    <w:p>
      <w:pPr>
        <w:pStyle w:val="0"/>
        <w:ind w:left="886" w:leftChars="300" w:hanging="214" w:hangingChars="100"/>
        <w:rPr>
          <w:rFonts w:hint="default"/>
          <w:sz w:val="21"/>
        </w:rPr>
      </w:pPr>
      <w:r>
        <w:rPr>
          <w:rFonts w:hint="eastAsia"/>
          <w:sz w:val="21"/>
        </w:rPr>
        <w:t>・利用者のニーズに対応するため、タブレット等を活用した遠隔による手話通訳の派遣にも取り組みます。</w:t>
      </w:r>
    </w:p>
    <w:p>
      <w:pPr>
        <w:pStyle w:val="0"/>
        <w:ind w:left="886" w:leftChars="300" w:hanging="214" w:hangingChars="100"/>
        <w:rPr>
          <w:rFonts w:hint="default"/>
          <w:sz w:val="21"/>
        </w:rPr>
      </w:pPr>
      <w:r>
        <w:rPr>
          <w:rFonts w:hint="eastAsia"/>
          <w:sz w:val="21"/>
        </w:rPr>
        <w:t>・早い段階から聞こえづらさを感じている児童や保護者等と関係機関との連携を図ることを目的に、聞こえに関する相談窓口の設置を継続します。</w:t>
      </w:r>
    </w:p>
    <w:p>
      <w:pPr>
        <w:pStyle w:val="0"/>
        <w:ind w:left="886" w:leftChars="300" w:hanging="214" w:hangingChars="100"/>
        <w:rPr>
          <w:rFonts w:hint="default"/>
          <w:sz w:val="21"/>
        </w:rPr>
      </w:pPr>
      <w:r>
        <w:rPr>
          <w:rFonts w:hint="eastAsia"/>
          <w:sz w:val="21"/>
        </w:rPr>
        <w:t>・身体障害者手帳の交付対象とならない</w:t>
      </w:r>
      <w:r>
        <w:rPr>
          <w:rFonts w:hint="eastAsia"/>
          <w:sz w:val="21"/>
        </w:rPr>
        <w:t>18</w:t>
      </w:r>
      <w:r>
        <w:rPr>
          <w:rFonts w:hint="eastAsia"/>
          <w:sz w:val="21"/>
        </w:rPr>
        <w:t>歳未満の軽度・中等度難聴児に対し、言語の習得、コミュニケーション能力の向上を支援するため、補聴器購入費用の一部を助成する「軽度・中等度難聴児補聴器購入費等助成事業」を継続します。</w:t>
      </w:r>
    </w:p>
    <w:p>
      <w:pPr>
        <w:pStyle w:val="0"/>
        <w:ind w:left="886" w:leftChars="300" w:hanging="214" w:hangingChars="100"/>
        <w:rPr>
          <w:rFonts w:hint="default"/>
          <w:sz w:val="21"/>
        </w:rPr>
      </w:pPr>
      <w:r>
        <w:rPr>
          <w:rFonts w:hint="eastAsia"/>
          <w:sz w:val="21"/>
        </w:rPr>
        <w:t>・要約筆記者の派遣については、中途失聴者・難聴者にも有効であることから、利用ニーズの掘り起こしを行い、利用促進を図ります。</w:t>
      </w:r>
    </w:p>
    <w:p>
      <w:pPr>
        <w:pStyle w:val="0"/>
        <w:ind w:left="886" w:leftChars="300" w:hanging="214" w:hangingChars="100"/>
        <w:rPr>
          <w:rFonts w:hint="default"/>
          <w:sz w:val="21"/>
        </w:rPr>
      </w:pPr>
      <w:r>
        <w:rPr>
          <w:rFonts w:hint="eastAsia"/>
          <w:sz w:val="21"/>
        </w:rPr>
        <w:t>・意思疎通支援の充実を図るために、養成講座を受講した手話奉仕員の希望を踏まえて、手話通訳者への移行促進に取り組みます。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②手話言語等による情報取得の推進</w:t>
      </w:r>
    </w:p>
    <w:p>
      <w:pPr>
        <w:pStyle w:val="0"/>
        <w:ind w:left="886" w:leftChars="300" w:hanging="214" w:hangingChars="100"/>
        <w:rPr>
          <w:rFonts w:hint="default"/>
          <w:sz w:val="21"/>
        </w:rPr>
      </w:pPr>
      <w:r>
        <w:rPr>
          <w:rFonts w:hint="eastAsia"/>
          <w:sz w:val="21"/>
        </w:rPr>
        <w:t>・聴覚障がい者等が町の会議や行事等への参加において、内容・状況等を取得・理解できるよう、手話通訳者や要約筆記者を派遣するほか、パソコン等を活用した文字による情報取得ができるよう取り組みます。</w:t>
      </w:r>
    </w:p>
    <w:p>
      <w:pPr>
        <w:pStyle w:val="0"/>
        <w:ind w:left="886" w:leftChars="300" w:hanging="214" w:hangingChars="100"/>
        <w:rPr>
          <w:rFonts w:hint="default"/>
          <w:sz w:val="21"/>
        </w:rPr>
      </w:pPr>
      <w:r>
        <w:rPr>
          <w:rFonts w:hint="eastAsia"/>
          <w:sz w:val="21"/>
        </w:rPr>
        <w:t>・日常生活用具給付等事業により、情報・意思疎通支援用具の給付等を継続します。</w:t>
      </w:r>
    </w:p>
    <w:p>
      <w:pPr>
        <w:pStyle w:val="0"/>
        <w:ind w:left="886" w:leftChars="300" w:hanging="214" w:hangingChars="100"/>
        <w:rPr>
          <w:rFonts w:hint="default"/>
          <w:strike w:val="1"/>
          <w:sz w:val="21"/>
        </w:rPr>
      </w:pPr>
      <w:r>
        <w:rPr>
          <w:rFonts w:hint="eastAsia"/>
          <w:sz w:val="21"/>
        </w:rPr>
        <w:t>・聴覚障がい者の県外往訪時における情報保障のために、県外において手話通訳が利用できるよう、沖縄聴覚障害者情報センターと連携した支援を行います。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③手話言語等の習得の推進</w:t>
      </w:r>
    </w:p>
    <w:p>
      <w:pPr>
        <w:pStyle w:val="0"/>
        <w:ind w:left="886" w:leftChars="300" w:hanging="214" w:hangingChars="100"/>
        <w:rPr>
          <w:rFonts w:hint="default"/>
          <w:sz w:val="21"/>
        </w:rPr>
      </w:pPr>
      <w:r>
        <w:rPr>
          <w:rFonts w:hint="eastAsia"/>
          <w:sz w:val="21"/>
        </w:rPr>
        <w:t>・手話言語の習得者を確保し、聴覚障がい者等の日常生活の支援及び手話の普及につながるよう、手話奉仕員養成講座を継続します。</w:t>
      </w:r>
    </w:p>
    <w:p>
      <w:pPr>
        <w:pStyle w:val="0"/>
        <w:ind w:left="886" w:leftChars="300" w:hanging="214" w:hangingChars="100"/>
        <w:rPr>
          <w:rFonts w:hint="default"/>
          <w:sz w:val="21"/>
        </w:rPr>
      </w:pPr>
      <w:r>
        <w:rPr>
          <w:rFonts w:hint="eastAsia"/>
          <w:sz w:val="21"/>
        </w:rPr>
        <w:t>・手話奉仕委員の手話技術の向上や、手話奉仕員養成講座修了者が手話通訳者を目指していくように、移行に取り組みます。</w:t>
      </w:r>
    </w:p>
    <w:p>
      <w:pPr>
        <w:pStyle w:val="0"/>
        <w:ind w:left="886" w:leftChars="300" w:hanging="214" w:hangingChars="100"/>
        <w:rPr>
          <w:rFonts w:hint="default"/>
          <w:sz w:val="21"/>
        </w:rPr>
      </w:pPr>
      <w:r>
        <w:rPr>
          <w:rFonts w:hint="eastAsia"/>
          <w:sz w:val="21"/>
        </w:rPr>
        <w:t>・手話奉仕員や要約筆記奉仕員の有資格者、手話サークル等の理解・協力を得て、住民向けの初歩的な手話、要約筆記、点字等の講座の開催に取り組みます。</w:t>
      </w:r>
    </w:p>
    <w:p>
      <w:pPr>
        <w:pStyle w:val="0"/>
        <w:ind w:left="886" w:leftChars="300" w:hanging="214" w:hangingChars="100"/>
        <w:rPr>
          <w:rFonts w:hint="default"/>
          <w:sz w:val="21"/>
        </w:rPr>
      </w:pPr>
      <w:r>
        <w:rPr>
          <w:rFonts w:hint="eastAsia"/>
          <w:sz w:val="21"/>
        </w:rPr>
        <w:t>・手話ができない、点字が読めない障がい者が手話や点字を習得できるよう、手話等のスキルを持つ人材を活用した、手話等の講座開催を地域のニーズを踏まえた上で検討します。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④学校等が行う手話言語等の理解促進</w:t>
      </w:r>
    </w:p>
    <w:p>
      <w:pPr>
        <w:pStyle w:val="0"/>
        <w:ind w:left="886" w:leftChars="300" w:hanging="214" w:hangingChars="100"/>
        <w:rPr>
          <w:rFonts w:hint="default"/>
          <w:sz w:val="21"/>
        </w:rPr>
      </w:pPr>
      <w:r>
        <w:rPr>
          <w:rFonts w:hint="eastAsia"/>
          <w:sz w:val="21"/>
        </w:rPr>
        <w:t>・小学校児童に手話等の理解を図るため、今後も町立小学校において聴覚障がいへの理解や手話の学習等の機会を確保します。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⑤その他手話言語等への理解促進及び普及</w:t>
      </w:r>
    </w:p>
    <w:p>
      <w:pPr>
        <w:pStyle w:val="0"/>
        <w:ind w:left="886" w:leftChars="300" w:hanging="214" w:hangingChars="100"/>
        <w:rPr>
          <w:rFonts w:hint="default"/>
          <w:sz w:val="21"/>
        </w:rPr>
      </w:pPr>
      <w:r>
        <w:rPr>
          <w:rFonts w:hint="eastAsia"/>
          <w:sz w:val="21"/>
        </w:rPr>
        <w:t>・「町手話言語等条例」の普及を図るため、町の広報紙やホームページで紹介するほか、チラシやパンフレット等により地域への周知を図ります。</w:t>
      </w:r>
    </w:p>
    <w:p>
      <w:pPr>
        <w:pStyle w:val="0"/>
        <w:ind w:left="886" w:leftChars="300" w:hanging="214" w:hangingChars="100"/>
        <w:rPr>
          <w:rFonts w:hint="default"/>
          <w:sz w:val="21"/>
        </w:rPr>
      </w:pPr>
      <w:r>
        <w:rPr>
          <w:rFonts w:hint="eastAsia"/>
          <w:sz w:val="21"/>
        </w:rPr>
        <w:t>・手話や点字等による障がいの特性に応じた多様なコミュニケーション手段について、パンフレット等により地域への理解促進及び普及を図ります。</w:t>
      </w:r>
    </w:p>
    <w:p>
      <w:pPr>
        <w:pStyle w:val="0"/>
        <w:ind w:left="886" w:leftChars="300" w:hanging="214" w:hangingChars="100"/>
        <w:rPr>
          <w:rFonts w:hint="default"/>
          <w:strike w:val="1"/>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spacing w:line="360" w:lineRule="exact"/>
        <w:ind w:left="784" w:leftChars="250" w:hanging="224" w:hangingChars="100"/>
        <w:rPr>
          <w:rFonts w:hint="eastAsia" w:ascii="HGｺﾞｼｯｸM" w:hAnsi="HGｺﾞｼｯｸM" w:eastAsia="ＭＳ ゴシック"/>
          <w:sz w:val="26"/>
        </w:rPr>
      </w:pPr>
      <w:r>
        <w:rPr>
          <w:rFonts w:hint="default"/>
        </w:rPr>
        <w:br w:type="page"/>
      </w:r>
    </w:p>
    <w:p>
      <w:pPr>
        <w:pStyle w:val="80"/>
        <w:spacing w:after="92" w:afterLines="0" w:afterAutospacing="0"/>
        <w:rPr>
          <w:rFonts w:hint="default"/>
        </w:rPr>
      </w:pPr>
      <w:bookmarkStart w:id="97" w:name="_Toc154411472"/>
      <w:bookmarkStart w:id="98" w:name="_Toc162263670"/>
      <w:bookmarkStart w:id="99" w:name="_Toc505592292"/>
      <w:bookmarkStart w:id="100" w:name="_Toc62831669"/>
      <w:r>
        <w:rPr>
          <w:rFonts w:hint="eastAsia"/>
        </w:rPr>
        <w:t>４．保育・教育等の充実</w:t>
      </w:r>
      <w:bookmarkEnd w:id="51"/>
      <w:bookmarkEnd w:id="95"/>
      <w:bookmarkEnd w:id="97"/>
      <w:bookmarkEnd w:id="98"/>
      <w:bookmarkEnd w:id="99"/>
      <w:bookmarkEnd w:id="100"/>
    </w:p>
    <w:p>
      <w:pPr>
        <w:pStyle w:val="21"/>
        <w:spacing w:after="111" w:afterLines="0" w:afterAutospacing="0"/>
        <w:rPr>
          <w:rFonts w:hint="default"/>
        </w:rPr>
      </w:pPr>
      <w:bookmarkStart w:id="101" w:name="_Toc154411473"/>
      <w:r>
        <w:rPr>
          <w:rFonts w:hint="eastAsia"/>
        </w:rPr>
        <w:t>（１）発達支援保育等の充実</w:t>
      </w:r>
      <w:bookmarkEnd w:id="101"/>
    </w:p>
    <w:p>
      <w:pPr>
        <w:pStyle w:val="72"/>
        <w:ind w:left="224"/>
        <w:rPr>
          <w:rFonts w:hint="default"/>
        </w:rPr>
      </w:pPr>
      <w:r>
        <w:rPr>
          <w:rFonts w:hint="eastAsia"/>
        </w:rPr>
        <w:t>【現状と課題】</w:t>
      </w:r>
    </w:p>
    <w:p>
      <w:pPr>
        <w:pStyle w:val="74"/>
        <w:ind w:left="662" w:hanging="214"/>
        <w:rPr>
          <w:rFonts w:hint="default"/>
          <w:color w:val="auto"/>
        </w:rPr>
      </w:pPr>
      <w:r>
        <w:rPr>
          <w:rFonts w:hint="default"/>
          <w:color w:val="auto"/>
        </w:rPr>
        <w:t>►</w:t>
      </w:r>
      <w:r>
        <w:rPr>
          <w:rFonts w:hint="eastAsia"/>
          <w:color w:val="auto"/>
        </w:rPr>
        <w:t>発達支援児保育</w:t>
      </w:r>
    </w:p>
    <w:p>
      <w:pPr>
        <w:pStyle w:val="0"/>
        <w:ind w:left="774" w:leftChars="250" w:hanging="214" w:hangingChars="100"/>
        <w:textAlignment w:val="center"/>
        <w:rPr>
          <w:rFonts w:hint="default"/>
          <w:sz w:val="21"/>
        </w:rPr>
      </w:pPr>
      <w:r>
        <w:rPr>
          <w:rFonts w:hint="eastAsia"/>
          <w:sz w:val="21"/>
        </w:rPr>
        <w:t>○就学前児童の発達支援については、発達支援児保育運営委員会があり、課題の把握や情報共有を行っております。さらに、巡回訪問指導や研修会開催、ティーチャーズトレーニングの実施等、保育所と連携・協力を図りながら保育士等の資質向上に取り組んでいます。</w:t>
      </w:r>
    </w:p>
    <w:p>
      <w:pPr>
        <w:pStyle w:val="0"/>
        <w:ind w:left="774" w:leftChars="250" w:hanging="214" w:hangingChars="100"/>
        <w:textAlignment w:val="center"/>
        <w:rPr>
          <w:rFonts w:hint="default"/>
          <w:sz w:val="21"/>
        </w:rPr>
      </w:pPr>
      <w:r>
        <w:rPr>
          <w:rFonts w:hint="eastAsia"/>
          <w:sz w:val="21"/>
        </w:rPr>
        <w:t>○保育所等において加配保育士を配置する発達支援児保育事業を実施することで、園の負担を軽減し、発達支援児保育の円滑な実施を図りました。今後も早い段階から療育につながる加配保育士を配置できるように取り組んでいく必要があります。</w:t>
      </w:r>
    </w:p>
    <w:p>
      <w:pPr>
        <w:pStyle w:val="0"/>
        <w:ind w:left="723" w:leftChars="227" w:hanging="214" w:hangingChars="100"/>
        <w:rPr>
          <w:rFonts w:hint="default"/>
          <w:sz w:val="21"/>
        </w:rPr>
      </w:pPr>
    </w:p>
    <w:p>
      <w:pPr>
        <w:pStyle w:val="74"/>
        <w:ind w:left="662" w:hanging="214"/>
        <w:rPr>
          <w:rFonts w:hint="default"/>
          <w:color w:val="auto"/>
        </w:rPr>
      </w:pPr>
      <w:r>
        <w:rPr>
          <w:rFonts w:hint="default"/>
          <w:color w:val="auto"/>
        </w:rPr>
        <w:t>►</w:t>
      </w:r>
      <w:r>
        <w:rPr>
          <w:rFonts w:hint="eastAsia"/>
          <w:color w:val="auto"/>
        </w:rPr>
        <w:t>発達相談及び療育支援</w:t>
      </w:r>
    </w:p>
    <w:p>
      <w:pPr>
        <w:pStyle w:val="0"/>
        <w:ind w:left="774" w:leftChars="250" w:hanging="214" w:hangingChars="100"/>
        <w:textAlignment w:val="center"/>
        <w:rPr>
          <w:rFonts w:hint="default"/>
          <w:sz w:val="21"/>
        </w:rPr>
      </w:pPr>
      <w:r>
        <w:rPr>
          <w:rFonts w:hint="eastAsia"/>
          <w:sz w:val="21"/>
        </w:rPr>
        <w:t>○町に心理士を配置し、発達が気になる子の保護者や支援機関からの相談に個別で対応を行っています。また、１</w:t>
      </w:r>
      <w:r>
        <w:rPr>
          <w:rFonts w:hint="default"/>
          <w:sz w:val="21"/>
        </w:rPr>
        <w:t>.</w:t>
      </w:r>
      <w:r>
        <w:rPr>
          <w:rFonts w:hint="default"/>
          <w:sz w:val="21"/>
        </w:rPr>
        <w:t>６歳児、２歳児、３歳児健診時に</w:t>
      </w:r>
      <w:r>
        <w:rPr>
          <w:rFonts w:hint="eastAsia"/>
          <w:sz w:val="21"/>
        </w:rPr>
        <w:t>も</w:t>
      </w:r>
      <w:r>
        <w:rPr>
          <w:rFonts w:hint="default"/>
          <w:sz w:val="21"/>
        </w:rPr>
        <w:t>心理士</w:t>
      </w:r>
      <w:r>
        <w:rPr>
          <w:rFonts w:hint="eastAsia"/>
          <w:sz w:val="21"/>
        </w:rPr>
        <w:t>が参加し</w:t>
      </w:r>
      <w:r>
        <w:rPr>
          <w:rFonts w:hint="default"/>
          <w:sz w:val="21"/>
        </w:rPr>
        <w:t>相談対応しています。</w:t>
      </w:r>
      <w:r>
        <w:rPr>
          <w:rFonts w:hint="eastAsia"/>
          <w:sz w:val="21"/>
        </w:rPr>
        <w:t>さまざまな不安を抱えている子どもやその保護者に対して寄り添った支援を行っています。</w:t>
      </w:r>
    </w:p>
    <w:p>
      <w:pPr>
        <w:pStyle w:val="0"/>
        <w:ind w:left="774" w:leftChars="250" w:hanging="214" w:hangingChars="100"/>
        <w:textAlignment w:val="center"/>
        <w:rPr>
          <w:rFonts w:hint="default"/>
          <w:sz w:val="21"/>
        </w:rPr>
      </w:pPr>
      <w:r>
        <w:rPr>
          <w:rFonts w:hint="eastAsia"/>
          <w:sz w:val="21"/>
        </w:rPr>
        <w:t>○</w:t>
      </w:r>
      <w:bookmarkStart w:id="102" w:name="_Hlk156142968"/>
      <w:r>
        <w:rPr>
          <w:rFonts w:hint="eastAsia"/>
          <w:sz w:val="21"/>
        </w:rPr>
        <w:t>発達が気になる子について保護者の障がい受容等に配慮しながら、早期発見・早期支援を重視し、丁寧な説明や対応を行う必要があります。</w:t>
      </w:r>
    </w:p>
    <w:p>
      <w:pPr>
        <w:pStyle w:val="0"/>
        <w:ind w:left="774" w:leftChars="250" w:hanging="214" w:hangingChars="100"/>
        <w:textAlignment w:val="center"/>
        <w:rPr>
          <w:rFonts w:hint="default"/>
          <w:sz w:val="21"/>
        </w:rPr>
      </w:pPr>
      <w:bookmarkEnd w:id="102"/>
      <w:r>
        <w:rPr>
          <w:rFonts w:hint="eastAsia"/>
          <w:sz w:val="21"/>
        </w:rPr>
        <w:t>○発達が気になる子の療育の場として親子通園事業を実施しております。令和３年度から親子通園事業を町内事業所に委託し、専門スタッフのもと少人数による遊びや活動を通して親子の愛着形成や心身の発達を促す支援をしています。保護者同士の交流及び事業スタッフによる相談・指導等により、保護者の子育ての不安の軽減に努めています。</w:t>
      </w:r>
    </w:p>
    <w:p>
      <w:pPr>
        <w:pStyle w:val="0"/>
        <w:ind w:left="774" w:leftChars="250" w:hanging="214" w:hangingChars="100"/>
        <w:textAlignment w:val="center"/>
        <w:rPr>
          <w:rFonts w:hint="default"/>
          <w:sz w:val="21"/>
        </w:rPr>
      </w:pPr>
      <w:r>
        <w:rPr>
          <w:rFonts w:hint="eastAsia"/>
          <w:sz w:val="21"/>
        </w:rPr>
        <w:t>○発達障がいに関する理解が広がり、発達相談や発達支援児保育事業、児童発達支援等の障害福祉サービスの利用ニーズが増加しています。</w:t>
      </w:r>
    </w:p>
    <w:p>
      <w:pPr>
        <w:pStyle w:val="0"/>
        <w:ind w:left="723" w:leftChars="227" w:hanging="214" w:hangingChars="100"/>
        <w:rPr>
          <w:rFonts w:hint="default"/>
        </w:rPr>
      </w:pPr>
      <w:r>
        <w:rPr>
          <w:rFonts w:hint="eastAsia"/>
          <w:sz w:val="21"/>
        </w:rPr>
        <w:t>○児童の発達支援については、就学前の乳幼児健康診査から保育園、幼稚園での対応及び小学校への切れ目ない支援が必要です。このため、関係する担当課や保育・教育施設が連携し、療育等の支援が必要な子どもへの対応を行っています。</w:t>
      </w:r>
    </w:p>
    <w:p>
      <w:pPr>
        <w:pStyle w:val="0"/>
        <w:ind w:left="774" w:leftChars="250" w:hanging="214" w:hangingChars="100"/>
        <w:textAlignment w:val="center"/>
        <w:rPr>
          <w:rFonts w:hint="default"/>
          <w:sz w:val="21"/>
        </w:rPr>
      </w:pPr>
      <w:r>
        <w:rPr>
          <w:rFonts w:hint="eastAsia"/>
          <w:sz w:val="21"/>
        </w:rPr>
        <w:t>○町内の４幼稚園、４小学校及び２中学校に対し、沖縄県が作成し、発達が気になる子の保護者が記入等を行い利用する新サポートノート｢えいぶる｣の配付及び周知を図りました。</w:t>
      </w:r>
    </w:p>
    <w:p>
      <w:pPr>
        <w:pStyle w:val="0"/>
        <w:ind w:left="774" w:leftChars="250" w:hanging="214" w:hangingChars="100"/>
        <w:textAlignment w:val="center"/>
        <w:rPr>
          <w:rFonts w:hint="default"/>
          <w:sz w:val="21"/>
        </w:rPr>
      </w:pPr>
    </w:p>
    <w:p>
      <w:pPr>
        <w:pStyle w:val="0"/>
        <w:widowControl w:val="1"/>
        <w:jc w:val="left"/>
        <w:rPr>
          <w:rFonts w:hint="default"/>
          <w:sz w:val="21"/>
        </w:rPr>
      </w:pPr>
      <w:r>
        <w:rPr>
          <w:rFonts w:hint="default"/>
          <w:sz w:val="21"/>
        </w:rPr>
        <w:br w:type="page"/>
      </w: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08"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68"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69"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70"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71"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72;" coordsize="6044565,219710" coordorigin="0,0" o:spid="_x0000_s1168" o:allowincell="t" o:allowoverlap="t">
                <v:roundrect id="今後の取り組み_四角（灰）" style="height:219710;width:6044565;top:0;left:0;position:absolute;" o:spid="_x0000_s1169"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70"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71"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発達支援児保育においては、加配の保育士を配置するほか、専門</w:t>
      </w:r>
      <w:bookmarkStart w:id="103" w:name="_Hlk156061385"/>
      <w:r>
        <w:rPr>
          <w:rFonts w:hint="eastAsia"/>
          <w:sz w:val="21"/>
        </w:rPr>
        <w:t>職</w:t>
      </w:r>
      <w:bookmarkEnd w:id="103"/>
      <w:r>
        <w:rPr>
          <w:rFonts w:hint="eastAsia"/>
          <w:sz w:val="21"/>
        </w:rPr>
        <w:t>等との連携などにより、保育士の資質向上や保護者への相談体制の充実を図り、地域での療育・保育に関する支援が安心して受けられる環境を整えます。</w:t>
      </w:r>
    </w:p>
    <w:p>
      <w:pPr>
        <w:pStyle w:val="0"/>
        <w:ind w:left="448" w:leftChars="200" w:firstLine="214" w:firstLineChars="100"/>
        <w:rPr>
          <w:rFonts w:hint="default"/>
          <w:sz w:val="21"/>
        </w:rPr>
      </w:pPr>
      <w:r>
        <w:rPr>
          <w:rFonts w:hint="eastAsia"/>
          <w:sz w:val="21"/>
        </w:rPr>
        <w:t>保護者の障がいに対する情報不足や受容のしづらさから療育の開始が遅れるといった課題もあることから、保護者の心情に配慮した相談支援体制や療育の場の充実に取り組みます。</w:t>
      </w:r>
    </w:p>
    <w:p>
      <w:pPr>
        <w:pStyle w:val="0"/>
        <w:ind w:left="448" w:leftChars="200" w:firstLine="214" w:firstLineChars="100"/>
        <w:rPr>
          <w:rFonts w:hint="default"/>
          <w:sz w:val="21"/>
        </w:rPr>
      </w:pPr>
      <w:r>
        <w:rPr>
          <w:rFonts w:hint="eastAsia"/>
          <w:sz w:val="21"/>
        </w:rPr>
        <w:t>子どものライフステージの変化により支援機関が変わることから、子どもの特性を正確に引き継いでいくことが重要となります。関係機関の連携体制を強化します。</w:t>
      </w:r>
    </w:p>
    <w:p>
      <w:pPr>
        <w:pStyle w:val="0"/>
        <w:ind w:left="448" w:leftChars="200" w:firstLine="214" w:firstLineChars="100"/>
        <w:rPr>
          <w:rFonts w:hint="default"/>
          <w:sz w:val="21"/>
        </w:rPr>
      </w:pPr>
    </w:p>
    <w:p>
      <w:pPr>
        <w:pStyle w:val="73"/>
        <w:ind w:left="672" w:hanging="224"/>
        <w:rPr>
          <w:rFonts w:hint="default"/>
          <w:color w:val="auto"/>
        </w:rPr>
      </w:pPr>
      <w:r>
        <w:rPr>
          <w:rFonts w:hint="eastAsia"/>
          <w:color w:val="auto"/>
        </w:rPr>
        <w:t>①発達支援児保育の充実</w:t>
      </w:r>
    </w:p>
    <w:p>
      <w:pPr>
        <w:pStyle w:val="0"/>
        <w:ind w:left="886" w:leftChars="300" w:hanging="214" w:hangingChars="100"/>
        <w:rPr>
          <w:rFonts w:hint="default"/>
          <w:sz w:val="21"/>
        </w:rPr>
      </w:pPr>
      <w:r>
        <w:rPr>
          <w:rFonts w:hint="eastAsia"/>
          <w:sz w:val="21"/>
        </w:rPr>
        <w:t>・</w:t>
      </w:r>
      <w:bookmarkStart w:id="104" w:name="_Hlk63967410"/>
      <w:r>
        <w:rPr>
          <w:rFonts w:hint="eastAsia"/>
          <w:sz w:val="21"/>
        </w:rPr>
        <w:t>心身等の障がいや</w:t>
      </w:r>
      <w:bookmarkEnd w:id="104"/>
      <w:r>
        <w:rPr>
          <w:rFonts w:hint="eastAsia"/>
          <w:sz w:val="21"/>
        </w:rPr>
        <w:t>発達が気になる子について、保育所</w:t>
      </w:r>
      <w:r>
        <w:rPr>
          <w:rFonts w:hint="eastAsia"/>
          <w:sz w:val="21"/>
        </w:rPr>
        <w:t>(</w:t>
      </w:r>
      <w:r>
        <w:rPr>
          <w:rFonts w:hint="eastAsia"/>
          <w:sz w:val="21"/>
        </w:rPr>
        <w:t>園</w:t>
      </w:r>
      <w:r>
        <w:rPr>
          <w:rFonts w:hint="eastAsia"/>
          <w:sz w:val="21"/>
        </w:rPr>
        <w:t>)</w:t>
      </w:r>
      <w:r>
        <w:rPr>
          <w:rFonts w:hint="eastAsia"/>
          <w:sz w:val="21"/>
        </w:rPr>
        <w:t>での集団生活を通して成長・発達を促すために、今後も、発達支援児保育を実施し、加配の保育士を配置します。</w:t>
      </w:r>
    </w:p>
    <w:p>
      <w:pPr>
        <w:pStyle w:val="0"/>
        <w:ind w:left="886" w:leftChars="300" w:hanging="214" w:hangingChars="100"/>
        <w:rPr>
          <w:rFonts w:hint="default"/>
          <w:sz w:val="21"/>
        </w:rPr>
      </w:pPr>
      <w:r>
        <w:rPr>
          <w:rFonts w:hint="eastAsia"/>
          <w:sz w:val="21"/>
        </w:rPr>
        <w:t>・加配の保育士の年度途中の配置については、関係機関と必要な調整を行います。</w:t>
      </w:r>
    </w:p>
    <w:p>
      <w:pPr>
        <w:pStyle w:val="0"/>
        <w:ind w:left="886" w:leftChars="300" w:hanging="214" w:hangingChars="100"/>
        <w:rPr>
          <w:rFonts w:hint="default"/>
          <w:sz w:val="21"/>
        </w:rPr>
      </w:pPr>
      <w:r>
        <w:rPr>
          <w:rFonts w:hint="eastAsia"/>
          <w:sz w:val="21"/>
        </w:rPr>
        <w:t>・専門職による巡回訪問指導の実施や｢発達支援児保育運営委員会｣の開催、その他必要な研修等への参加及び関係機関との連携を通して、保育士等の資質向上を図ります。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②早期療育への理解促進</w:t>
      </w:r>
    </w:p>
    <w:p>
      <w:pPr>
        <w:pStyle w:val="0"/>
        <w:ind w:left="886" w:leftChars="300" w:hanging="214" w:hangingChars="100"/>
        <w:rPr>
          <w:rFonts w:hint="default"/>
          <w:sz w:val="21"/>
        </w:rPr>
      </w:pPr>
      <w:r>
        <w:rPr>
          <w:rFonts w:hint="eastAsia"/>
          <w:sz w:val="21"/>
        </w:rPr>
        <w:t>・町に心理士職を配置し、発達が気になる子への早期支援、保護者支援に取り組みます。</w:t>
      </w:r>
    </w:p>
    <w:p>
      <w:pPr>
        <w:pStyle w:val="0"/>
        <w:ind w:left="886" w:leftChars="300" w:hanging="214" w:hangingChars="100"/>
        <w:rPr>
          <w:rFonts w:hint="default"/>
          <w:sz w:val="21"/>
        </w:rPr>
      </w:pPr>
      <w:r>
        <w:rPr>
          <w:rFonts w:hint="eastAsia"/>
          <w:sz w:val="21"/>
        </w:rPr>
        <w:t>・心身等の障がいや発達が気になる子が、早期療育により状態の改善を図ることができるよう、町内保育所</w:t>
      </w:r>
      <w:r>
        <w:rPr>
          <w:rFonts w:hint="eastAsia"/>
          <w:sz w:val="21"/>
        </w:rPr>
        <w:t>(</w:t>
      </w:r>
      <w:r>
        <w:rPr>
          <w:rFonts w:hint="eastAsia"/>
          <w:sz w:val="21"/>
        </w:rPr>
        <w:t>園</w:t>
      </w:r>
      <w:r>
        <w:rPr>
          <w:rFonts w:hint="eastAsia"/>
          <w:sz w:val="21"/>
        </w:rPr>
        <w:t>)</w:t>
      </w:r>
      <w:r>
        <w:rPr>
          <w:rFonts w:hint="eastAsia"/>
          <w:sz w:val="21"/>
        </w:rPr>
        <w:t>、関係課等が連携し、保護者の心情に配慮しながら、相談・助言を行い、早期療育への理解を促していきます。</w:t>
      </w:r>
    </w:p>
    <w:p>
      <w:pPr>
        <w:pStyle w:val="0"/>
        <w:ind w:left="886" w:leftChars="300" w:hanging="214" w:hangingChars="100"/>
        <w:rPr>
          <w:rFonts w:hint="default"/>
          <w:sz w:val="21"/>
        </w:rPr>
      </w:pPr>
      <w:r>
        <w:rPr>
          <w:rFonts w:hint="eastAsia"/>
          <w:sz w:val="21"/>
        </w:rPr>
        <w:t>・</w:t>
      </w:r>
      <w:bookmarkStart w:id="105" w:name="_Hlk63967336"/>
      <w:r>
        <w:rPr>
          <w:rFonts w:hint="eastAsia"/>
          <w:sz w:val="21"/>
        </w:rPr>
        <w:t>親子通園事業を実施し、</w:t>
      </w:r>
      <w:bookmarkEnd w:id="105"/>
      <w:r>
        <w:rPr>
          <w:rFonts w:hint="eastAsia"/>
          <w:sz w:val="21"/>
        </w:rPr>
        <w:t>親子関係の愛着形成や心身の発達を促す支援に取り組みます。また、小集団による保護者同士の交流や事業スタッフによる相談・指導等により、保護者の子育て不安の軽減を図ります。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③療育の連続性の確保</w:t>
      </w:r>
    </w:p>
    <w:p>
      <w:pPr>
        <w:pStyle w:val="0"/>
        <w:ind w:left="886" w:leftChars="300" w:hanging="214" w:hangingChars="100"/>
        <w:rPr>
          <w:rFonts w:hint="default"/>
          <w:sz w:val="21"/>
        </w:rPr>
      </w:pPr>
      <w:r>
        <w:rPr>
          <w:rFonts w:hint="eastAsia"/>
          <w:sz w:val="21"/>
        </w:rPr>
        <w:t>・乳幼児健康診査やその後の経過観察から、保育所</w:t>
      </w:r>
      <w:r>
        <w:rPr>
          <w:rFonts w:hint="default"/>
          <w:sz w:val="21"/>
        </w:rPr>
        <w:t>(</w:t>
      </w:r>
      <w:r>
        <w:rPr>
          <w:rFonts w:hint="default"/>
          <w:sz w:val="21"/>
        </w:rPr>
        <w:t>園</w:t>
      </w:r>
      <w:r>
        <w:rPr>
          <w:rFonts w:hint="default"/>
          <w:sz w:val="21"/>
        </w:rPr>
        <w:t>)</w:t>
      </w:r>
      <w:r>
        <w:rPr>
          <w:rFonts w:hint="default"/>
          <w:sz w:val="21"/>
        </w:rPr>
        <w:t>、幼稚園、小中学校と一貫した支援が行われるよう、</w:t>
      </w:r>
      <w:bookmarkStart w:id="106" w:name="_Hlk156250189"/>
      <w:r>
        <w:rPr>
          <w:rFonts w:hint="default"/>
          <w:sz w:val="21"/>
        </w:rPr>
        <w:t>保健・保育・教育等の関係機関が連携し、</w:t>
      </w:r>
      <w:bookmarkEnd w:id="106"/>
      <w:r>
        <w:rPr>
          <w:rFonts w:hint="default"/>
          <w:sz w:val="21"/>
        </w:rPr>
        <w:t>支援を必要とする子の情報を共有するとともに、一人ひとりに応じたより適切な療育等の支援につながるよう取り組</w:t>
      </w:r>
      <w:r>
        <w:rPr>
          <w:rFonts w:hint="eastAsia"/>
          <w:sz w:val="21"/>
        </w:rPr>
        <w:t>みます</w:t>
      </w:r>
      <w:r>
        <w:rPr>
          <w:rFonts w:hint="default"/>
          <w:sz w:val="21"/>
        </w:rPr>
        <w:t>。</w:t>
      </w:r>
    </w:p>
    <w:p>
      <w:pPr>
        <w:pStyle w:val="0"/>
        <w:ind w:left="886" w:leftChars="300" w:hanging="214" w:hangingChars="100"/>
        <w:rPr>
          <w:rFonts w:hint="default"/>
          <w:sz w:val="21"/>
        </w:rPr>
      </w:pPr>
      <w:r>
        <w:rPr>
          <w:rFonts w:hint="eastAsia"/>
          <w:sz w:val="21"/>
        </w:rPr>
        <w:t>・関係者が心身等の障がいや成長発達が気になる子の情報を共有し、適切な支援につながるよう、発達の経過や医療機関・療育機関の利用状況等、どのように成長してきたかを記録する、新サポートノート｢えいぶる｣</w:t>
      </w:r>
      <w:r>
        <w:rPr>
          <w:rFonts w:hint="eastAsia"/>
          <w:sz w:val="21"/>
        </w:rPr>
        <w:t>(</w:t>
      </w:r>
      <w:r>
        <w:rPr>
          <w:rFonts w:hint="eastAsia"/>
          <w:sz w:val="21"/>
        </w:rPr>
        <w:t>沖縄県推奨</w:t>
      </w:r>
      <w:r>
        <w:rPr>
          <w:rFonts w:hint="eastAsia"/>
          <w:sz w:val="21"/>
        </w:rPr>
        <w:t>)</w:t>
      </w:r>
      <w:r>
        <w:rPr>
          <w:rFonts w:hint="eastAsia"/>
          <w:sz w:val="21"/>
        </w:rPr>
        <w:t>について、関係機関と連携し保護者への周知を図ります。</w:t>
      </w:r>
    </w:p>
    <w:p>
      <w:pPr>
        <w:pStyle w:val="0"/>
        <w:ind w:left="886" w:leftChars="300" w:hanging="214" w:hangingChars="100"/>
        <w:rPr>
          <w:rFonts w:hint="default"/>
          <w:sz w:val="21"/>
        </w:rPr>
      </w:pPr>
    </w:p>
    <w:p>
      <w:pPr>
        <w:pStyle w:val="0"/>
        <w:widowControl w:val="1"/>
        <w:jc w:val="left"/>
        <w:rPr>
          <w:rFonts w:hint="default"/>
          <w:sz w:val="21"/>
        </w:rPr>
      </w:pPr>
      <w:bookmarkStart w:id="107" w:name="_Toc154411474"/>
      <w:r>
        <w:rPr>
          <w:rFonts w:hint="default"/>
          <w:sz w:val="21"/>
        </w:rPr>
        <w:br w:type="page"/>
      </w:r>
    </w:p>
    <w:p>
      <w:pPr>
        <w:pStyle w:val="21"/>
        <w:spacing w:after="111" w:afterLines="0" w:afterAutospacing="0"/>
        <w:rPr>
          <w:rFonts w:hint="default"/>
        </w:rPr>
      </w:pPr>
      <w:r>
        <w:rPr>
          <w:rFonts w:hint="eastAsia"/>
        </w:rPr>
        <w:t>（２）特別支援教育の充実</w:t>
      </w:r>
      <w:bookmarkEnd w:id="107"/>
    </w:p>
    <w:p>
      <w:pPr>
        <w:pStyle w:val="72"/>
        <w:ind w:left="224"/>
        <w:rPr>
          <w:rFonts w:hint="default"/>
        </w:rPr>
      </w:pPr>
      <w:r>
        <w:rPr>
          <w:rFonts w:hint="eastAsia"/>
        </w:rPr>
        <w:t>【現状と課題】</w:t>
      </w:r>
    </w:p>
    <w:p>
      <w:pPr>
        <w:pStyle w:val="0"/>
        <w:ind w:left="662" w:leftChars="200" w:hanging="214" w:hangingChars="100"/>
        <w:rPr>
          <w:rFonts w:hint="default"/>
          <w:sz w:val="21"/>
        </w:rPr>
      </w:pPr>
      <w:r>
        <w:rPr>
          <w:rFonts w:hint="eastAsia"/>
          <w:sz w:val="21"/>
        </w:rPr>
        <w:t>○町内の４幼稚園・４小学校・２中学校において校内特別支援委員会を設置し、幼児・児童・生徒が個々に適した教育の保障がなされるよう教育支援委員会での審議に取り組んでいます。</w:t>
      </w:r>
    </w:p>
    <w:p>
      <w:pPr>
        <w:pStyle w:val="0"/>
        <w:ind w:left="662" w:leftChars="200" w:hanging="214" w:hangingChars="100"/>
        <w:rPr>
          <w:rFonts w:hint="default"/>
          <w:sz w:val="21"/>
        </w:rPr>
      </w:pPr>
      <w:r>
        <w:rPr>
          <w:rFonts w:hint="eastAsia"/>
          <w:sz w:val="21"/>
        </w:rPr>
        <w:t>○４小学校・２中学校に特別支援教育コーディネーターを配置し、特別な教育的支援が必要な幼児・児童・生徒の個別支援計画に基づいた教育支援の実施に取り組んでいます。</w:t>
      </w:r>
    </w:p>
    <w:p>
      <w:pPr>
        <w:pStyle w:val="0"/>
        <w:ind w:left="662" w:leftChars="200" w:hanging="214" w:hangingChars="100"/>
        <w:rPr>
          <w:rFonts w:hint="default"/>
          <w:sz w:val="21"/>
        </w:rPr>
      </w:pPr>
      <w:r>
        <w:rPr>
          <w:rFonts w:hint="eastAsia"/>
          <w:sz w:val="21"/>
        </w:rPr>
        <w:t>○年々、特別な支援が必要な幼児・児童・生徒が増加しています。子ども一人ひとりの状況に応じた特別支援教育の実施が必要です。</w:t>
      </w:r>
    </w:p>
    <w:p>
      <w:pPr>
        <w:pStyle w:val="0"/>
        <w:ind w:left="662" w:leftChars="200" w:hanging="214" w:hangingChars="100"/>
        <w:rPr>
          <w:rFonts w:hint="default"/>
          <w:sz w:val="21"/>
        </w:rPr>
      </w:pPr>
      <w:r>
        <w:rPr>
          <w:rFonts w:hint="eastAsia"/>
          <w:sz w:val="21"/>
        </w:rPr>
        <w:t>○特別支援学級担当教諭・通級指導教室担当教諭・特別支援コーディネーター・特別支援教育支援員等に対し「インクルーシブ教育と学級経営」の研修会を実施しました。</w:t>
      </w:r>
    </w:p>
    <w:p>
      <w:pPr>
        <w:pStyle w:val="0"/>
        <w:ind w:left="662" w:leftChars="200" w:hanging="214" w:hangingChars="100"/>
        <w:rPr>
          <w:rFonts w:hint="default"/>
          <w:sz w:val="21"/>
        </w:rPr>
      </w:pPr>
      <w:r>
        <w:rPr>
          <w:rFonts w:hint="eastAsia"/>
          <w:sz w:val="21"/>
        </w:rPr>
        <w:t>○指導主事を軸としたサポート会議等では学校関係者・特別支援教育相談員・スクールカウンセラー・スクールソーシャルワーカー等、関係機関も参加し、情報共有が行える相談支援体制で対応しています。</w:t>
      </w:r>
    </w:p>
    <w:p>
      <w:pPr>
        <w:pStyle w:val="0"/>
        <w:ind w:left="662" w:leftChars="200" w:hanging="214" w:hangingChars="100"/>
        <w:rPr>
          <w:rFonts w:hint="default"/>
          <w:sz w:val="21"/>
        </w:rPr>
      </w:pPr>
      <w:r>
        <w:rPr>
          <w:rFonts w:hint="eastAsia"/>
          <w:sz w:val="21"/>
        </w:rPr>
        <w:t>○相談支援を行う中には、家庭の状況が「複雑化・複合化」しており、家庭を包括的に支援する相談から支援へのつなぎが必要となっています。</w:t>
      </w:r>
    </w:p>
    <w:p>
      <w:pPr>
        <w:pStyle w:val="0"/>
        <w:ind w:left="662" w:leftChars="200" w:hanging="214" w:hangingChars="100"/>
        <w:rPr>
          <w:rFonts w:hint="default"/>
          <w:sz w:val="21"/>
        </w:rPr>
      </w:pPr>
      <w:r>
        <w:rPr>
          <w:rFonts w:hint="eastAsia"/>
          <w:sz w:val="21"/>
        </w:rPr>
        <w:t>○特別支援学級の児童生徒が協力学級</w:t>
      </w:r>
      <w:r>
        <w:rPr>
          <w:rFonts w:hint="default"/>
          <w:sz w:val="21"/>
        </w:rPr>
        <w:t>(</w:t>
      </w:r>
      <w:r>
        <w:rPr>
          <w:rFonts w:hint="default"/>
          <w:sz w:val="21"/>
        </w:rPr>
        <w:t>普通学級</w:t>
      </w:r>
      <w:r>
        <w:rPr>
          <w:rFonts w:hint="default"/>
          <w:sz w:val="21"/>
        </w:rPr>
        <w:t>)</w:t>
      </w:r>
      <w:r>
        <w:rPr>
          <w:rFonts w:hint="default"/>
          <w:sz w:val="21"/>
        </w:rPr>
        <w:t>の授業等に参加し、交流や共同学習を実施してい</w:t>
      </w:r>
      <w:r>
        <w:rPr>
          <w:rFonts w:hint="eastAsia"/>
          <w:sz w:val="21"/>
        </w:rPr>
        <w:t>ます</w:t>
      </w:r>
      <w:r>
        <w:rPr>
          <w:rFonts w:hint="default"/>
          <w:sz w:val="21"/>
        </w:rPr>
        <w:t>。</w:t>
      </w:r>
      <w:r>
        <w:rPr>
          <w:rFonts w:hint="eastAsia"/>
          <w:sz w:val="21"/>
        </w:rPr>
        <w:t>幼児・児童・生徒、個々の体制に即した教育と、インクルーシブ教育を拡充させる難しさが課題となっています。</w:t>
      </w:r>
    </w:p>
    <w:p>
      <w:pPr>
        <w:pStyle w:val="0"/>
        <w:ind w:left="662" w:leftChars="200" w:hanging="214" w:hangingChars="100"/>
        <w:rPr>
          <w:rFonts w:hint="default"/>
          <w:sz w:val="21"/>
        </w:rPr>
      </w:pPr>
      <w:r>
        <w:rPr>
          <w:rFonts w:hint="eastAsia"/>
          <w:sz w:val="21"/>
        </w:rPr>
        <w:t>○乳幼児期から学校卒業後までの一貫した相談支援が行われるよう保育所（園）、幼稚園・小中学校や関係機関とも情報共有を図り、早期からの就学相談を実施しています。医療的なケアが必要な幼児・児童に対しても医療機関を含む関係機関と就学相談支援を実施し、入園・入学のサポートも実施しています。</w:t>
      </w:r>
    </w:p>
    <w:p>
      <w:pPr>
        <w:pStyle w:val="0"/>
        <w:ind w:left="662" w:leftChars="200" w:hanging="214" w:hangingChars="100"/>
        <w:rPr>
          <w:rFonts w:hint="default"/>
          <w:sz w:val="21"/>
        </w:rPr>
      </w:pPr>
      <w:r>
        <w:rPr>
          <w:rFonts w:hint="eastAsia"/>
          <w:sz w:val="21"/>
        </w:rPr>
        <w:t>○就学支援委員会後の判定に対して、幼児・児童・生徒の状態に対する保護者理解も含めた丁寧な状況説明をしています。</w:t>
      </w:r>
    </w:p>
    <w:p>
      <w:pPr>
        <w:pStyle w:val="0"/>
        <w:ind w:left="662" w:leftChars="200" w:hanging="214" w:hangingChars="100"/>
        <w:rPr>
          <w:rFonts w:hint="default"/>
          <w:sz w:val="21"/>
        </w:rPr>
      </w:pPr>
      <w:r>
        <w:rPr>
          <w:rFonts w:hint="eastAsia"/>
          <w:sz w:val="21"/>
        </w:rPr>
        <w:t>○学校等の施設については、特別な支援を必要とする子が安心して充実した幼稚園・学校生活が送れるよう、エレベーター、車椅子用スロープ、段差の解消にも努めており、必要に応じてベッド等の備品も設置しています。</w:t>
      </w:r>
    </w:p>
    <w:p>
      <w:pPr>
        <w:pStyle w:val="0"/>
        <w:ind w:left="662" w:leftChars="200" w:hanging="214" w:hangingChars="100"/>
        <w:rPr>
          <w:rFonts w:hint="default"/>
          <w:sz w:val="21"/>
        </w:rPr>
      </w:pPr>
    </w:p>
    <w:p>
      <w:pPr>
        <w:pStyle w:val="128"/>
        <w:ind w:left="224"/>
        <w:rPr>
          <w:rFonts w:hint="default"/>
        </w:rPr>
      </w:pPr>
      <w:r>
        <w:rPr>
          <w:rFonts w:hint="eastAsia"/>
        </w:rPr>
        <w:t>（アンケート調査より）</w:t>
      </w:r>
    </w:p>
    <w:p>
      <w:pPr>
        <w:pStyle w:val="0"/>
        <w:ind w:left="662" w:leftChars="200" w:hanging="214" w:hangingChars="100"/>
        <w:rPr>
          <w:rFonts w:hint="default"/>
          <w:sz w:val="21"/>
        </w:rPr>
      </w:pPr>
      <w:r>
        <w:rPr>
          <w:rFonts w:hint="eastAsia"/>
          <w:sz w:val="21"/>
        </w:rPr>
        <w:t>◯アンケート調査では、保護者から｢能力や障がいの状態に応じた指導を充実させてほしい｣が</w:t>
      </w:r>
      <w:r>
        <w:rPr>
          <w:rFonts w:hint="eastAsia"/>
          <w:sz w:val="21"/>
        </w:rPr>
        <w:t>68.6</w:t>
      </w:r>
      <w:r>
        <w:rPr>
          <w:rFonts w:hint="eastAsia"/>
          <w:sz w:val="21"/>
        </w:rPr>
        <w:t>％</w:t>
      </w:r>
      <w:r>
        <w:rPr>
          <w:rFonts w:hint="eastAsia"/>
          <w:sz w:val="21"/>
        </w:rPr>
        <w:t>(</w:t>
      </w:r>
      <w:r>
        <w:rPr>
          <w:rFonts w:hint="eastAsia"/>
          <w:sz w:val="21"/>
        </w:rPr>
        <w:t>前回</w:t>
      </w:r>
      <w:r>
        <w:rPr>
          <w:rFonts w:hint="default"/>
          <w:sz w:val="21"/>
        </w:rPr>
        <w:t>56.8</w:t>
      </w:r>
      <w:r>
        <w:rPr>
          <w:rFonts w:hint="eastAsia"/>
          <w:sz w:val="21"/>
        </w:rPr>
        <w:t>％</w:t>
      </w:r>
      <w:r>
        <w:rPr>
          <w:rFonts w:hint="eastAsia"/>
          <w:sz w:val="21"/>
        </w:rPr>
        <w:t>)</w:t>
      </w:r>
      <w:r>
        <w:rPr>
          <w:rFonts w:hint="eastAsia"/>
          <w:sz w:val="21"/>
        </w:rPr>
        <w:t>、｢障がいを持っていない子ども達に障がいへの理解を深めてほしい｣が</w:t>
      </w:r>
      <w:r>
        <w:rPr>
          <w:rFonts w:hint="eastAsia"/>
          <w:sz w:val="21"/>
        </w:rPr>
        <w:t>63.4</w:t>
      </w:r>
      <w:r>
        <w:rPr>
          <w:rFonts w:hint="eastAsia"/>
          <w:sz w:val="21"/>
        </w:rPr>
        <w:t>％</w:t>
      </w:r>
      <w:r>
        <w:rPr>
          <w:rFonts w:hint="eastAsia"/>
          <w:sz w:val="21"/>
        </w:rPr>
        <w:t>(</w:t>
      </w:r>
      <w:r>
        <w:rPr>
          <w:rFonts w:hint="eastAsia"/>
          <w:sz w:val="21"/>
        </w:rPr>
        <w:t>前回</w:t>
      </w:r>
      <w:r>
        <w:rPr>
          <w:rFonts w:hint="default"/>
          <w:sz w:val="21"/>
        </w:rPr>
        <w:t>57.7</w:t>
      </w:r>
      <w:r>
        <w:rPr>
          <w:rFonts w:hint="eastAsia"/>
          <w:sz w:val="21"/>
        </w:rPr>
        <w:t>％</w:t>
      </w:r>
      <w:r>
        <w:rPr>
          <w:rFonts w:hint="eastAsia"/>
          <w:sz w:val="21"/>
        </w:rPr>
        <w:t>)</w:t>
      </w:r>
      <w:r>
        <w:rPr>
          <w:rFonts w:hint="eastAsia"/>
          <w:sz w:val="21"/>
        </w:rPr>
        <w:t>、｢保育・教育関係者の障がいへの理解を深めてほしい｣が</w:t>
      </w:r>
      <w:r>
        <w:rPr>
          <w:rFonts w:hint="eastAsia"/>
          <w:sz w:val="21"/>
        </w:rPr>
        <w:t>59.5</w:t>
      </w:r>
      <w:r>
        <w:rPr>
          <w:rFonts w:hint="eastAsia"/>
          <w:sz w:val="21"/>
        </w:rPr>
        <w:t>％</w:t>
      </w:r>
      <w:r>
        <w:rPr>
          <w:rFonts w:hint="eastAsia"/>
          <w:sz w:val="21"/>
        </w:rPr>
        <w:t>(</w:t>
      </w:r>
      <w:r>
        <w:rPr>
          <w:rFonts w:hint="eastAsia"/>
          <w:sz w:val="21"/>
        </w:rPr>
        <w:t>前回</w:t>
      </w:r>
      <w:r>
        <w:rPr>
          <w:rFonts w:hint="default"/>
          <w:sz w:val="21"/>
        </w:rPr>
        <w:t>56.8</w:t>
      </w:r>
      <w:r>
        <w:rPr>
          <w:rFonts w:hint="eastAsia"/>
          <w:sz w:val="21"/>
        </w:rPr>
        <w:t>％</w:t>
      </w:r>
      <w:r>
        <w:rPr>
          <w:rFonts w:hint="eastAsia"/>
          <w:sz w:val="21"/>
        </w:rPr>
        <w:t>)</w:t>
      </w:r>
      <w:r>
        <w:rPr>
          <w:rFonts w:hint="eastAsia"/>
          <w:sz w:val="21"/>
        </w:rPr>
        <w:t>と高くなっており、今後も特別支援教育の充実に努める必要があります。</w:t>
      </w:r>
    </w:p>
    <w:p>
      <w:pPr>
        <w:pStyle w:val="0"/>
        <w:widowControl w:val="1"/>
        <w:jc w:val="left"/>
        <w:rPr>
          <w:rFonts w:hint="default"/>
          <w:sz w:val="21"/>
        </w:rPr>
      </w:pPr>
      <w:r>
        <w:rPr>
          <w:rFonts w:hint="default"/>
          <w:sz w:val="21"/>
        </w:rPr>
        <w:br w:type="page"/>
      </w: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12"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72"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73"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74"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75"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68;" coordsize="6044565,219710" coordorigin="0,0" o:spid="_x0000_s1172" o:allowincell="t" o:allowoverlap="t">
                <v:roundrect id="今後の取り組み_四角（灰）" style="height:219710;width:6044565;top:0;left:0;position:absolute;" o:spid="_x0000_s1173"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74"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75"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spacing w:line="340" w:lineRule="exact"/>
        <w:ind w:left="448" w:leftChars="200" w:firstLine="214" w:firstLineChars="100"/>
        <w:textAlignment w:val="center"/>
        <w:rPr>
          <w:rFonts w:hint="default"/>
          <w:sz w:val="21"/>
        </w:rPr>
      </w:pPr>
      <w:r>
        <w:rPr>
          <w:rFonts w:hint="eastAsia"/>
          <w:sz w:val="21"/>
        </w:rPr>
        <w:t>幼稚園、小・中学校では、発達障がいを含む特別な支援を必要とする子の教育的ニーズを把握し、その持てる力を高め、障がいに基づく学校生活や学習上の困難を改善・克服するために、適切な教育や支援を提供するという視点に立ち、必要な諸条件の整備を進めるとともに、関係機関・関係者間の連携を密にし、特別支援教育の効果的な推進を図ります。</w:t>
      </w:r>
    </w:p>
    <w:p>
      <w:pPr>
        <w:pStyle w:val="0"/>
        <w:spacing w:line="340" w:lineRule="exact"/>
        <w:ind w:left="448" w:leftChars="200" w:firstLine="214" w:firstLineChars="100"/>
        <w:textAlignment w:val="center"/>
        <w:rPr>
          <w:rFonts w:hint="default"/>
          <w:sz w:val="21"/>
        </w:rPr>
      </w:pPr>
    </w:p>
    <w:p>
      <w:pPr>
        <w:pStyle w:val="73"/>
        <w:ind w:left="672" w:hanging="224"/>
        <w:rPr>
          <w:rFonts w:hint="default"/>
          <w:color w:val="auto"/>
        </w:rPr>
      </w:pPr>
      <w:r>
        <w:rPr>
          <w:rFonts w:hint="eastAsia"/>
          <w:color w:val="auto"/>
        </w:rPr>
        <w:t>①校内特別支援教育推進体制の充実</w:t>
      </w:r>
    </w:p>
    <w:p>
      <w:pPr>
        <w:pStyle w:val="0"/>
        <w:spacing w:line="340" w:lineRule="exact"/>
        <w:ind w:left="886" w:leftChars="300" w:hanging="214" w:hangingChars="100"/>
        <w:textAlignment w:val="center"/>
        <w:rPr>
          <w:rFonts w:hint="default"/>
          <w:sz w:val="21"/>
        </w:rPr>
      </w:pPr>
      <w:r>
        <w:rPr>
          <w:rFonts w:hint="eastAsia"/>
          <w:sz w:val="21"/>
        </w:rPr>
        <w:t>・各学校</w:t>
      </w:r>
      <w:r>
        <w:rPr>
          <w:rFonts w:hint="default"/>
          <w:sz w:val="21"/>
        </w:rPr>
        <w:t>(</w:t>
      </w:r>
      <w:r>
        <w:rPr>
          <w:rFonts w:hint="default"/>
          <w:sz w:val="21"/>
        </w:rPr>
        <w:t>幼稚園</w:t>
      </w:r>
      <w:r>
        <w:rPr>
          <w:rFonts w:hint="default"/>
          <w:sz w:val="21"/>
        </w:rPr>
        <w:t>)</w:t>
      </w:r>
      <w:r>
        <w:rPr>
          <w:rFonts w:hint="default"/>
          <w:sz w:val="21"/>
        </w:rPr>
        <w:t>に校</w:t>
      </w:r>
      <w:r>
        <w:rPr>
          <w:rFonts w:hint="default"/>
          <w:sz w:val="21"/>
        </w:rPr>
        <w:t>(</w:t>
      </w:r>
      <w:r>
        <w:rPr>
          <w:rFonts w:hint="default"/>
          <w:sz w:val="21"/>
        </w:rPr>
        <w:t>園</w:t>
      </w:r>
      <w:r>
        <w:rPr>
          <w:rFonts w:hint="default"/>
          <w:sz w:val="21"/>
        </w:rPr>
        <w:t>)</w:t>
      </w:r>
      <w:r>
        <w:rPr>
          <w:rFonts w:hint="default"/>
          <w:sz w:val="21"/>
        </w:rPr>
        <w:t>内委員</w:t>
      </w:r>
      <w:r>
        <w:rPr>
          <w:rFonts w:hint="eastAsia"/>
          <w:sz w:val="21"/>
        </w:rPr>
        <w:t>会を設置し、特別な教育的支援を要する幼児・児童・生徒の把握及び教職員間での共通理解に努め、保護者との相互理解と相互信頼のもと、子にとって最も適した教育の内容や方法に取り組みます。</w:t>
      </w:r>
    </w:p>
    <w:p>
      <w:pPr>
        <w:pStyle w:val="0"/>
        <w:spacing w:line="340" w:lineRule="exact"/>
        <w:ind w:left="886" w:leftChars="300" w:hanging="214" w:hangingChars="100"/>
        <w:textAlignment w:val="center"/>
        <w:rPr>
          <w:rFonts w:hint="default"/>
          <w:sz w:val="21"/>
        </w:rPr>
      </w:pPr>
      <w:r>
        <w:rPr>
          <w:rFonts w:hint="eastAsia"/>
          <w:sz w:val="21"/>
        </w:rPr>
        <w:t>・各学校に特別支援教育コーディネーターを配置し、特別な教育的支援が必要な幼児・児童・生徒の個別の教育支援計画、個別の指導計画を作成し、日々の指導・支援に取り組みます。</w:t>
      </w:r>
    </w:p>
    <w:p>
      <w:pPr>
        <w:pStyle w:val="0"/>
        <w:spacing w:line="340" w:lineRule="exact"/>
        <w:ind w:left="886" w:leftChars="300" w:hanging="214" w:hangingChars="100"/>
        <w:textAlignment w:val="center"/>
        <w:rPr>
          <w:rFonts w:hint="default"/>
          <w:sz w:val="21"/>
        </w:rPr>
      </w:pPr>
      <w:r>
        <w:rPr>
          <w:rFonts w:hint="eastAsia"/>
          <w:sz w:val="21"/>
        </w:rPr>
        <w:t>・各学校に特別支援学級を設置し、一人ひとりの教育的ニーズに対応するとともに、特別支援教育支援員を配置しきめ細やかな対応に取り組みます。</w:t>
      </w:r>
    </w:p>
    <w:p>
      <w:pPr>
        <w:pStyle w:val="0"/>
        <w:spacing w:line="320" w:lineRule="exact"/>
        <w:ind w:left="886" w:leftChars="300" w:hanging="214" w:hangingChars="100"/>
        <w:rPr>
          <w:rFonts w:hint="default"/>
          <w:sz w:val="21"/>
        </w:rPr>
      </w:pPr>
    </w:p>
    <w:p>
      <w:pPr>
        <w:pStyle w:val="73"/>
        <w:ind w:left="672" w:hanging="224"/>
        <w:rPr>
          <w:rFonts w:hint="default"/>
          <w:color w:val="auto"/>
        </w:rPr>
      </w:pPr>
      <w:r>
        <w:rPr>
          <w:rFonts w:hint="eastAsia"/>
          <w:color w:val="auto"/>
        </w:rPr>
        <w:t>②教職員の資質向上</w:t>
      </w:r>
    </w:p>
    <w:p>
      <w:pPr>
        <w:pStyle w:val="0"/>
        <w:spacing w:line="340" w:lineRule="exact"/>
        <w:ind w:left="886" w:leftChars="300" w:hanging="214" w:hangingChars="100"/>
        <w:textAlignment w:val="center"/>
        <w:rPr>
          <w:rFonts w:hint="default"/>
          <w:sz w:val="21"/>
        </w:rPr>
      </w:pPr>
      <w:r>
        <w:rPr>
          <w:rFonts w:hint="eastAsia"/>
          <w:sz w:val="21"/>
        </w:rPr>
        <w:t>・多様化する特別支援児への対応力を強化するため、特別支援教育コーディネーターや教職員、特別支援教育支援員を対象とした研修会等を実施し特別支援教育に関する資質向上に取り組みます。</w:t>
      </w:r>
    </w:p>
    <w:p>
      <w:pPr>
        <w:pStyle w:val="0"/>
        <w:spacing w:line="320" w:lineRule="exact"/>
        <w:ind w:left="886" w:leftChars="300" w:hanging="214" w:hangingChars="100"/>
        <w:rPr>
          <w:rFonts w:hint="default"/>
          <w:sz w:val="21"/>
        </w:rPr>
      </w:pPr>
    </w:p>
    <w:p>
      <w:pPr>
        <w:pStyle w:val="73"/>
        <w:ind w:left="672" w:hanging="224"/>
        <w:rPr>
          <w:rFonts w:hint="default"/>
          <w:color w:val="auto"/>
        </w:rPr>
      </w:pPr>
      <w:r>
        <w:rPr>
          <w:rFonts w:hint="eastAsia"/>
          <w:color w:val="auto"/>
        </w:rPr>
        <w:t>③関係教職員への相談支援の充実</w:t>
      </w:r>
    </w:p>
    <w:p>
      <w:pPr>
        <w:pStyle w:val="0"/>
        <w:ind w:left="886" w:leftChars="300" w:hanging="214" w:hangingChars="100"/>
        <w:rPr>
          <w:rFonts w:hint="default"/>
          <w:sz w:val="21"/>
        </w:rPr>
      </w:pPr>
      <w:r>
        <w:rPr>
          <w:rFonts w:hint="eastAsia"/>
          <w:sz w:val="21"/>
        </w:rPr>
        <w:t>・県の専門員等とも連携を図り巡回指導等を通して、特別支援教育に関わる教職員への積極的な相談支援体制作りに取り組みます。また、必要に応じて障がい児関係の事業所とも情報共有を図るため、相談支援体制の拡充に取り組みます。</w:t>
      </w:r>
    </w:p>
    <w:p>
      <w:pPr>
        <w:pStyle w:val="0"/>
        <w:ind w:left="886" w:leftChars="300" w:hanging="214" w:hangingChars="100"/>
        <w:rPr>
          <w:rFonts w:hint="default"/>
          <w:sz w:val="21"/>
        </w:rPr>
      </w:pPr>
      <w:r>
        <w:rPr>
          <w:rFonts w:hint="eastAsia"/>
          <w:sz w:val="21"/>
        </w:rPr>
        <w:t>・相談支援を行う中には、家庭の状況が「複雑化・複合化」しており、家庭を包括的に支援するよう、多機関連携による寄り添いながら家庭を支援するように、職員の資質向上を図ります。</w:t>
      </w:r>
    </w:p>
    <w:p>
      <w:pPr>
        <w:pStyle w:val="0"/>
        <w:spacing w:line="320" w:lineRule="exact"/>
        <w:ind w:left="886" w:leftChars="300" w:hanging="214" w:hangingChars="100"/>
        <w:rPr>
          <w:rFonts w:hint="default"/>
          <w:sz w:val="21"/>
        </w:rPr>
      </w:pPr>
    </w:p>
    <w:p>
      <w:pPr>
        <w:pStyle w:val="73"/>
        <w:ind w:left="672" w:hanging="224"/>
        <w:rPr>
          <w:rFonts w:hint="default"/>
          <w:color w:val="auto"/>
        </w:rPr>
      </w:pPr>
      <w:r>
        <w:rPr>
          <w:rFonts w:hint="eastAsia"/>
          <w:color w:val="auto"/>
        </w:rPr>
        <w:t>④交流及び共同学習の推進</w:t>
      </w:r>
    </w:p>
    <w:p>
      <w:pPr>
        <w:pStyle w:val="0"/>
        <w:ind w:left="886" w:leftChars="300" w:hanging="214" w:hangingChars="100"/>
        <w:rPr>
          <w:rFonts w:hint="default"/>
          <w:sz w:val="21"/>
        </w:rPr>
      </w:pPr>
      <w:r>
        <w:rPr>
          <w:rFonts w:hint="eastAsia"/>
          <w:sz w:val="21"/>
        </w:rPr>
        <w:t>・特別な支援を必要とする子とそうでない子が、交流の場や共同学習を通して相互理解に取り組みインクルーシブ教育を拡充します。</w:t>
      </w:r>
    </w:p>
    <w:p>
      <w:pPr>
        <w:pStyle w:val="0"/>
        <w:spacing w:line="320" w:lineRule="exact"/>
        <w:ind w:left="886" w:leftChars="300" w:hanging="214" w:hangingChars="100"/>
        <w:rPr>
          <w:rFonts w:hint="default"/>
          <w:sz w:val="21"/>
        </w:rPr>
      </w:pPr>
    </w:p>
    <w:p>
      <w:pPr>
        <w:pStyle w:val="73"/>
        <w:ind w:left="672" w:hanging="224"/>
        <w:rPr>
          <w:rFonts w:hint="default"/>
          <w:color w:val="auto"/>
        </w:rPr>
      </w:pPr>
      <w:r>
        <w:rPr>
          <w:rFonts w:hint="eastAsia"/>
          <w:color w:val="auto"/>
        </w:rPr>
        <w:t>⑤就学相談支援の推進</w:t>
      </w:r>
    </w:p>
    <w:p>
      <w:pPr>
        <w:pStyle w:val="0"/>
        <w:ind w:left="886" w:leftChars="300" w:hanging="214" w:hangingChars="100"/>
        <w:rPr>
          <w:rFonts w:hint="default"/>
          <w:sz w:val="21"/>
        </w:rPr>
      </w:pPr>
      <w:r>
        <w:rPr>
          <w:rFonts w:hint="eastAsia"/>
          <w:sz w:val="21"/>
        </w:rPr>
        <w:t>・幼児・児童・生徒、個々の教育ニーズに適した教育支援となるよう、子の状態に対する保護者理解も含め、関係課とも情報共有を図り早期の就学相談等を実施します。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⑥学校等施設の整備推進</w:t>
      </w:r>
    </w:p>
    <w:p>
      <w:pPr>
        <w:pStyle w:val="0"/>
        <w:spacing w:line="340" w:lineRule="exact"/>
        <w:ind w:left="886" w:leftChars="300" w:hanging="214" w:hangingChars="100"/>
        <w:textAlignment w:val="center"/>
        <w:rPr>
          <w:rFonts w:hint="default"/>
        </w:rPr>
      </w:pPr>
      <w:r>
        <w:rPr>
          <w:rFonts w:hint="eastAsia"/>
          <w:sz w:val="21"/>
        </w:rPr>
        <w:t>・幼稚園及び小中学校の施設の設備・備品等について、必要に応じて、適切な整備・改善を進めます。</w:t>
      </w:r>
      <w:bookmarkStart w:id="108" w:name="_Toc346185252"/>
    </w:p>
    <w:p>
      <w:pPr>
        <w:pStyle w:val="80"/>
        <w:spacing w:after="92" w:afterLines="0" w:afterAutospacing="0"/>
        <w:rPr>
          <w:rFonts w:hint="default"/>
        </w:rPr>
      </w:pPr>
      <w:bookmarkStart w:id="109" w:name="_Toc154411475"/>
      <w:bookmarkStart w:id="110" w:name="_Toc162263671"/>
      <w:bookmarkStart w:id="111" w:name="_Toc416340560"/>
      <w:bookmarkStart w:id="112" w:name="_Toc505592293"/>
      <w:bookmarkStart w:id="113" w:name="_Toc62831670"/>
      <w:r>
        <w:rPr>
          <w:rFonts w:hint="eastAsia"/>
        </w:rPr>
        <w:t>５</w:t>
      </w:r>
      <w:r>
        <w:rPr>
          <w:rFonts w:hint="default"/>
        </w:rPr>
        <w:t>．防災・防犯対策の充実</w:t>
      </w:r>
      <w:bookmarkEnd w:id="108"/>
      <w:bookmarkEnd w:id="109"/>
      <w:bookmarkEnd w:id="110"/>
      <w:bookmarkEnd w:id="111"/>
      <w:bookmarkEnd w:id="112"/>
      <w:bookmarkEnd w:id="113"/>
    </w:p>
    <w:p>
      <w:pPr>
        <w:pStyle w:val="21"/>
        <w:spacing w:after="111" w:afterLines="0" w:afterAutospacing="0"/>
        <w:rPr>
          <w:rFonts w:hint="default"/>
        </w:rPr>
      </w:pPr>
      <w:bookmarkStart w:id="114" w:name="_Toc154411476"/>
      <w:r>
        <w:rPr>
          <w:rFonts w:hint="eastAsia"/>
        </w:rPr>
        <w:t>（１）防災対策の充実</w:t>
      </w:r>
      <w:bookmarkEnd w:id="114"/>
    </w:p>
    <w:p>
      <w:pPr>
        <w:pStyle w:val="72"/>
        <w:ind w:left="224"/>
        <w:rPr>
          <w:rFonts w:hint="default"/>
        </w:rPr>
      </w:pPr>
      <w:r>
        <w:rPr>
          <w:rFonts w:hint="eastAsia"/>
        </w:rPr>
        <w:t>【現状と課題】</w:t>
      </w:r>
    </w:p>
    <w:p>
      <w:pPr>
        <w:pStyle w:val="0"/>
        <w:ind w:left="662" w:leftChars="200" w:hanging="214" w:hangingChars="100"/>
        <w:rPr>
          <w:rFonts w:hint="default"/>
          <w:sz w:val="21"/>
        </w:rPr>
      </w:pPr>
      <w:r>
        <w:rPr>
          <w:rFonts w:hint="eastAsia"/>
          <w:sz w:val="21"/>
        </w:rPr>
        <w:t>○防災訓練や出前講座、防災に関する啓発掲示、窓口でのマップの配布等を通して、危険地域や避難方法、避難所の活用等に関する情報提供に努めています。</w:t>
      </w:r>
    </w:p>
    <w:p>
      <w:pPr>
        <w:pStyle w:val="0"/>
        <w:ind w:left="662" w:leftChars="200" w:hanging="214" w:hangingChars="100"/>
        <w:rPr>
          <w:rFonts w:hint="default"/>
          <w:sz w:val="21"/>
        </w:rPr>
      </w:pPr>
      <w:r>
        <w:rPr>
          <w:rFonts w:hint="eastAsia"/>
          <w:sz w:val="21"/>
        </w:rPr>
        <w:t>○要配慮者利用施設等と連携した避難訓練を実施し、災害時の避難経路及び課題の共有を図っています。要配慮者支援に重点をおいた訓練を、関係部局や関係機関と連携して実施する必要があります。</w:t>
      </w:r>
    </w:p>
    <w:p>
      <w:pPr>
        <w:pStyle w:val="0"/>
        <w:ind w:left="662" w:leftChars="200" w:hanging="214" w:hangingChars="100"/>
        <w:rPr>
          <w:rFonts w:hint="default"/>
          <w:sz w:val="21"/>
        </w:rPr>
      </w:pPr>
      <w:r>
        <w:rPr>
          <w:rFonts w:hint="eastAsia"/>
          <w:sz w:val="21"/>
        </w:rPr>
        <w:t>○災害時に避難が必要な方の</w:t>
      </w:r>
      <w:r>
        <w:rPr>
          <w:rFonts w:hint="eastAsia"/>
          <w:sz w:val="21"/>
          <w:vertAlign w:val="superscript"/>
        </w:rPr>
        <w:t>※</w:t>
      </w:r>
      <w:r>
        <w:rPr>
          <w:rFonts w:hint="eastAsia"/>
          <w:sz w:val="21"/>
        </w:rPr>
        <w:t>避難行動要支援者名簿は、毎年度更新し、町社会福祉協議会や町民生委員・児童委員連合会へ貸与しています。個別支援計画については、対象者の家族等支援者の協力が不可欠です。地域の協力を得ながら、一人ひとりの個別支援計画策定を進めていく必要があります。</w:t>
      </w:r>
    </w:p>
    <w:p>
      <w:pPr>
        <w:pStyle w:val="0"/>
        <w:ind w:left="662" w:leftChars="200" w:hanging="214" w:hangingChars="100"/>
        <w:rPr>
          <w:rFonts w:hint="default"/>
          <w:sz w:val="21"/>
        </w:rPr>
      </w:pPr>
      <w:r>
        <w:rPr>
          <w:rFonts w:hint="eastAsia"/>
          <w:sz w:val="21"/>
        </w:rPr>
        <w:t>○日常生活上必要とされる情報伝達装置について、必要な対象者には申請に基づき支給を行っています。</w:t>
      </w:r>
    </w:p>
    <w:p>
      <w:pPr>
        <w:pStyle w:val="0"/>
        <w:ind w:left="662" w:leftChars="200" w:hanging="214" w:hangingChars="100"/>
        <w:rPr>
          <w:rFonts w:hint="default"/>
          <w:sz w:val="21"/>
        </w:rPr>
      </w:pPr>
      <w:r>
        <w:rPr>
          <w:rFonts w:hint="eastAsia"/>
          <w:sz w:val="21"/>
        </w:rPr>
        <w:t>○聴覚障がい者の緊急通報について、手話通訳者が中心となって、消防と連携を図りながら取り組みました。令和２年度からは東部消防組合において</w:t>
      </w:r>
      <w:r>
        <w:rPr>
          <w:rFonts w:hint="default"/>
          <w:sz w:val="21"/>
        </w:rPr>
        <w:t>Net119</w:t>
      </w:r>
      <w:r>
        <w:rPr>
          <w:rFonts w:hint="default"/>
          <w:sz w:val="21"/>
        </w:rPr>
        <w:t>も開始され、その普及について、消防とともに取り組んでいます。</w:t>
      </w:r>
    </w:p>
    <w:p>
      <w:pPr>
        <w:pStyle w:val="0"/>
        <w:ind w:left="662" w:leftChars="200" w:hanging="214" w:hangingChars="100"/>
        <w:rPr>
          <w:rFonts w:hint="default"/>
          <w:sz w:val="21"/>
        </w:rPr>
      </w:pPr>
      <w:r>
        <w:rPr>
          <w:rFonts w:hint="eastAsia"/>
          <w:sz w:val="21"/>
        </w:rPr>
        <w:t>○新たな自主防災組織結成のため、各自治会に対する訓練や説明会の開催等を通して結成促進を図りました。各自治会に自主防災組織の結成を促すため、組織の必要性など普及啓発が必要です。</w:t>
      </w:r>
    </w:p>
    <w:p>
      <w:pPr>
        <w:pStyle w:val="0"/>
        <w:ind w:left="662" w:leftChars="200" w:hanging="214" w:hangingChars="100"/>
        <w:rPr>
          <w:rFonts w:hint="default"/>
          <w:sz w:val="21"/>
        </w:rPr>
      </w:pPr>
    </w:p>
    <w:p>
      <w:pPr>
        <w:pStyle w:val="128"/>
        <w:ind w:left="224"/>
        <w:rPr>
          <w:rFonts w:hint="default"/>
        </w:rPr>
      </w:pPr>
      <w:r>
        <w:rPr>
          <w:rFonts w:hint="eastAsia"/>
        </w:rPr>
        <w:t>（アンケート調査より）</w:t>
      </w:r>
    </w:p>
    <w:p>
      <w:pPr>
        <w:pStyle w:val="0"/>
        <w:ind w:left="662" w:leftChars="200" w:hanging="214" w:hangingChars="100"/>
        <w:rPr>
          <w:rFonts w:hint="default"/>
          <w:sz w:val="21"/>
        </w:rPr>
      </w:pPr>
      <w:r>
        <w:rPr>
          <w:rFonts w:hint="eastAsia"/>
          <w:sz w:val="21"/>
        </w:rPr>
        <w:t>◯アンケート調査では、障がい者の</w:t>
      </w:r>
      <w:r>
        <w:rPr>
          <w:rFonts w:hint="eastAsia"/>
          <w:sz w:val="21"/>
        </w:rPr>
        <w:t>30.9</w:t>
      </w:r>
      <w:r>
        <w:rPr>
          <w:rFonts w:hint="eastAsia"/>
          <w:sz w:val="21"/>
        </w:rPr>
        <w:t>％が災害時に一人で避難「できない」と答えています。また、災害時に困ることとしては、「投薬や治療が受けられない」が</w:t>
      </w:r>
      <w:r>
        <w:rPr>
          <w:rFonts w:hint="eastAsia"/>
          <w:sz w:val="21"/>
        </w:rPr>
        <w:t>37.2</w:t>
      </w:r>
      <w:r>
        <w:rPr>
          <w:rFonts w:hint="eastAsia"/>
          <w:sz w:val="21"/>
        </w:rPr>
        <w:t>％、「避難場所の設備</w:t>
      </w:r>
      <w:r>
        <w:rPr>
          <w:rFonts w:hint="default"/>
          <w:sz w:val="21"/>
        </w:rPr>
        <w:t>(</w:t>
      </w:r>
      <w:r>
        <w:rPr>
          <w:rFonts w:hint="eastAsia"/>
          <w:sz w:val="21"/>
        </w:rPr>
        <w:t>トイレ等</w:t>
      </w:r>
      <w:r>
        <w:rPr>
          <w:rFonts w:hint="default"/>
          <w:sz w:val="21"/>
        </w:rPr>
        <w:t>)</w:t>
      </w:r>
      <w:r>
        <w:rPr>
          <w:rFonts w:hint="eastAsia"/>
          <w:sz w:val="21"/>
        </w:rPr>
        <w:t>や生活環境が不安」が</w:t>
      </w:r>
      <w:r>
        <w:rPr>
          <w:rFonts w:hint="eastAsia"/>
          <w:sz w:val="21"/>
        </w:rPr>
        <w:t>36.7</w:t>
      </w:r>
      <w:r>
        <w:rPr>
          <w:rFonts w:hint="eastAsia"/>
          <w:sz w:val="21"/>
        </w:rPr>
        <w:t>％、「安全なところまで、迅速に避難することができない」が</w:t>
      </w:r>
      <w:r>
        <w:rPr>
          <w:rFonts w:hint="eastAsia"/>
          <w:sz w:val="21"/>
        </w:rPr>
        <w:t>29.2</w:t>
      </w:r>
      <w:r>
        <w:rPr>
          <w:rFonts w:hint="eastAsia"/>
          <w:sz w:val="21"/>
        </w:rPr>
        <w:t>％と高くなっています。</w:t>
      </w: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76"/>
              <w:spacing w:before="74" w:beforeLines="0" w:beforeAutospacing="0"/>
              <w:ind w:left="224"/>
              <w:rPr>
                <w:rFonts w:hint="default"/>
                <w:color w:val="auto"/>
              </w:rPr>
            </w:pPr>
            <w:r>
              <w:rPr>
                <w:rFonts w:hint="eastAsia"/>
                <w:color w:val="auto"/>
              </w:rPr>
              <w:t>※避難行動要支援者</w:t>
            </w:r>
          </w:p>
          <w:p>
            <w:pPr>
              <w:pStyle w:val="75"/>
              <w:ind w:left="448" w:firstLine="204"/>
              <w:rPr>
                <w:rFonts w:hint="default"/>
                <w:color w:val="auto"/>
              </w:rPr>
            </w:pPr>
            <w:r>
              <w:rPr>
                <w:rFonts w:hint="eastAsia"/>
                <w:color w:val="auto"/>
              </w:rPr>
              <w:t>災害が発生し、又は災害が発生するおそれがある場合に自ら避難することが困難な者で、その円滑かつ迅速な避難の確保を図るため特に支援を要する人のことです。</w:t>
            </w:r>
          </w:p>
        </w:tc>
      </w:tr>
    </w:tbl>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16"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76"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77"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78"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79"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64;" coordsize="6044565,219710" coordorigin="0,0" o:spid="_x0000_s1176" o:allowincell="t" o:allowoverlap="t">
                <v:roundrect id="今後の取り組み_四角（灰）" style="height:219710;width:6044565;top:0;left:0;position:absolute;" o:spid="_x0000_s1177"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78"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79"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spacing w:line="360" w:lineRule="exact"/>
        <w:ind w:left="448" w:leftChars="200" w:firstLine="214" w:firstLineChars="100"/>
        <w:textAlignment w:val="center"/>
        <w:rPr>
          <w:rFonts w:hint="default"/>
          <w:sz w:val="21"/>
        </w:rPr>
      </w:pPr>
      <w:r>
        <w:rPr>
          <w:rFonts w:hint="eastAsia"/>
          <w:sz w:val="21"/>
        </w:rPr>
        <w:t>災害時において、適格な判断や自ら避難することが困難な障がい者や高齢者等の避難行動要支援者について、円滑で迅速な避難の確保等を図るために、関係機関等が連携した避難支援を行います。また、障がい者等の防災訓練への参加、障がい者等に対応した避難所の整備、災害情報伝達手段の整備等を進めるなど、避難支援体制の充実に取り組みます。</w:t>
      </w:r>
    </w:p>
    <w:p>
      <w:pPr>
        <w:pStyle w:val="0"/>
        <w:spacing w:line="360" w:lineRule="exact"/>
        <w:ind w:left="448" w:leftChars="200" w:firstLine="214" w:firstLineChars="100"/>
        <w:textAlignment w:val="center"/>
        <w:rPr>
          <w:rFonts w:hint="default"/>
          <w:sz w:val="21"/>
        </w:rPr>
      </w:pPr>
    </w:p>
    <w:p>
      <w:pPr>
        <w:pStyle w:val="73"/>
        <w:ind w:left="672" w:hanging="224"/>
        <w:rPr>
          <w:rFonts w:hint="default"/>
          <w:color w:val="auto"/>
        </w:rPr>
      </w:pPr>
      <w:r>
        <w:rPr>
          <w:rFonts w:hint="eastAsia"/>
          <w:color w:val="auto"/>
        </w:rPr>
        <w:t>①防災に関する知識の普及啓発</w:t>
      </w:r>
    </w:p>
    <w:p>
      <w:pPr>
        <w:pStyle w:val="0"/>
        <w:spacing w:line="350" w:lineRule="exact"/>
        <w:ind w:left="886" w:leftChars="300" w:hanging="214" w:hangingChars="100"/>
        <w:textAlignment w:val="center"/>
        <w:rPr>
          <w:rFonts w:hint="default"/>
          <w:sz w:val="21"/>
        </w:rPr>
      </w:pPr>
      <w:r>
        <w:rPr>
          <w:rFonts w:hint="eastAsia"/>
          <w:sz w:val="21"/>
        </w:rPr>
        <w:t>・南風原町地域防災計画に基づき、防災週間、出前講座での啓発、窓口での防災マップの配布など、防災に関する知識の普及啓発を行います。</w:t>
      </w:r>
    </w:p>
    <w:p>
      <w:pPr>
        <w:pStyle w:val="0"/>
        <w:spacing w:line="350" w:lineRule="exact"/>
        <w:ind w:left="886" w:leftChars="300" w:hanging="214" w:hangingChars="100"/>
        <w:textAlignment w:val="center"/>
        <w:rPr>
          <w:rFonts w:hint="default"/>
          <w:sz w:val="21"/>
        </w:rPr>
      </w:pPr>
      <w:r>
        <w:rPr>
          <w:rFonts w:hint="eastAsia"/>
          <w:sz w:val="21"/>
        </w:rPr>
        <w:t>・避難訓練においては、障がい者の視点を取り入れて実施します。</w:t>
      </w:r>
    </w:p>
    <w:p>
      <w:pPr>
        <w:pStyle w:val="0"/>
        <w:spacing w:line="350" w:lineRule="exact"/>
        <w:ind w:left="886" w:leftChars="300" w:hanging="214" w:hangingChars="100"/>
        <w:textAlignment w:val="center"/>
        <w:rPr>
          <w:rFonts w:hint="default"/>
          <w:sz w:val="21"/>
        </w:rPr>
      </w:pPr>
    </w:p>
    <w:p>
      <w:pPr>
        <w:pStyle w:val="73"/>
        <w:ind w:left="672" w:hanging="224"/>
        <w:rPr>
          <w:rFonts w:hint="default"/>
          <w:color w:val="auto"/>
        </w:rPr>
      </w:pPr>
      <w:r>
        <w:rPr>
          <w:rFonts w:hint="eastAsia"/>
          <w:color w:val="auto"/>
        </w:rPr>
        <w:t>②福祉避難所の確保推進</w:t>
      </w:r>
    </w:p>
    <w:p>
      <w:pPr>
        <w:pStyle w:val="0"/>
        <w:spacing w:line="350" w:lineRule="exact"/>
        <w:ind w:left="886" w:leftChars="300" w:hanging="214" w:hangingChars="100"/>
        <w:textAlignment w:val="center"/>
        <w:rPr>
          <w:rFonts w:hint="default"/>
          <w:sz w:val="21"/>
        </w:rPr>
      </w:pPr>
      <w:r>
        <w:rPr>
          <w:rFonts w:hint="eastAsia"/>
          <w:sz w:val="21"/>
        </w:rPr>
        <w:t>・医療的ケアが必要な方など、避難行動要支援者が避難先で安心して過ごすことができるよう、福祉施設や医療機関等と連携した、福祉避難所の確保に取り組みます。</w:t>
      </w:r>
    </w:p>
    <w:p>
      <w:pPr>
        <w:pStyle w:val="0"/>
        <w:spacing w:line="350" w:lineRule="exact"/>
        <w:ind w:left="886" w:leftChars="300" w:hanging="214" w:hangingChars="100"/>
        <w:textAlignment w:val="center"/>
        <w:rPr>
          <w:rFonts w:hint="default"/>
          <w:sz w:val="21"/>
        </w:rPr>
      </w:pPr>
    </w:p>
    <w:p>
      <w:pPr>
        <w:pStyle w:val="73"/>
        <w:ind w:left="672" w:hanging="224"/>
        <w:rPr>
          <w:rFonts w:hint="default"/>
          <w:color w:val="auto"/>
        </w:rPr>
      </w:pPr>
      <w:r>
        <w:rPr>
          <w:rFonts w:hint="eastAsia"/>
          <w:color w:val="auto"/>
        </w:rPr>
        <w:t>③避難支援のための関係者との連携推進</w:t>
      </w:r>
    </w:p>
    <w:p>
      <w:pPr>
        <w:pStyle w:val="0"/>
        <w:spacing w:line="350" w:lineRule="exact"/>
        <w:ind w:left="886" w:leftChars="300" w:hanging="214" w:hangingChars="100"/>
        <w:textAlignment w:val="center"/>
        <w:rPr>
          <w:rFonts w:hint="default"/>
          <w:spacing w:val="-2"/>
          <w:sz w:val="21"/>
        </w:rPr>
      </w:pPr>
      <w:r>
        <w:rPr>
          <w:rFonts w:hint="eastAsia"/>
          <w:sz w:val="21"/>
        </w:rPr>
        <w:t>・</w:t>
      </w:r>
      <w:r>
        <w:rPr>
          <w:rFonts w:hint="eastAsia"/>
          <w:spacing w:val="-2"/>
          <w:sz w:val="21"/>
        </w:rPr>
        <w:t>避難行動要支援者の名簿更新を定期的に行うとともに、地域の協力を得ながら個別支援計画の作成に努めます。</w:t>
      </w:r>
    </w:p>
    <w:p>
      <w:pPr>
        <w:pStyle w:val="0"/>
        <w:spacing w:line="350" w:lineRule="exact"/>
        <w:ind w:left="882" w:leftChars="300" w:hanging="210" w:hangingChars="100"/>
        <w:textAlignment w:val="center"/>
        <w:rPr>
          <w:rFonts w:hint="default"/>
          <w:spacing w:val="-2"/>
          <w:sz w:val="21"/>
        </w:rPr>
      </w:pPr>
      <w:r>
        <w:rPr>
          <w:rFonts w:hint="eastAsia"/>
          <w:spacing w:val="-2"/>
          <w:sz w:val="21"/>
        </w:rPr>
        <w:t>・町社会福祉協議会、町民生委員・児童委員連合会及び消防や警察等の関係者が連携し、避難行動要支援者の迅速な避難の支援体制を構築します。</w:t>
      </w:r>
    </w:p>
    <w:p>
      <w:pPr>
        <w:pStyle w:val="0"/>
        <w:spacing w:line="350" w:lineRule="exact"/>
        <w:ind w:left="882" w:leftChars="300" w:hanging="210" w:hangingChars="100"/>
        <w:textAlignment w:val="center"/>
        <w:rPr>
          <w:rFonts w:hint="default"/>
          <w:spacing w:val="-2"/>
          <w:sz w:val="21"/>
        </w:rPr>
      </w:pPr>
    </w:p>
    <w:p>
      <w:pPr>
        <w:pStyle w:val="73"/>
        <w:ind w:left="672" w:hanging="224"/>
        <w:rPr>
          <w:rFonts w:hint="default"/>
          <w:color w:val="auto"/>
        </w:rPr>
      </w:pPr>
      <w:r>
        <w:rPr>
          <w:rFonts w:hint="eastAsia"/>
          <w:color w:val="auto"/>
        </w:rPr>
        <w:t>④障がいの特性に応じた災害情報伝達手段の普及推進</w:t>
      </w:r>
    </w:p>
    <w:p>
      <w:pPr>
        <w:pStyle w:val="0"/>
        <w:spacing w:line="350" w:lineRule="exact"/>
        <w:ind w:left="886" w:leftChars="300" w:hanging="214" w:hangingChars="100"/>
        <w:textAlignment w:val="center"/>
        <w:rPr>
          <w:rFonts w:hint="default"/>
          <w:sz w:val="21"/>
        </w:rPr>
      </w:pPr>
      <w:r>
        <w:rPr>
          <w:rFonts w:hint="eastAsia"/>
          <w:sz w:val="21"/>
        </w:rPr>
        <w:t>・障がい者が災害に関する情報を速やかに入手できるよう、日常生活用具給付対象である聴覚障がい者や視覚障がい者への情報通信装置等の通信機器の普及を図ります。また、近隣住民と連携した避難行動要支援者への情報伝達の仕組みづくり、その他必要な情報伝達の手段・方法について検討します。</w:t>
      </w:r>
    </w:p>
    <w:p>
      <w:pPr>
        <w:pStyle w:val="0"/>
        <w:spacing w:line="350" w:lineRule="exact"/>
        <w:ind w:left="886" w:leftChars="300" w:hanging="214" w:hangingChars="100"/>
        <w:textAlignment w:val="center"/>
        <w:rPr>
          <w:rFonts w:hint="default"/>
          <w:sz w:val="21"/>
        </w:rPr>
      </w:pPr>
      <w:r>
        <w:rPr>
          <w:rFonts w:hint="eastAsia"/>
          <w:sz w:val="21"/>
        </w:rPr>
        <w:t>・聴覚障がい者等の消防への緊急通報については、「ＦＡＸ</w:t>
      </w:r>
      <w:r>
        <w:rPr>
          <w:rFonts w:hint="eastAsia"/>
          <w:sz w:val="21"/>
        </w:rPr>
        <w:t>119</w:t>
      </w:r>
      <w:r>
        <w:rPr>
          <w:rFonts w:hint="eastAsia"/>
          <w:sz w:val="21"/>
        </w:rPr>
        <w:t>」や「メール</w:t>
      </w:r>
      <w:r>
        <w:rPr>
          <w:rFonts w:hint="eastAsia"/>
          <w:sz w:val="21"/>
        </w:rPr>
        <w:t>119</w:t>
      </w:r>
      <w:r>
        <w:rPr>
          <w:rFonts w:hint="eastAsia"/>
          <w:sz w:val="21"/>
        </w:rPr>
        <w:t>」、「Ｎｅｔ</w:t>
      </w:r>
      <w:r>
        <w:rPr>
          <w:rFonts w:hint="eastAsia"/>
          <w:sz w:val="21"/>
        </w:rPr>
        <w:t>119</w:t>
      </w:r>
      <w:r>
        <w:rPr>
          <w:rFonts w:hint="eastAsia"/>
          <w:sz w:val="21"/>
        </w:rPr>
        <w:t>緊急通報システム｣による通信体制の推進を消防と連携しながら取り組みます。</w:t>
      </w:r>
    </w:p>
    <w:p>
      <w:pPr>
        <w:pStyle w:val="0"/>
        <w:spacing w:line="320" w:lineRule="exact"/>
        <w:ind w:left="886" w:leftChars="300" w:hanging="214" w:hangingChars="100"/>
        <w:rPr>
          <w:rFonts w:hint="default"/>
          <w:sz w:val="21"/>
        </w:rPr>
      </w:pPr>
    </w:p>
    <w:p>
      <w:pPr>
        <w:pStyle w:val="73"/>
        <w:ind w:left="672" w:hanging="224"/>
        <w:rPr>
          <w:rFonts w:hint="default"/>
          <w:color w:val="auto"/>
        </w:rPr>
      </w:pPr>
      <w:r>
        <w:rPr>
          <w:rFonts w:hint="eastAsia"/>
          <w:color w:val="auto"/>
        </w:rPr>
        <w:t>⑤自主防災組織の立上げ推進</w:t>
      </w:r>
    </w:p>
    <w:p>
      <w:pPr>
        <w:pStyle w:val="0"/>
        <w:spacing w:line="350" w:lineRule="exact"/>
        <w:ind w:left="886" w:leftChars="300" w:hanging="214" w:hangingChars="100"/>
        <w:textAlignment w:val="center"/>
        <w:rPr>
          <w:rFonts w:hint="default"/>
          <w:sz w:val="21"/>
        </w:rPr>
      </w:pPr>
      <w:r>
        <w:rPr>
          <w:rFonts w:hint="eastAsia"/>
          <w:sz w:val="21"/>
        </w:rPr>
        <w:t>・地域の防災力を高めるために、新たな自主防災組織の結成に取り組みます。また、結成された自主防災組織が実施する訓練へのサポート等を行います。</w:t>
      </w:r>
    </w:p>
    <w:p>
      <w:pPr>
        <w:pStyle w:val="0"/>
        <w:spacing w:line="320" w:lineRule="exact"/>
        <w:ind w:left="886" w:leftChars="300" w:hanging="214" w:hangingChars="100"/>
        <w:rPr>
          <w:rFonts w:hint="default"/>
          <w:sz w:val="21"/>
        </w:rPr>
      </w:pPr>
    </w:p>
    <w:p>
      <w:pPr>
        <w:pStyle w:val="0"/>
        <w:spacing w:line="350" w:lineRule="exact"/>
        <w:ind w:left="896" w:leftChars="300" w:hanging="224" w:hangingChars="100"/>
        <w:textAlignment w:val="center"/>
        <w:rPr>
          <w:rFonts w:hint="default" w:ascii="ＭＳ ゴシック" w:hAnsi="ＭＳ ゴシック" w:eastAsia="ＭＳ ゴシック"/>
        </w:rPr>
      </w:pPr>
      <w:r>
        <w:rPr>
          <w:rFonts w:hint="default" w:ascii="ＭＳ ゴシック" w:hAnsi="ＭＳ ゴシック" w:eastAsia="ＭＳ ゴシック"/>
        </w:rPr>
        <w:br w:type="page"/>
      </w:r>
    </w:p>
    <w:p>
      <w:pPr>
        <w:pStyle w:val="21"/>
        <w:spacing w:after="111" w:afterLines="0" w:afterAutospacing="0"/>
        <w:rPr>
          <w:rFonts w:hint="default"/>
        </w:rPr>
      </w:pPr>
      <w:bookmarkStart w:id="115" w:name="_Toc154411477"/>
      <w:r>
        <w:rPr>
          <w:rFonts w:hint="eastAsia"/>
        </w:rPr>
        <w:t>（２）防犯対策の充実</w:t>
      </w:r>
      <w:bookmarkEnd w:id="115"/>
    </w:p>
    <w:p>
      <w:pPr>
        <w:pStyle w:val="72"/>
        <w:ind w:left="224"/>
        <w:rPr>
          <w:rFonts w:hint="default"/>
        </w:rPr>
      </w:pPr>
      <w:r>
        <w:rPr>
          <w:rFonts w:hint="eastAsia"/>
        </w:rPr>
        <w:t>【現状と課題】</w:t>
      </w:r>
    </w:p>
    <w:p>
      <w:pPr>
        <w:pStyle w:val="0"/>
        <w:ind w:left="662" w:leftChars="200" w:hanging="214" w:hangingChars="100"/>
        <w:rPr>
          <w:rFonts w:hint="default"/>
          <w:sz w:val="21"/>
        </w:rPr>
      </w:pPr>
      <w:r>
        <w:rPr>
          <w:rFonts w:hint="eastAsia"/>
          <w:sz w:val="21"/>
        </w:rPr>
        <w:t>○与那原警察署及び関係機関との連携のもと、防犯パトロールや再犯防止啓発のための「社会を明るくする運動」を実施しています。不審者情報等の事案発生時は、関係機関との情報共有や住民への呼びかけを行いました。</w:t>
      </w:r>
    </w:p>
    <w:p>
      <w:pPr>
        <w:pStyle w:val="0"/>
        <w:ind w:left="662" w:leftChars="200" w:hanging="214" w:hangingChars="100"/>
        <w:rPr>
          <w:rFonts w:hint="default"/>
          <w:sz w:val="21"/>
        </w:rPr>
      </w:pPr>
      <w:r>
        <w:rPr>
          <w:rFonts w:hint="eastAsia"/>
          <w:sz w:val="21"/>
        </w:rPr>
        <w:t>○委託相談支援事業所、障害福祉サービス事業所、地域活動支援センター等の障がい者に関わる支援者が、相談支援の過程において防犯について周知啓発を行い、障がい者が消費者被害等にあわないよう努めています。被害にあった事が確認された場合は、必要な機関と連携しトラブル解決に向けた対応を行っています。</w:t>
      </w:r>
    </w:p>
    <w:p>
      <w:pPr>
        <w:pStyle w:val="0"/>
        <w:ind w:left="662" w:leftChars="200" w:hanging="214" w:hangingChars="100"/>
        <w:rPr>
          <w:rFonts w:hint="default"/>
          <w:sz w:val="21"/>
        </w:rPr>
      </w:pPr>
      <w:r>
        <w:rPr>
          <w:rFonts w:hint="eastAsia"/>
          <w:sz w:val="21"/>
        </w:rPr>
        <w:t>◯ＦＡＸ</w:t>
      </w:r>
      <w:r>
        <w:rPr>
          <w:rFonts w:hint="eastAsia"/>
          <w:sz w:val="21"/>
        </w:rPr>
        <w:t>110</w:t>
      </w:r>
      <w:r>
        <w:rPr>
          <w:rFonts w:hint="eastAsia"/>
          <w:sz w:val="21"/>
        </w:rPr>
        <w:t>、メール</w:t>
      </w:r>
      <w:r>
        <w:rPr>
          <w:rFonts w:hint="eastAsia"/>
          <w:sz w:val="21"/>
        </w:rPr>
        <w:t>110</w:t>
      </w:r>
      <w:r>
        <w:rPr>
          <w:rFonts w:hint="eastAsia"/>
          <w:sz w:val="21"/>
        </w:rPr>
        <w:t>の利用希望がある際に警察署と連携し利用者支援を行っています。</w:t>
      </w:r>
    </w:p>
    <w:p>
      <w:pPr>
        <w:pStyle w:val="0"/>
        <w:ind w:left="662" w:leftChars="200" w:hanging="214" w:hangingChars="100"/>
        <w:rPr>
          <w:rFonts w:hint="default"/>
          <w:sz w:val="21"/>
        </w:rPr>
      </w:pP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20"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80"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81"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2"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3"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60;" coordsize="6044565,219710" coordorigin="0,0" o:spid="_x0000_s1180" o:allowincell="t" o:allowoverlap="t">
                <v:roundrect id="今後の取り組み_四角（灰）" style="height:219710;width:6044565;top:0;left:0;position:absolute;" o:spid="_x0000_s1181"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82"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83"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事件・事故に障がい者が巻き込まれることなく、安心して暮らしていけるよう、地域や関係機関と連携した防犯対策の充実を図ります。また、障がい者の消費者被害に対しても、関係機関と連携した支援を行います。</w:t>
      </w:r>
    </w:p>
    <w:p>
      <w:pPr>
        <w:pStyle w:val="0"/>
        <w:ind w:left="448" w:leftChars="200" w:firstLine="214" w:firstLineChars="100"/>
        <w:rPr>
          <w:rFonts w:hint="default"/>
          <w:sz w:val="21"/>
        </w:rPr>
      </w:pPr>
    </w:p>
    <w:p>
      <w:pPr>
        <w:pStyle w:val="73"/>
        <w:ind w:left="672" w:hanging="224"/>
        <w:rPr>
          <w:rFonts w:hint="default"/>
          <w:color w:val="auto"/>
        </w:rPr>
      </w:pPr>
      <w:r>
        <w:rPr>
          <w:rFonts w:hint="eastAsia"/>
          <w:color w:val="auto"/>
        </w:rPr>
        <w:t>①防犯のための情報提供の推進</w:t>
      </w:r>
    </w:p>
    <w:p>
      <w:pPr>
        <w:pStyle w:val="0"/>
        <w:spacing w:line="350" w:lineRule="exact"/>
        <w:ind w:left="886" w:leftChars="300" w:hanging="214" w:hangingChars="100"/>
        <w:textAlignment w:val="center"/>
        <w:rPr>
          <w:rFonts w:hint="default"/>
          <w:sz w:val="21"/>
        </w:rPr>
      </w:pPr>
      <w:r>
        <w:rPr>
          <w:rFonts w:hint="eastAsia"/>
          <w:sz w:val="21"/>
        </w:rPr>
        <w:t>・与那原警察署との緊急時の連絡体制を維持し、犯罪等に関する早期の情報共有化を図ります。また、関係機関・関係団体と連携し、防犯啓発用チラシ配布や防犯パトロールを継続します。</w:t>
      </w:r>
    </w:p>
    <w:p>
      <w:pPr>
        <w:pStyle w:val="0"/>
        <w:spacing w:line="350" w:lineRule="exact"/>
        <w:ind w:left="886" w:leftChars="300" w:hanging="214" w:hangingChars="100"/>
        <w:textAlignment w:val="center"/>
        <w:rPr>
          <w:rFonts w:hint="default"/>
          <w:sz w:val="21"/>
        </w:rPr>
      </w:pPr>
    </w:p>
    <w:p>
      <w:pPr>
        <w:pStyle w:val="73"/>
        <w:ind w:left="672" w:hanging="224"/>
        <w:rPr>
          <w:rFonts w:hint="default"/>
          <w:color w:val="auto"/>
        </w:rPr>
      </w:pPr>
      <w:r>
        <w:rPr>
          <w:rFonts w:hint="eastAsia"/>
          <w:color w:val="auto"/>
        </w:rPr>
        <w:t>②障がい者等の防犯意識啓発の推進</w:t>
      </w:r>
    </w:p>
    <w:p>
      <w:pPr>
        <w:pStyle w:val="0"/>
        <w:spacing w:line="350" w:lineRule="exact"/>
        <w:ind w:left="886" w:leftChars="300" w:hanging="214" w:hangingChars="100"/>
        <w:textAlignment w:val="center"/>
        <w:rPr>
          <w:rFonts w:hint="default"/>
          <w:sz w:val="21"/>
        </w:rPr>
      </w:pPr>
      <w:r>
        <w:rPr>
          <w:rFonts w:hint="eastAsia"/>
          <w:sz w:val="21"/>
        </w:rPr>
        <w:t>・障がい者等が事件・事故に巻きこまれることがないよう、委託相談支援事業所や障害福祉サービス事業所、地域活動支援センター等における相談の中で、犯罪被害・消費者被害防止に関する周知・啓発を行い、障がい者等の防犯意識を高めるように努め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③通報システムの普及推進</w:t>
      </w:r>
    </w:p>
    <w:p>
      <w:pPr>
        <w:pStyle w:val="0"/>
        <w:spacing w:line="350" w:lineRule="exact"/>
        <w:ind w:left="886" w:leftChars="300" w:hanging="214" w:hangingChars="100"/>
        <w:textAlignment w:val="center"/>
        <w:rPr>
          <w:rFonts w:hint="default"/>
          <w:sz w:val="21"/>
        </w:rPr>
      </w:pPr>
      <w:r>
        <w:rPr>
          <w:rFonts w:hint="eastAsia"/>
          <w:sz w:val="21"/>
        </w:rPr>
        <w:t>・耳や言葉が不自由な人の事件・事故に関する通報について、警察と連携した｢ＦＡＸ</w:t>
      </w:r>
      <w:r>
        <w:rPr>
          <w:rFonts w:hint="eastAsia"/>
          <w:sz w:val="21"/>
        </w:rPr>
        <w:t>110</w:t>
      </w:r>
      <w:r>
        <w:rPr>
          <w:rFonts w:hint="eastAsia"/>
          <w:sz w:val="21"/>
        </w:rPr>
        <w:t>番｣や｢メール</w:t>
      </w:r>
      <w:r>
        <w:rPr>
          <w:rFonts w:hint="eastAsia"/>
          <w:sz w:val="21"/>
        </w:rPr>
        <w:t>110</w:t>
      </w:r>
      <w:r>
        <w:rPr>
          <w:rFonts w:hint="eastAsia"/>
          <w:sz w:val="21"/>
        </w:rPr>
        <w:t>番｣といった通報システムの周知と活用の普及を図ります。また、利用希望に対し必要な利用支援を行います。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④消費者被害に対する相談支援の推進</w:t>
      </w:r>
    </w:p>
    <w:p>
      <w:pPr>
        <w:pStyle w:val="0"/>
        <w:spacing w:line="350" w:lineRule="exact"/>
        <w:ind w:left="886" w:leftChars="300" w:hanging="214" w:hangingChars="100"/>
        <w:textAlignment w:val="center"/>
        <w:rPr>
          <w:rFonts w:hint="default"/>
          <w:sz w:val="21"/>
        </w:rPr>
      </w:pPr>
      <w:r>
        <w:rPr>
          <w:rFonts w:hint="eastAsia"/>
          <w:sz w:val="21"/>
        </w:rPr>
        <w:t>・障がい者の消費者被害に関する相談に対応し、被害にあった際には、消費生活センター等関係機関と連携した、トラブル解決に向けた支援に取り組みます。</w:t>
      </w:r>
    </w:p>
    <w:p>
      <w:pPr>
        <w:pStyle w:val="0"/>
        <w:spacing w:line="350" w:lineRule="exact"/>
        <w:ind w:left="886" w:leftChars="300" w:hanging="214" w:hangingChars="100"/>
        <w:textAlignment w:val="center"/>
        <w:rPr>
          <w:rFonts w:hint="default"/>
          <w:sz w:val="21"/>
        </w:rPr>
      </w:pPr>
      <w:r>
        <w:rPr>
          <w:rFonts w:hint="default"/>
          <w:sz w:val="21"/>
        </w:rPr>
        <w:br w:type="page"/>
      </w:r>
    </w:p>
    <w:p>
      <w:pPr>
        <w:pStyle w:val="0"/>
        <w:spacing w:line="100" w:lineRule="exact"/>
        <w:rPr>
          <w:rFonts w:hint="default"/>
        </w:rPr>
      </w:pPr>
      <w:bookmarkStart w:id="116" w:name="_Toc346185253"/>
      <w:bookmarkStart w:id="117" w:name="_Toc416340561"/>
    </w:p>
    <w:p>
      <w:pPr>
        <w:pStyle w:val="70"/>
        <w:rPr>
          <w:rFonts w:hint="default"/>
        </w:rPr>
      </w:pPr>
      <w:bookmarkEnd w:id="116"/>
      <w:bookmarkEnd w:id="117"/>
      <w:bookmarkStart w:id="118" w:name="_Toc154411478"/>
      <w:bookmarkStart w:id="119" w:name="_Toc162263672"/>
      <w:bookmarkStart w:id="120" w:name="_Toc62831671"/>
      <w:bookmarkStart w:id="121" w:name="_Toc346185254"/>
      <w:bookmarkStart w:id="122" w:name="_Toc416340562"/>
      <w:bookmarkStart w:id="123" w:name="_Toc505592294"/>
      <w:r>
        <w:rPr>
          <w:rFonts w:hint="eastAsia"/>
        </w:rPr>
        <w:t>基本目標２　健やかで自立を支えるまち</w:t>
      </w:r>
      <w:bookmarkEnd w:id="118"/>
      <w:bookmarkEnd w:id="119"/>
      <w:bookmarkEnd w:id="120"/>
    </w:p>
    <w:p>
      <w:pPr>
        <w:pStyle w:val="0"/>
        <w:spacing w:line="160" w:lineRule="exact"/>
        <w:rPr>
          <w:rFonts w:hint="default"/>
        </w:rPr>
      </w:pPr>
      <w:r>
        <w:rPr>
          <w:rFonts w:hint="eastAsia" w:ascii="ＭＳ ゴシック" w:hAnsi="ＭＳ ゴシック" w:eastAsia="ＭＳ ゴシック"/>
          <w:sz w:val="32"/>
        </w:rPr>
        <mc:AlternateContent>
          <mc:Choice Requires="wpg">
            <w:drawing>
              <wp:anchor distT="0" distB="0" distL="114300" distR="114300" simplePos="0" relativeHeight="124" behindDoc="1" locked="1" layoutInCell="1" hidden="0" allowOverlap="1">
                <wp:simplePos x="0" y="0"/>
                <wp:positionH relativeFrom="column">
                  <wp:posOffset>638810</wp:posOffset>
                </wp:positionH>
                <wp:positionV relativeFrom="paragraph">
                  <wp:posOffset>-302260</wp:posOffset>
                </wp:positionV>
                <wp:extent cx="5379085" cy="367665"/>
                <wp:effectExtent l="635" t="635" r="5080" b="635"/>
                <wp:wrapNone/>
                <wp:docPr id="1184" name="節の飾り（テキストの背景）"/>
                <a:graphic xmlns:a="http://schemas.openxmlformats.org/drawingml/2006/main">
                  <a:graphicData uri="http://schemas.microsoft.com/office/word/2010/wordprocessingGroup">
                    <wpg:wgp>
                      <wpg:cNvGrpSpPr/>
                      <wpg:grpSpPr>
                        <a:xfrm>
                          <a:off x="0" y="0"/>
                          <a:ext cx="5379085" cy="367665"/>
                          <a:chOff x="-1" y="0"/>
                          <a:chExt cx="5383414" cy="368807"/>
                        </a:xfrm>
                      </wpg:grpSpPr>
                      <wps:wsp>
                        <wps:cNvPr id="1185" name="節（項目）の影"/>
                        <wps:cNvSpPr/>
                        <wps:spPr>
                          <a:xfrm>
                            <a:off x="1276491" y="19050"/>
                            <a:ext cx="4106922" cy="349757"/>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6" name="節（数値）の影"/>
                        <wps:cNvSpPr/>
                        <wps:spPr>
                          <a:xfrm>
                            <a:off x="38099" y="19050"/>
                            <a:ext cx="1152820" cy="349757"/>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7" name="節（項目）"/>
                        <wps:cNvSpPr/>
                        <wps:spPr>
                          <a:xfrm>
                            <a:off x="1238390" y="0"/>
                            <a:ext cx="4120167" cy="32670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8" name="節（数値）"/>
                        <wps:cNvSpPr/>
                        <wps:spPr>
                          <a:xfrm>
                            <a:off x="-1" y="0"/>
                            <a:ext cx="1152820" cy="32630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節の飾り（テキストの背景）" style="mso-wrap-distance-right:9pt;mso-wrap-distance-bottom:0pt;margin-top:-23.8pt;mso-position-vertical-relative:text;mso-position-horizontal-relative:text;position:absolute;height:28.95pt;mso-wrap-distance-top:0pt;width:423.55pt;mso-wrap-distance-left:9pt;margin-left:50.3pt;z-index:-503316356;" coordsize="5383414,368807" coordorigin="-1,0" o:spid="_x0000_s1184" o:allowincell="t" o:allowoverlap="t">
                <v:roundrect id="節（項目）の影" style="height:349757;width:4106922;top:19050;left:1276491;position:absolute;" o:spid="_x0000_s1185" filled="t" fillcolor="#a6a6a6 [2092]" stroked="f" strokecolor="#42709c" strokeweight="1pt" o:spt="2" arcsize="10923f">
                  <v:fill/>
                  <v:stroke linestyle="single" miterlimit="8" endcap="flat" dashstyle="solid"/>
                  <v:textbox style="layout-flow:horizontal;"/>
                  <v:imagedata o:title=""/>
                  <w10:wrap type="none" anchorx="text" anchory="text"/>
                  <w10:anchorlock/>
                </v:roundrect>
                <v:roundrect id="節（数値）の影" style="height:349757;width:1152820;top:19050;left:38099;position:absolute;" o:spid="_x0000_s1186" filled="t" fillcolor="#a6a6a6 [2092]" stroked="f" strokecolor="#42709c" strokeweight="1pt" o:spt="2" arcsize="10923f">
                  <v:fill/>
                  <v:stroke linestyle="single" miterlimit="8" endcap="flat" dashstyle="solid"/>
                  <v:textbox style="layout-flow:horizontal;"/>
                  <v:imagedata o:title=""/>
                  <w10:wrap type="none" anchorx="text" anchory="text"/>
                  <w10:anchorlock/>
                </v:roundrect>
                <v:roundrect id="節（項目）" style="height:326708;width:4120167;top:0;left:1238390;position:absolute;" o:spid="_x0000_s1187" filled="t" fillcolor="#ffffff [3212]" stroked="t" strokecolor="#000000 [3213]" strokeweight="1pt" o:spt="2" arcsize="10923f">
                  <v:fill/>
                  <v:stroke linestyle="single" miterlimit="8" endcap="flat" dashstyle="solid" filltype="solid"/>
                  <v:textbox style="layout-flow:horizontal;"/>
                  <v:imagedata o:title=""/>
                  <w10:wrap type="none" anchorx="text" anchory="text"/>
                  <w10:anchorlock/>
                </v:roundrect>
                <v:roundrect id="節（数値）" style="height:326307;width:1152820;top:0;left:-1;position:absolute;" o:spid="_x0000_s1188" filled="t" fillcolor="#ffffff [3212]" stroked="t" strokecolor="#000000 [3213]" strokeweight="1pt" o:spt="2" arcsize="10923f">
                  <v:fill/>
                  <v:stroke linestyle="single" miterlimit="8" endcap="flat" dashstyle="solid" filltype="solid"/>
                  <v:textbox style="layout-flow:horizontal;"/>
                  <v:imagedata o:title=""/>
                  <w10:wrap type="none" anchorx="text" anchory="text"/>
                  <w10:anchorlock/>
                </v:roundrect>
                <w10:wrap type="none" anchorx="text" anchory="text"/>
                <w10:anchorlock/>
              </v:group>
            </w:pict>
          </mc:Fallback>
        </mc:AlternateContent>
      </w:r>
    </w:p>
    <w:p>
      <w:pPr>
        <w:pStyle w:val="0"/>
        <w:spacing w:line="0" w:lineRule="atLeast"/>
        <w:ind w:left="662" w:leftChars="200" w:hanging="214" w:hangingChars="100"/>
        <w:rPr>
          <w:rFonts w:hint="default"/>
          <w:sz w:val="21"/>
        </w:rPr>
      </w:pPr>
      <w:bookmarkStart w:id="124" w:name="_Toc154411479"/>
      <w:bookmarkStart w:id="125" w:name="_Toc62831672"/>
    </w:p>
    <w:p>
      <w:pPr>
        <w:pStyle w:val="80"/>
        <w:spacing w:after="92" w:afterLines="0" w:afterAutospacing="0"/>
        <w:rPr>
          <w:rFonts w:hint="default"/>
        </w:rPr>
      </w:pPr>
      <w:bookmarkStart w:id="126" w:name="_Toc162263673"/>
      <w:r>
        <w:rPr>
          <w:rFonts w:hint="default"/>
        </w:rPr>
        <w:t>１．保健・医療の充実</w:t>
      </w:r>
      <w:bookmarkEnd w:id="121"/>
      <w:bookmarkEnd w:id="122"/>
      <w:bookmarkEnd w:id="123"/>
      <w:bookmarkEnd w:id="124"/>
      <w:bookmarkEnd w:id="125"/>
      <w:bookmarkEnd w:id="126"/>
    </w:p>
    <w:p>
      <w:pPr>
        <w:pStyle w:val="21"/>
        <w:spacing w:after="111" w:afterLines="0" w:afterAutospacing="0"/>
        <w:rPr>
          <w:rFonts w:hint="default"/>
        </w:rPr>
      </w:pPr>
      <w:bookmarkStart w:id="127" w:name="_Toc154411480"/>
      <w:r>
        <w:rPr>
          <w:rFonts w:hint="eastAsia"/>
        </w:rPr>
        <w:t>（１）乳幼児期における障がいの発生予防・早期支援の充実</w:t>
      </w:r>
      <w:bookmarkEnd w:id="127"/>
    </w:p>
    <w:p>
      <w:pPr>
        <w:pStyle w:val="72"/>
        <w:ind w:left="224"/>
        <w:rPr>
          <w:rFonts w:hint="default"/>
        </w:rPr>
      </w:pPr>
      <w:r>
        <w:rPr>
          <w:rFonts w:hint="eastAsia"/>
        </w:rPr>
        <w:t>【現状と課題】</w:t>
      </w:r>
    </w:p>
    <w:p>
      <w:pPr>
        <w:pStyle w:val="74"/>
        <w:ind w:left="662" w:hanging="214"/>
        <w:rPr>
          <w:rFonts w:hint="default"/>
          <w:color w:val="auto"/>
        </w:rPr>
      </w:pPr>
      <w:r>
        <w:rPr>
          <w:rFonts w:hint="default"/>
          <w:color w:val="auto"/>
        </w:rPr>
        <w:t>►</w:t>
      </w:r>
      <w:r>
        <w:rPr>
          <w:rFonts w:hint="eastAsia"/>
          <w:color w:val="auto"/>
        </w:rPr>
        <w:t>母体の健康管理</w:t>
      </w:r>
    </w:p>
    <w:p>
      <w:pPr>
        <w:pStyle w:val="0"/>
        <w:ind w:left="774" w:leftChars="250" w:hanging="214" w:hangingChars="100"/>
        <w:rPr>
          <w:rFonts w:hint="default"/>
          <w:sz w:val="21"/>
        </w:rPr>
      </w:pPr>
      <w:r>
        <w:rPr>
          <w:rFonts w:hint="eastAsia"/>
          <w:sz w:val="21"/>
        </w:rPr>
        <w:t>○低出生体重児発症予防のために親子健康手帳交付時の全妊婦対象に保健指導を実施しました。その中で継続支援の必要な妊婦へ妊婦健診の結果を確認しながら指導しました。低出生体重児率は国や県と比較しても高い結果となっており、実態に応じた継続した保健指導が必要です。</w:t>
      </w:r>
    </w:p>
    <w:p>
      <w:pPr>
        <w:pStyle w:val="0"/>
        <w:ind w:left="774" w:leftChars="250" w:hanging="214" w:hangingChars="100"/>
        <w:rPr>
          <w:rFonts w:hint="default"/>
          <w:sz w:val="21"/>
        </w:rPr>
      </w:pPr>
    </w:p>
    <w:p>
      <w:pPr>
        <w:pStyle w:val="74"/>
        <w:ind w:left="662" w:hanging="214"/>
        <w:rPr>
          <w:rFonts w:hint="default"/>
          <w:color w:val="auto"/>
        </w:rPr>
      </w:pPr>
      <w:r>
        <w:rPr>
          <w:rFonts w:hint="default"/>
          <w:color w:val="auto"/>
        </w:rPr>
        <w:t>►</w:t>
      </w:r>
      <w:r>
        <w:rPr>
          <w:rFonts w:hint="eastAsia"/>
          <w:color w:val="auto"/>
        </w:rPr>
        <w:t>乳幼児健康診査</w:t>
      </w:r>
    </w:p>
    <w:p>
      <w:pPr>
        <w:pStyle w:val="0"/>
        <w:ind w:left="774" w:leftChars="250" w:hanging="214" w:hangingChars="100"/>
        <w:rPr>
          <w:rFonts w:hint="default"/>
          <w:sz w:val="21"/>
        </w:rPr>
      </w:pPr>
      <w:r>
        <w:rPr>
          <w:rFonts w:hint="eastAsia"/>
          <w:sz w:val="21"/>
        </w:rPr>
        <w:t>○発達が気になる子の早期支援につながる乳幼児健診の受診率向上のため、母子保健推進員や保育施設等とも連携した未受診児への受診勧奨が必要です。</w:t>
      </w:r>
    </w:p>
    <w:p>
      <w:pPr>
        <w:pStyle w:val="0"/>
        <w:ind w:left="774" w:leftChars="250" w:hanging="214" w:hangingChars="100"/>
        <w:rPr>
          <w:rFonts w:hint="default"/>
          <w:sz w:val="21"/>
        </w:rPr>
      </w:pPr>
    </w:p>
    <w:p>
      <w:pPr>
        <w:pStyle w:val="74"/>
        <w:ind w:left="662" w:hanging="214"/>
        <w:rPr>
          <w:rFonts w:hint="default"/>
          <w:color w:val="auto"/>
        </w:rPr>
      </w:pPr>
      <w:r>
        <w:rPr>
          <w:rFonts w:hint="default"/>
          <w:color w:val="auto"/>
        </w:rPr>
        <w:t>►</w:t>
      </w:r>
      <w:r>
        <w:rPr>
          <w:rFonts w:hint="eastAsia"/>
          <w:color w:val="auto"/>
        </w:rPr>
        <w:t>発達相談</w:t>
      </w:r>
    </w:p>
    <w:p>
      <w:pPr>
        <w:pStyle w:val="0"/>
        <w:ind w:left="774" w:leftChars="250" w:hanging="214" w:hangingChars="100"/>
        <w:textAlignment w:val="center"/>
        <w:rPr>
          <w:rFonts w:hint="default"/>
          <w:sz w:val="21"/>
        </w:rPr>
      </w:pPr>
      <w:bookmarkStart w:id="128" w:name="_Hlk156076775"/>
      <w:r>
        <w:rPr>
          <w:rFonts w:hint="eastAsia"/>
          <w:sz w:val="21"/>
        </w:rPr>
        <w:t>○乳幼児健診の際に、子の発達に不安のある保護者に対して相談ができるよう心理士を配置し、タイムリーな相談を行いました。さらに、健診後の事後フォローとして、心理士や言語聴覚士による「のびのび相談」を実施し、</w:t>
      </w:r>
      <w:r>
        <w:rPr>
          <w:rFonts w:hint="default"/>
          <w:sz w:val="21"/>
        </w:rPr>
        <w:t>保護者が抱える育児に対する困り感</w:t>
      </w:r>
      <w:r>
        <w:rPr>
          <w:rFonts w:hint="eastAsia"/>
          <w:sz w:val="21"/>
        </w:rPr>
        <w:t>の</w:t>
      </w:r>
      <w:r>
        <w:rPr>
          <w:rFonts w:hint="default"/>
          <w:sz w:val="21"/>
        </w:rPr>
        <w:t>軽減</w:t>
      </w:r>
      <w:r>
        <w:rPr>
          <w:rFonts w:hint="eastAsia"/>
          <w:sz w:val="21"/>
        </w:rPr>
        <w:t>に取り組みました。</w:t>
      </w:r>
    </w:p>
    <w:p>
      <w:pPr>
        <w:pStyle w:val="0"/>
        <w:ind w:left="774" w:leftChars="250" w:hanging="214" w:hangingChars="100"/>
        <w:rPr>
          <w:rFonts w:hint="default"/>
          <w:sz w:val="21"/>
        </w:rPr>
      </w:pPr>
      <w:bookmarkEnd w:id="128"/>
      <w:r>
        <w:rPr>
          <w:rFonts w:hint="eastAsia"/>
          <w:sz w:val="21"/>
        </w:rPr>
        <w:t>○定期健康相談や栄養相談により、子どもの健やかな成長・発達に向けて育児の不安軽減に努めました。今後も育児の不安軽減のため健やかな成長・発達の面から必要な指導及び情報の提供を行っていく必要があります。</w:t>
      </w:r>
    </w:p>
    <w:p>
      <w:pPr>
        <w:pStyle w:val="0"/>
        <w:ind w:left="774" w:leftChars="250" w:hanging="214" w:hangingChars="100"/>
        <w:rPr>
          <w:rFonts w:hint="default"/>
          <w:sz w:val="21"/>
        </w:rPr>
      </w:pPr>
    </w:p>
    <w:p>
      <w:pPr>
        <w:pStyle w:val="74"/>
        <w:ind w:left="662" w:hanging="214"/>
        <w:rPr>
          <w:rFonts w:hint="default"/>
          <w:color w:val="auto"/>
        </w:rPr>
      </w:pPr>
      <w:r>
        <w:rPr>
          <w:rFonts w:hint="default"/>
          <w:color w:val="auto"/>
        </w:rPr>
        <w:t>►</w:t>
      </w:r>
      <w:r>
        <w:rPr>
          <w:rFonts w:hint="eastAsia"/>
          <w:color w:val="auto"/>
        </w:rPr>
        <w:t>経過観察を通した支援の推進</w:t>
      </w:r>
    </w:p>
    <w:p>
      <w:pPr>
        <w:pStyle w:val="0"/>
        <w:ind w:left="774" w:leftChars="250" w:hanging="214" w:hangingChars="100"/>
        <w:rPr>
          <w:rFonts w:hint="default"/>
          <w:sz w:val="21"/>
        </w:rPr>
      </w:pPr>
      <w:r>
        <w:rPr>
          <w:rFonts w:hint="eastAsia"/>
          <w:sz w:val="21"/>
        </w:rPr>
        <w:t>○乳幼児健診で発達支援が必要な子へ継続的に支援を実施しており、関係機関と連携した訪問などで個別支援を行いました。今後も個別の対象に応じた支援が必要です。</w:t>
      </w:r>
    </w:p>
    <w:p>
      <w:pPr>
        <w:pStyle w:val="0"/>
        <w:ind w:left="774" w:leftChars="250" w:hanging="214" w:hangingChars="100"/>
        <w:rPr>
          <w:rFonts w:hint="default"/>
          <w:sz w:val="21"/>
        </w:rPr>
      </w:pPr>
    </w:p>
    <w:p>
      <w:pPr>
        <w:pStyle w:val="74"/>
        <w:ind w:left="662" w:hanging="214"/>
        <w:rPr>
          <w:rFonts w:hint="default"/>
          <w:color w:val="auto"/>
        </w:rPr>
      </w:pPr>
      <w:r>
        <w:rPr>
          <w:rFonts w:hint="default"/>
          <w:color w:val="auto"/>
        </w:rPr>
        <w:t>►</w:t>
      </w:r>
      <w:r>
        <w:rPr>
          <w:rFonts w:hint="eastAsia"/>
          <w:color w:val="auto"/>
        </w:rPr>
        <w:t>未熟児養育医療</w:t>
      </w:r>
    </w:p>
    <w:p>
      <w:pPr>
        <w:pStyle w:val="0"/>
        <w:ind w:left="774" w:leftChars="250" w:hanging="214" w:hangingChars="100"/>
        <w:rPr>
          <w:rFonts w:hint="default"/>
          <w:sz w:val="21"/>
        </w:rPr>
      </w:pPr>
      <w:r>
        <w:rPr>
          <w:rFonts w:hint="eastAsia"/>
          <w:sz w:val="21"/>
        </w:rPr>
        <w:t>○未熟児養育医療の申請後は迅速に対応し、保護者の経済的な負担軽減に努めています。</w:t>
      </w:r>
    </w:p>
    <w:p>
      <w:pPr>
        <w:pStyle w:val="0"/>
        <w:ind w:left="774" w:leftChars="250" w:hanging="214" w:hangingChars="100"/>
        <w:rPr>
          <w:rFonts w:hint="default"/>
          <w:sz w:val="21"/>
        </w:rPr>
      </w:pPr>
    </w:p>
    <w:p>
      <w:pPr>
        <w:pStyle w:val="0"/>
        <w:ind w:left="784" w:leftChars="250" w:hanging="224" w:hangingChars="100"/>
        <w:rPr>
          <w:rFonts w:hint="default" w:ascii="ＭＳ ゴシック" w:hAnsi="ＭＳ ゴシック" w:eastAsia="ＭＳ ゴシック"/>
        </w:rPr>
      </w:pPr>
      <w:r>
        <w:rPr>
          <w:rFonts w:hint="default" w:ascii="ＭＳ ゴシック" w:hAnsi="ＭＳ ゴシック" w:eastAsia="ＭＳ ゴシック"/>
        </w:rPr>
        <w:br w:type="page"/>
      </w: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29"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89"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90"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91"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92"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51;" coordsize="6044565,219710" coordorigin="0,0" o:spid="_x0000_s1189" o:allowincell="t" o:allowoverlap="t">
                <v:roundrect id="今後の取り組み_四角（灰）" style="height:219710;width:6044565;top:0;left:0;position:absolute;" o:spid="_x0000_s1190"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91"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92"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ind w:left="560" w:leftChars="250" w:firstLine="214" w:firstLineChars="100"/>
        <w:rPr>
          <w:rFonts w:hint="default"/>
          <w:sz w:val="21"/>
        </w:rPr>
      </w:pPr>
      <w:r>
        <w:rPr>
          <w:rFonts w:hint="eastAsia"/>
          <w:sz w:val="21"/>
        </w:rPr>
        <w:t>妊婦の健康管理を通して、出産後の乳幼児の健やかな発育を助長するとともに、乳幼児の疾病や発育・発達の異常を早期に発見し、早期の治療・療育により障がいの予防や軽減を図ることは、その後の発達と自立において極めて重要であり、関係機関と連携した妊婦及び乳幼児の健康診査や保健指導、発達支援の充実を図ります。</w:t>
      </w:r>
    </w:p>
    <w:p>
      <w:pPr>
        <w:pStyle w:val="0"/>
        <w:ind w:left="560" w:leftChars="250" w:firstLine="214" w:firstLineChars="100"/>
        <w:rPr>
          <w:rFonts w:hint="default"/>
          <w:sz w:val="21"/>
        </w:rPr>
      </w:pPr>
    </w:p>
    <w:p>
      <w:pPr>
        <w:pStyle w:val="73"/>
        <w:ind w:left="672" w:hanging="224"/>
        <w:rPr>
          <w:rFonts w:hint="default"/>
          <w:color w:val="auto"/>
        </w:rPr>
      </w:pPr>
      <w:r>
        <w:rPr>
          <w:rFonts w:hint="eastAsia"/>
          <w:color w:val="auto"/>
        </w:rPr>
        <w:t>①妊婦の健康管理の充実</w:t>
      </w:r>
    </w:p>
    <w:p>
      <w:pPr>
        <w:pStyle w:val="0"/>
        <w:ind w:left="886" w:leftChars="300" w:hanging="214" w:hangingChars="100"/>
        <w:rPr>
          <w:rFonts w:hint="default"/>
          <w:sz w:val="21"/>
        </w:rPr>
      </w:pPr>
      <w:r>
        <w:rPr>
          <w:rFonts w:hint="eastAsia"/>
          <w:sz w:val="21"/>
        </w:rPr>
        <w:t>・障がいのリスクが高くなる低出生体重児や未熟児の出現を予防するなど、安全・安心な出産が迎えられるよう、全ての妊婦に対して親子健康手帳交付時に面接を行い、妊婦の健康状態や生活習慣、家庭の状況等を把握し、適切な母体の健康管理や生活習慣の改善等について相談・助言・指導を行います。</w:t>
      </w:r>
    </w:p>
    <w:p>
      <w:pPr>
        <w:pStyle w:val="0"/>
        <w:ind w:left="886" w:leftChars="300" w:hanging="214" w:hangingChars="100"/>
        <w:rPr>
          <w:rFonts w:hint="default"/>
          <w:sz w:val="21"/>
        </w:rPr>
      </w:pPr>
      <w:r>
        <w:rPr>
          <w:rFonts w:hint="eastAsia"/>
          <w:sz w:val="21"/>
        </w:rPr>
        <w:t>・低出生体重児の出現率低下のため、適正体重の増加、糖尿病、高血圧などの発症予防や重症化予防にむけて、継続した保健指導・栄養指導等を行います。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②乳幼児健康診査の充実</w:t>
      </w:r>
    </w:p>
    <w:p>
      <w:pPr>
        <w:pStyle w:val="0"/>
        <w:spacing w:line="340" w:lineRule="exact"/>
        <w:ind w:left="774" w:leftChars="250" w:hanging="214" w:hangingChars="100"/>
        <w:rPr>
          <w:rFonts w:hint="default"/>
          <w:sz w:val="21"/>
        </w:rPr>
      </w:pPr>
      <w:r>
        <w:rPr>
          <w:rFonts w:hint="eastAsia"/>
          <w:sz w:val="21"/>
        </w:rPr>
        <w:t>・乳幼児健診において、乳幼児の疾病や障がい、発達が気になる子を早期に発見し、早期の治療・発達支援等適切な支援につなぐことで、障がいの防止や軽減が図られるよう、切れ目のない支援に取り組みます。</w:t>
      </w:r>
    </w:p>
    <w:p>
      <w:pPr>
        <w:pStyle w:val="0"/>
        <w:spacing w:line="340" w:lineRule="exact"/>
        <w:ind w:left="774" w:leftChars="250" w:hanging="214" w:hangingChars="100"/>
        <w:rPr>
          <w:rFonts w:hint="default"/>
          <w:sz w:val="21"/>
        </w:rPr>
      </w:pPr>
      <w:r>
        <w:rPr>
          <w:rFonts w:hint="eastAsia"/>
          <w:sz w:val="21"/>
        </w:rPr>
        <w:t>・保護者の不安感を和らげ、治療・療育等により前向きになるよう、１歳６ヶ月児と２歳児、３歳児の健康診査の場に、心理士を配置し支援や相談を行います。</w:t>
      </w:r>
    </w:p>
    <w:p>
      <w:pPr>
        <w:pStyle w:val="0"/>
        <w:spacing w:line="340" w:lineRule="exact"/>
        <w:ind w:left="774" w:leftChars="250" w:hanging="214" w:hangingChars="100"/>
        <w:rPr>
          <w:rFonts w:hint="default"/>
          <w:sz w:val="21"/>
        </w:rPr>
      </w:pPr>
      <w:r>
        <w:rPr>
          <w:rFonts w:hint="eastAsia"/>
          <w:sz w:val="21"/>
        </w:rPr>
        <w:t>・乳幼児健康診査の受診率の向上を図るために、広報啓発や母子保健推進員等と連携するほか、保育施設等の協力も得ながら、未受診児の保護者への受診勧奨を強化します。</w:t>
      </w:r>
    </w:p>
    <w:p>
      <w:pPr>
        <w:pStyle w:val="0"/>
        <w:spacing w:line="340" w:lineRule="exact"/>
        <w:ind w:left="774" w:leftChars="250" w:hanging="214" w:hangingChars="100"/>
        <w:rPr>
          <w:rFonts w:hint="default"/>
          <w:sz w:val="21"/>
        </w:rPr>
      </w:pPr>
    </w:p>
    <w:p>
      <w:pPr>
        <w:pStyle w:val="73"/>
        <w:ind w:left="672" w:hanging="224"/>
        <w:rPr>
          <w:rFonts w:hint="default"/>
          <w:color w:val="auto"/>
        </w:rPr>
      </w:pPr>
      <w:r>
        <w:rPr>
          <w:rFonts w:hint="eastAsia"/>
          <w:color w:val="auto"/>
        </w:rPr>
        <w:t>③のびのび発達相談の充実</w:t>
      </w:r>
    </w:p>
    <w:p>
      <w:pPr>
        <w:pStyle w:val="0"/>
        <w:ind w:left="886" w:leftChars="300" w:hanging="214" w:hangingChars="100"/>
        <w:rPr>
          <w:rFonts w:hint="default"/>
          <w:sz w:val="21"/>
        </w:rPr>
      </w:pPr>
      <w:r>
        <w:rPr>
          <w:rFonts w:hint="eastAsia"/>
          <w:sz w:val="21"/>
        </w:rPr>
        <w:t>・１歳６ヶ月児と２歳児、３歳児の健康診査等で把握された、発達が気になる子を対象に、のびのび発達相談を開催し、心理士や言語聴覚士等による相談指導を実施します。</w:t>
      </w:r>
    </w:p>
    <w:p>
      <w:pPr>
        <w:pStyle w:val="0"/>
        <w:ind w:left="886" w:leftChars="300" w:hanging="214" w:hangingChars="100"/>
        <w:rPr>
          <w:rFonts w:hint="default"/>
          <w:sz w:val="21"/>
        </w:rPr>
      </w:pPr>
      <w:r>
        <w:rPr>
          <w:rFonts w:hint="eastAsia"/>
          <w:sz w:val="21"/>
        </w:rPr>
        <w:t>・療育が必要なケースについては、適切なサービスや専門機関につながるよう、情報の提供や相談・助言等を行います。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④健康相談、栄養相談の推進</w:t>
      </w:r>
    </w:p>
    <w:p>
      <w:pPr>
        <w:pStyle w:val="0"/>
        <w:ind w:left="886" w:leftChars="300" w:hanging="214" w:hangingChars="100"/>
        <w:rPr>
          <w:rFonts w:hint="default"/>
          <w:sz w:val="21"/>
        </w:rPr>
      </w:pPr>
      <w:r>
        <w:rPr>
          <w:rFonts w:hint="eastAsia"/>
          <w:sz w:val="21"/>
        </w:rPr>
        <w:t>・子どもの健やかな成長・発達のために、健康相談、栄養相談を行い、必要な助言・指導及び情報の提供等による育児の不安軽減を図ります。</w:t>
      </w:r>
    </w:p>
    <w:p>
      <w:pPr>
        <w:pStyle w:val="0"/>
        <w:ind w:left="886" w:leftChars="300" w:hanging="214" w:hangingChars="100"/>
        <w:rPr>
          <w:rFonts w:hint="default"/>
          <w:sz w:val="21"/>
        </w:rPr>
      </w:pPr>
    </w:p>
    <w:p>
      <w:pPr>
        <w:pStyle w:val="0"/>
        <w:widowControl w:val="1"/>
        <w:jc w:val="left"/>
        <w:rPr>
          <w:rFonts w:hint="default"/>
          <w:sz w:val="21"/>
        </w:rPr>
      </w:pPr>
      <w:r>
        <w:rPr>
          <w:rFonts w:hint="default"/>
          <w:sz w:val="21"/>
        </w:rPr>
        <w:br w:type="page"/>
      </w:r>
    </w:p>
    <w:p>
      <w:pPr>
        <w:pStyle w:val="73"/>
        <w:ind w:left="672" w:hanging="224"/>
        <w:rPr>
          <w:rFonts w:hint="default"/>
          <w:color w:val="auto"/>
        </w:rPr>
      </w:pPr>
      <w:r>
        <w:rPr>
          <w:rFonts w:hint="eastAsia"/>
          <w:color w:val="auto"/>
        </w:rPr>
        <w:t>⑤健やかな成長・発達を踏まえた継続支援の推進</w:t>
      </w:r>
    </w:p>
    <w:p>
      <w:pPr>
        <w:pStyle w:val="0"/>
        <w:ind w:left="774" w:leftChars="250" w:hanging="214" w:hangingChars="100"/>
        <w:rPr>
          <w:rFonts w:hint="default"/>
          <w:sz w:val="21"/>
        </w:rPr>
      </w:pPr>
      <w:r>
        <w:rPr>
          <w:rFonts w:hint="eastAsia"/>
          <w:sz w:val="21"/>
        </w:rPr>
        <w:t>・療育上必要があると認められる子や経過観察を必要とする子について、それぞれの状況に応じた個別支援を行い、必要な場合は訪問等により保健所等関係機関と連携をとりながら指導を行います。</w:t>
      </w:r>
    </w:p>
    <w:p>
      <w:pPr>
        <w:pStyle w:val="0"/>
        <w:ind w:left="774" w:leftChars="250" w:hanging="214" w:hangingChars="100"/>
        <w:rPr>
          <w:rFonts w:hint="default"/>
          <w:sz w:val="21"/>
        </w:rPr>
      </w:pPr>
      <w:r>
        <w:rPr>
          <w:rFonts w:hint="eastAsia"/>
          <w:sz w:val="21"/>
        </w:rPr>
        <w:t>・障がいや発達が気になる乳幼児について、親子通園事業、発達支援児保育等と連携した経過観察を行い、必要に応じて適切な支援が受けられるよう、保健・福祉・医療等の専門機関との連携を図ります。</w:t>
      </w:r>
    </w:p>
    <w:p>
      <w:pPr>
        <w:pStyle w:val="0"/>
        <w:ind w:left="774" w:leftChars="250" w:hanging="214" w:hangingChars="100"/>
        <w:rPr>
          <w:rFonts w:hint="default"/>
          <w:sz w:val="21"/>
        </w:rPr>
      </w:pPr>
    </w:p>
    <w:p>
      <w:pPr>
        <w:pStyle w:val="73"/>
        <w:ind w:left="672" w:hanging="224"/>
        <w:rPr>
          <w:rFonts w:hint="default"/>
          <w:color w:val="auto"/>
        </w:rPr>
      </w:pPr>
      <w:r>
        <w:rPr>
          <w:rFonts w:hint="eastAsia"/>
          <w:color w:val="auto"/>
        </w:rPr>
        <w:t>⑥未熟児養育医療の給付</w:t>
      </w:r>
    </w:p>
    <w:p>
      <w:pPr>
        <w:pStyle w:val="0"/>
        <w:ind w:left="886" w:leftChars="300" w:hanging="214" w:hangingChars="100"/>
        <w:rPr>
          <w:rFonts w:hint="default"/>
          <w:sz w:val="21"/>
        </w:rPr>
      </w:pPr>
      <w:r>
        <w:rPr>
          <w:rFonts w:hint="eastAsia"/>
          <w:sz w:val="21"/>
        </w:rPr>
        <w:t>・養育のために病院又は診療所に入院することを必要とする未熟児に対し、その養育に必要な医療</w:t>
      </w:r>
      <w:r>
        <w:rPr>
          <w:rFonts w:hint="eastAsia"/>
          <w:sz w:val="21"/>
        </w:rPr>
        <w:t>(</w:t>
      </w:r>
      <w:r>
        <w:rPr>
          <w:rFonts w:hint="eastAsia"/>
          <w:sz w:val="21"/>
        </w:rPr>
        <w:t>｢養育医療｣</w:t>
      </w:r>
      <w:r>
        <w:rPr>
          <w:rFonts w:hint="eastAsia"/>
          <w:sz w:val="21"/>
        </w:rPr>
        <w:t>)</w:t>
      </w:r>
      <w:r>
        <w:rPr>
          <w:rFonts w:hint="eastAsia"/>
          <w:sz w:val="21"/>
        </w:rPr>
        <w:t>の給付を行います。</w:t>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widowControl w:val="1"/>
        <w:jc w:val="left"/>
        <w:rPr>
          <w:rFonts w:hint="default"/>
          <w:sz w:val="21"/>
        </w:rPr>
      </w:pPr>
      <w:r>
        <w:rPr>
          <w:rFonts w:hint="default"/>
          <w:sz w:val="21"/>
        </w:rPr>
        <w:br w:type="page"/>
      </w:r>
    </w:p>
    <w:p>
      <w:pPr>
        <w:pStyle w:val="21"/>
        <w:spacing w:after="111" w:afterLines="0" w:afterAutospacing="0"/>
        <w:rPr>
          <w:rFonts w:hint="default"/>
        </w:rPr>
      </w:pPr>
      <w:bookmarkStart w:id="129" w:name="_Toc154411481"/>
      <w:r>
        <w:rPr>
          <w:rFonts w:hint="eastAsia"/>
        </w:rPr>
        <w:t>（２）障がいの原因となる疾病予防対策の充実</w:t>
      </w:r>
      <w:bookmarkEnd w:id="129"/>
    </w:p>
    <w:p>
      <w:pPr>
        <w:pStyle w:val="72"/>
        <w:ind w:left="224"/>
        <w:rPr>
          <w:rFonts w:hint="default"/>
        </w:rPr>
      </w:pPr>
      <w:r>
        <w:rPr>
          <w:rFonts w:hint="eastAsia"/>
        </w:rPr>
        <w:t>【現状と課題】</w:t>
      </w:r>
    </w:p>
    <w:p>
      <w:pPr>
        <w:pStyle w:val="74"/>
        <w:ind w:left="662" w:hanging="214"/>
        <w:rPr>
          <w:rFonts w:hint="default"/>
          <w:color w:val="auto"/>
        </w:rPr>
      </w:pPr>
      <w:r>
        <w:rPr>
          <w:rFonts w:hint="default"/>
          <w:color w:val="auto"/>
        </w:rPr>
        <w:t>►</w:t>
      </w:r>
      <w:r>
        <w:rPr>
          <w:rFonts w:hint="eastAsia"/>
          <w:color w:val="auto"/>
        </w:rPr>
        <w:t>特定健康診査</w:t>
      </w:r>
    </w:p>
    <w:p>
      <w:pPr>
        <w:pStyle w:val="0"/>
        <w:spacing w:line="360" w:lineRule="exact"/>
        <w:ind w:left="774" w:leftChars="250" w:hanging="214" w:hangingChars="100"/>
        <w:rPr>
          <w:rFonts w:hint="default"/>
          <w:sz w:val="21"/>
        </w:rPr>
      </w:pPr>
      <w:r>
        <w:rPr>
          <w:rFonts w:hint="eastAsia"/>
          <w:sz w:val="21"/>
        </w:rPr>
        <w:t>○特定健診受診率向上のため、指導員による電話勧奨やチラシ配布等の広報活動や、ＡＩを活用した健診受診勧奨、受診時におけるＴポイント付与により特定健診受診勧奨に努めました。また、日曜健診やナイト健診を実施し受診しやすい機会の充実にも取り組みました。</w:t>
      </w:r>
    </w:p>
    <w:p>
      <w:pPr>
        <w:pStyle w:val="0"/>
        <w:spacing w:line="360" w:lineRule="exact"/>
        <w:ind w:left="774" w:leftChars="250" w:hanging="214" w:hangingChars="100"/>
        <w:rPr>
          <w:rFonts w:hint="default"/>
          <w:sz w:val="21"/>
        </w:rPr>
      </w:pPr>
      <w:r>
        <w:rPr>
          <w:rFonts w:hint="eastAsia"/>
          <w:sz w:val="21"/>
        </w:rPr>
        <w:t>○特定健診受診率は低下傾向にありましたが、令和３年度は増加に転じています。今後は医療機関との連携や既存事業の効果的実施などにより、受診率向上につなげていけるように検討する必要があります。</w:t>
      </w:r>
    </w:p>
    <w:p>
      <w:pPr>
        <w:pStyle w:val="0"/>
        <w:spacing w:line="360" w:lineRule="exact"/>
        <w:ind w:left="774" w:leftChars="250" w:hanging="214" w:hangingChars="100"/>
        <w:rPr>
          <w:rFonts w:hint="default"/>
          <w:sz w:val="21"/>
        </w:rPr>
      </w:pPr>
    </w:p>
    <w:p>
      <w:pPr>
        <w:pStyle w:val="74"/>
        <w:ind w:left="662" w:hanging="214"/>
        <w:rPr>
          <w:rFonts w:hint="default"/>
          <w:color w:val="auto"/>
          <w:sz w:val="22"/>
        </w:rPr>
      </w:pPr>
      <w:r>
        <w:rPr>
          <w:rFonts w:hint="default"/>
          <w:color w:val="auto"/>
        </w:rPr>
        <w:t>►</w:t>
      </w:r>
      <w:r>
        <w:rPr>
          <w:rFonts w:hint="eastAsia"/>
          <w:color w:val="auto"/>
        </w:rPr>
        <w:t>特定保健指導</w:t>
      </w:r>
    </w:p>
    <w:p>
      <w:pPr>
        <w:pStyle w:val="0"/>
        <w:spacing w:line="360" w:lineRule="exact"/>
        <w:ind w:left="774" w:leftChars="250" w:hanging="214" w:hangingChars="100"/>
        <w:rPr>
          <w:rFonts w:hint="default"/>
          <w:sz w:val="21"/>
        </w:rPr>
      </w:pPr>
      <w:r>
        <w:rPr>
          <w:rFonts w:hint="eastAsia"/>
          <w:sz w:val="21"/>
        </w:rPr>
        <w:t>○コロナ禍の中、感染拡大予防を徹底しながら、特定保健指導対象者のみならず、特定健診受診者へ保健指導を実施し、生活習慣病の発症予防・重症化予防に取り組んできました。今後も、生活習慣病の発症予防・重症化予防に引き続き取り組む事が必要です。</w:t>
      </w:r>
    </w:p>
    <w:p>
      <w:pPr>
        <w:pStyle w:val="0"/>
        <w:spacing w:line="360" w:lineRule="exact"/>
        <w:ind w:left="774" w:leftChars="250" w:hanging="214" w:hangingChars="100"/>
        <w:rPr>
          <w:rFonts w:hint="default"/>
          <w:sz w:val="21"/>
        </w:rPr>
      </w:pPr>
    </w:p>
    <w:p>
      <w:pPr>
        <w:pStyle w:val="74"/>
        <w:ind w:left="662" w:hanging="214"/>
        <w:rPr>
          <w:rFonts w:hint="default"/>
          <w:color w:val="auto"/>
          <w:sz w:val="22"/>
        </w:rPr>
      </w:pPr>
      <w:r>
        <w:rPr>
          <w:rFonts w:hint="default"/>
          <w:color w:val="auto"/>
        </w:rPr>
        <w:t>►</w:t>
      </w:r>
      <w:r>
        <w:rPr>
          <w:rFonts w:hint="eastAsia"/>
          <w:color w:val="auto"/>
        </w:rPr>
        <w:t>健康づくり普及啓発</w:t>
      </w:r>
    </w:p>
    <w:p>
      <w:pPr>
        <w:pStyle w:val="0"/>
        <w:spacing w:line="360" w:lineRule="exact"/>
        <w:ind w:left="774" w:leftChars="250" w:hanging="214" w:hangingChars="100"/>
        <w:rPr>
          <w:rFonts w:hint="default"/>
          <w:sz w:val="21"/>
        </w:rPr>
      </w:pPr>
      <w:r>
        <w:rPr>
          <w:rFonts w:hint="eastAsia"/>
          <w:sz w:val="21"/>
        </w:rPr>
        <w:t>○町の健康実態に応じ、健康教育を開催しましたが、コロナ禍の中、感染拡大予防のため集団学習の機会は減少しました。</w:t>
      </w:r>
    </w:p>
    <w:p>
      <w:pPr>
        <w:pStyle w:val="0"/>
        <w:spacing w:line="360" w:lineRule="exact"/>
        <w:ind w:left="774" w:leftChars="250" w:hanging="214" w:hangingChars="100"/>
        <w:rPr>
          <w:rFonts w:hint="default"/>
          <w:sz w:val="21"/>
        </w:rPr>
      </w:pPr>
      <w:r>
        <w:rPr>
          <w:rFonts w:hint="eastAsia"/>
          <w:sz w:val="21"/>
        </w:rPr>
        <w:t>○健康づくりへの意識の普及啓発を図るため町広報紙等を利用した情報発信、各種団体への健康教育を実施することが必要です。</w:t>
      </w:r>
    </w:p>
    <w:p>
      <w:pPr>
        <w:pStyle w:val="0"/>
        <w:spacing w:line="360" w:lineRule="exact"/>
        <w:ind w:left="774" w:leftChars="250" w:hanging="214" w:hangingChars="100"/>
        <w:rPr>
          <w:rFonts w:hint="default"/>
          <w:sz w:val="21"/>
        </w:rPr>
      </w:pPr>
    </w:p>
    <w:p>
      <w:pPr>
        <w:pStyle w:val="74"/>
        <w:ind w:left="662" w:hanging="214"/>
        <w:rPr>
          <w:rFonts w:hint="default"/>
          <w:color w:val="auto"/>
        </w:rPr>
      </w:pPr>
      <w:r>
        <w:rPr>
          <w:rFonts w:hint="default"/>
          <w:color w:val="auto"/>
        </w:rPr>
        <w:t>►</w:t>
      </w:r>
      <w:r>
        <w:rPr>
          <w:rFonts w:hint="eastAsia"/>
          <w:color w:val="auto"/>
        </w:rPr>
        <w:t>乳幼児期からの生活習慣病対策</w:t>
      </w:r>
    </w:p>
    <w:p>
      <w:pPr>
        <w:pStyle w:val="0"/>
        <w:ind w:left="662" w:leftChars="200" w:hanging="214" w:hangingChars="100"/>
        <w:rPr>
          <w:rFonts w:hint="default"/>
          <w:sz w:val="21"/>
        </w:rPr>
      </w:pPr>
      <w:r>
        <w:rPr>
          <w:rFonts w:hint="eastAsia"/>
          <w:sz w:val="21"/>
        </w:rPr>
        <w:t>○乳幼児期からの生活習慣病予防の視点で各種母子保健事業に取り組んできました。また、学童期においても生活習慣病予防健診を開始し、その結果をもとに学童期の健康実態に町内学校養護教諭と情報共有しました。</w:t>
      </w:r>
    </w:p>
    <w:p>
      <w:pPr>
        <w:pStyle w:val="0"/>
        <w:ind w:left="662" w:leftChars="200" w:hanging="214" w:hangingChars="100"/>
        <w:rPr>
          <w:rFonts w:hint="default"/>
          <w:sz w:val="21"/>
        </w:rPr>
      </w:pPr>
      <w:r>
        <w:rPr>
          <w:rFonts w:hint="eastAsia"/>
          <w:sz w:val="21"/>
        </w:rPr>
        <w:t>○今後も母子保健事業や学童期の生活習慣病予防健診を通し健康実態を情報共有していくことが必要です。</w:t>
      </w:r>
    </w:p>
    <w:p>
      <w:pPr>
        <w:pStyle w:val="0"/>
        <w:ind w:left="672" w:leftChars="200" w:hanging="224" w:hangingChars="100"/>
        <w:rPr>
          <w:rFonts w:hint="default" w:ascii="ＭＳ ゴシック" w:hAnsi="ＭＳ ゴシック" w:eastAsia="ＭＳ ゴシック"/>
        </w:rPr>
      </w:pPr>
    </w:p>
    <w:p>
      <w:pPr>
        <w:pStyle w:val="0"/>
        <w:widowControl w:val="1"/>
        <w:spacing w:after="160" w:afterLines="0" w:afterAutospacing="0" w:line="259" w:lineRule="auto"/>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33"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93"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94"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95"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96"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47;" coordsize="6044565,219710" coordorigin="0,0" o:spid="_x0000_s1193" o:allowincell="t" o:allowoverlap="t">
                <v:roundrect id="今後の取り組み_四角（灰）" style="height:219710;width:6044565;top:0;left:0;position:absolute;" o:spid="_x0000_s1194"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95"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96"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生活習慣病等に起因する障がいの発生を防ぐために、住民一人ひとりが自らの健康を意識し、主体的に健康づくりに取り組むことができるよう、健康づくりの動機付けやきっかけづくり、必要な情報の提供及び知識の普及啓発を図ります。また、特定健康診査受診者の増大と特定健康診査による疾病の早期発見、早期の適正治療を促進するとともに、健康管理に関する相談・指導の強化を図ります。さらに、生活習慣病は長年の生活習慣が影響するため、学童期からの生活習慣病の予防等の対策に取り組み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①特定健康診査受診率の向上</w:t>
      </w:r>
    </w:p>
    <w:p>
      <w:pPr>
        <w:pStyle w:val="0"/>
        <w:ind w:left="886" w:leftChars="300" w:hanging="214" w:hangingChars="100"/>
        <w:rPr>
          <w:rFonts w:hint="default"/>
          <w:sz w:val="21"/>
        </w:rPr>
      </w:pPr>
      <w:r>
        <w:rPr>
          <w:rFonts w:hint="eastAsia"/>
          <w:sz w:val="21"/>
        </w:rPr>
        <w:t>・特定健康診査の受診者の増を図るために、広報や各種保健事業を通して、特定健康診査の大切さについて地域への啓発を図ります。</w:t>
      </w:r>
    </w:p>
    <w:p>
      <w:pPr>
        <w:pStyle w:val="0"/>
        <w:ind w:left="886" w:leftChars="300" w:hanging="214" w:hangingChars="100"/>
        <w:rPr>
          <w:rFonts w:hint="default"/>
          <w:sz w:val="21"/>
        </w:rPr>
      </w:pPr>
      <w:r>
        <w:rPr>
          <w:rFonts w:hint="eastAsia"/>
          <w:sz w:val="21"/>
        </w:rPr>
        <w:t>・</w:t>
      </w:r>
      <w:r>
        <w:rPr>
          <w:rFonts w:hint="default"/>
          <w:sz w:val="21"/>
        </w:rPr>
        <w:t>医療機関と連携し</w:t>
      </w:r>
      <w:r>
        <w:rPr>
          <w:rFonts w:hint="eastAsia"/>
          <w:sz w:val="21"/>
        </w:rPr>
        <w:t>、</w:t>
      </w:r>
      <w:r>
        <w:rPr>
          <w:rFonts w:hint="default"/>
          <w:sz w:val="21"/>
        </w:rPr>
        <w:t>通院者への健診受診勧奨を行い、既存の事業効果</w:t>
      </w:r>
      <w:r>
        <w:rPr>
          <w:rFonts w:hint="default"/>
          <w:sz w:val="21"/>
        </w:rPr>
        <w:t>(</w:t>
      </w:r>
      <w:r>
        <w:rPr>
          <w:rFonts w:hint="eastAsia"/>
          <w:sz w:val="21"/>
        </w:rPr>
        <w:t>ＡＩ</w:t>
      </w:r>
      <w:r>
        <w:rPr>
          <w:rFonts w:hint="default"/>
          <w:sz w:val="21"/>
        </w:rPr>
        <w:t>を活用した受診勧奨事業など</w:t>
      </w:r>
      <w:r>
        <w:rPr>
          <w:rFonts w:hint="default"/>
          <w:sz w:val="21"/>
        </w:rPr>
        <w:t>)</w:t>
      </w:r>
      <w:r>
        <w:rPr>
          <w:rFonts w:hint="default"/>
          <w:sz w:val="21"/>
        </w:rPr>
        <w:t>を検証しながら、Ｔポイントに替わりお米券を進呈するなど、受診率の向上に取り組んでいきます。</w:t>
      </w:r>
    </w:p>
    <w:p>
      <w:pPr>
        <w:pStyle w:val="0"/>
        <w:ind w:left="886" w:leftChars="300" w:hanging="214" w:hangingChars="100"/>
        <w:rPr>
          <w:rFonts w:hint="default"/>
          <w:sz w:val="21"/>
        </w:rPr>
      </w:pPr>
      <w:r>
        <w:rPr>
          <w:rFonts w:hint="eastAsia"/>
          <w:sz w:val="21"/>
        </w:rPr>
        <w:t>・働き盛りの人で、平日や昼間に特定健康診査に行くことができない人のために、受診しやすいよう、今後も日曜特定健康診査やナイト特定健康診査を実施します。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②特定保健指導の充実</w:t>
      </w:r>
    </w:p>
    <w:p>
      <w:pPr>
        <w:pStyle w:val="0"/>
        <w:ind w:left="886" w:leftChars="300" w:hanging="214" w:hangingChars="100"/>
        <w:rPr>
          <w:rFonts w:hint="default"/>
          <w:sz w:val="21"/>
        </w:rPr>
      </w:pPr>
      <w:r>
        <w:rPr>
          <w:rFonts w:hint="eastAsia"/>
          <w:sz w:val="21"/>
        </w:rPr>
        <w:t>・特定保健指導の対象者が身体の状態と生活習慣との関係を理解し、生活習慣の改善につながるよう、今後も特定健康診査の結果を直接手渡すとともに、保健師・管理栄養士による結果説明と必要な保健指導や栄養指導を行います。</w:t>
      </w:r>
    </w:p>
    <w:p>
      <w:pPr>
        <w:pStyle w:val="0"/>
        <w:ind w:left="886" w:leftChars="300" w:hanging="214" w:hangingChars="100"/>
        <w:rPr>
          <w:rFonts w:hint="default"/>
          <w:sz w:val="21"/>
        </w:rPr>
      </w:pPr>
      <w:r>
        <w:rPr>
          <w:rFonts w:hint="eastAsia"/>
          <w:sz w:val="21"/>
        </w:rPr>
        <w:t>・特定保健指導対象者以外の方への保健指導も実施し、生活習慣病発症予防・重症化予防を推進します。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③健康づくり普及啓発活動の推進</w:t>
      </w:r>
    </w:p>
    <w:p>
      <w:pPr>
        <w:pStyle w:val="0"/>
        <w:ind w:left="886" w:leftChars="300" w:hanging="214" w:hangingChars="100"/>
        <w:rPr>
          <w:rFonts w:hint="default"/>
          <w:sz w:val="21"/>
        </w:rPr>
      </w:pPr>
      <w:r>
        <w:rPr>
          <w:rFonts w:hint="eastAsia"/>
          <w:sz w:val="21"/>
        </w:rPr>
        <w:t>・健康づくりの意識の啓発を図るために、今後も町の広報紙や健康に関する情報の提供や各種団体への講話及び特定健診の結果に基づき、町の健康実態に応じた学習会に取り組んでいきます。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④乳幼児期からの生活習慣病対策の推進</w:t>
      </w:r>
    </w:p>
    <w:p>
      <w:pPr>
        <w:pStyle w:val="0"/>
        <w:ind w:left="886" w:leftChars="300" w:hanging="214" w:hangingChars="100"/>
        <w:rPr>
          <w:rFonts w:hint="default"/>
          <w:sz w:val="21"/>
        </w:rPr>
      </w:pPr>
      <w:r>
        <w:rPr>
          <w:rFonts w:hint="eastAsia"/>
          <w:sz w:val="21"/>
        </w:rPr>
        <w:t>・子どもの頃から将来的な障がいの要因となる生活習慣病を予防するために、乳幼児期から望ましい生活習慣が確立されるよう、広報や各種保健事業を通して保護者への意識啓発を図ります。</w:t>
      </w:r>
    </w:p>
    <w:p>
      <w:pPr>
        <w:pStyle w:val="0"/>
        <w:ind w:left="886" w:leftChars="300" w:hanging="214" w:hangingChars="100"/>
        <w:rPr>
          <w:rFonts w:hint="default"/>
          <w:sz w:val="21"/>
        </w:rPr>
      </w:pPr>
      <w:r>
        <w:rPr>
          <w:rFonts w:hint="eastAsia"/>
          <w:sz w:val="21"/>
        </w:rPr>
        <w:t>・小、中学校と連携しながら、学童期の生活習慣について、今後も実態の把握と情報を共有し、生活習慣病予防に向けた必要な対策を講じていきます。</w:t>
      </w:r>
    </w:p>
    <w:p>
      <w:pPr>
        <w:pStyle w:val="0"/>
        <w:ind w:left="886" w:leftChars="300" w:hanging="214" w:hangingChars="100"/>
        <w:rPr>
          <w:rFonts w:hint="default"/>
          <w:sz w:val="21"/>
        </w:rPr>
      </w:pPr>
      <w:r>
        <w:rPr>
          <w:rFonts w:hint="default"/>
          <w:sz w:val="21"/>
        </w:rPr>
        <w:br w:type="page"/>
      </w:r>
    </w:p>
    <w:p>
      <w:pPr>
        <w:pStyle w:val="21"/>
        <w:spacing w:after="111" w:afterLines="0" w:afterAutospacing="0"/>
        <w:rPr>
          <w:rFonts w:hint="default"/>
        </w:rPr>
      </w:pPr>
      <w:bookmarkStart w:id="130" w:name="_Toc154411482"/>
      <w:r>
        <w:rPr>
          <w:rFonts w:hint="eastAsia"/>
        </w:rPr>
        <w:t>（３）精神保健福祉の充実</w:t>
      </w:r>
      <w:bookmarkEnd w:id="130"/>
    </w:p>
    <w:p>
      <w:pPr>
        <w:pStyle w:val="72"/>
        <w:ind w:left="224"/>
        <w:rPr>
          <w:rFonts w:hint="default"/>
        </w:rPr>
      </w:pPr>
      <w:r>
        <w:rPr>
          <w:rFonts w:hint="eastAsia"/>
        </w:rPr>
        <w:t>【現状と課題】</w:t>
      </w:r>
    </w:p>
    <w:p>
      <w:pPr>
        <w:pStyle w:val="74"/>
        <w:ind w:left="662" w:hanging="214"/>
        <w:rPr>
          <w:rFonts w:hint="default"/>
          <w:color w:val="auto"/>
        </w:rPr>
      </w:pPr>
      <w:r>
        <w:rPr>
          <w:rFonts w:hint="default"/>
          <w:color w:val="auto"/>
        </w:rPr>
        <w:t>►</w:t>
      </w:r>
      <w:r>
        <w:rPr>
          <w:rFonts w:hint="eastAsia"/>
          <w:color w:val="auto"/>
        </w:rPr>
        <w:t>相談支援</w:t>
      </w:r>
    </w:p>
    <w:p>
      <w:pPr>
        <w:pStyle w:val="0"/>
        <w:ind w:left="774" w:leftChars="250" w:hanging="214" w:hangingChars="100"/>
        <w:rPr>
          <w:rFonts w:hint="default"/>
          <w:sz w:val="21"/>
        </w:rPr>
      </w:pPr>
      <w:bookmarkStart w:id="131" w:name="_Hlk156077194"/>
      <w:r>
        <w:rPr>
          <w:rFonts w:hint="eastAsia"/>
          <w:sz w:val="21"/>
        </w:rPr>
        <w:t>○精神保健福祉に関する行政窓口における相談においては、本人や家族のみならず、地域住民からの相談にも対応しており、保健所や医療機関、障害福祉サービス事業所、地域住民とも連携を図り、家族支援も視野に入れた相談支援に取り組んでいます。</w:t>
      </w:r>
    </w:p>
    <w:p>
      <w:pPr>
        <w:pStyle w:val="0"/>
        <w:ind w:left="774" w:leftChars="250" w:hanging="214" w:hangingChars="100"/>
        <w:rPr>
          <w:rFonts w:hint="default"/>
          <w:sz w:val="21"/>
        </w:rPr>
      </w:pPr>
      <w:bookmarkEnd w:id="131"/>
    </w:p>
    <w:p>
      <w:pPr>
        <w:pStyle w:val="74"/>
        <w:ind w:left="662" w:hanging="214"/>
        <w:rPr>
          <w:rFonts w:hint="default"/>
          <w:color w:val="auto"/>
          <w:sz w:val="22"/>
        </w:rPr>
      </w:pPr>
      <w:r>
        <w:rPr>
          <w:rFonts w:hint="default"/>
          <w:color w:val="auto"/>
        </w:rPr>
        <w:t>►</w:t>
      </w:r>
      <w:r>
        <w:rPr>
          <w:rFonts w:hint="eastAsia"/>
          <w:color w:val="auto"/>
        </w:rPr>
        <w:t>日中活動への支援</w:t>
      </w:r>
    </w:p>
    <w:p>
      <w:pPr>
        <w:pStyle w:val="0"/>
        <w:ind w:left="774" w:leftChars="250" w:hanging="214" w:hangingChars="100"/>
        <w:rPr>
          <w:rFonts w:hint="default"/>
          <w:sz w:val="21"/>
        </w:rPr>
      </w:pPr>
      <w:r>
        <w:rPr>
          <w:rFonts w:hint="eastAsia"/>
          <w:sz w:val="21"/>
        </w:rPr>
        <w:t>○本人の希望に応じて日中活動の場の案内や、必要に応じて活動の場へ同行支援をする等、つなぎ支援を行っています。</w:t>
      </w:r>
    </w:p>
    <w:p>
      <w:pPr>
        <w:pStyle w:val="0"/>
        <w:ind w:left="774" w:leftChars="250" w:hanging="214" w:hangingChars="100"/>
        <w:rPr>
          <w:rFonts w:hint="default"/>
          <w:sz w:val="21"/>
        </w:rPr>
      </w:pPr>
    </w:p>
    <w:p>
      <w:pPr>
        <w:pStyle w:val="74"/>
        <w:ind w:left="662" w:hanging="214"/>
        <w:rPr>
          <w:rFonts w:hint="default"/>
          <w:color w:val="auto"/>
          <w:sz w:val="22"/>
        </w:rPr>
      </w:pPr>
      <w:r>
        <w:rPr>
          <w:rFonts w:hint="default"/>
          <w:color w:val="auto"/>
        </w:rPr>
        <w:t>►</w:t>
      </w:r>
      <w:r>
        <w:rPr>
          <w:rFonts w:hint="eastAsia"/>
          <w:color w:val="auto"/>
        </w:rPr>
        <w:t>関係者による協議の場</w:t>
      </w:r>
    </w:p>
    <w:p>
      <w:pPr>
        <w:pStyle w:val="0"/>
        <w:ind w:left="774" w:leftChars="250" w:hanging="214" w:hangingChars="100"/>
        <w:rPr>
          <w:rFonts w:hint="default"/>
          <w:sz w:val="21"/>
        </w:rPr>
      </w:pPr>
      <w:r>
        <w:rPr>
          <w:rFonts w:hint="eastAsia"/>
          <w:sz w:val="21"/>
        </w:rPr>
        <w:t>○精神科病院からの参加依頼や精神障がい者や家族からの希望により、基幹相談支援センターや委託相談支援事業所が入院中から相談を受け、退院前カンファレンスへの参加等を行うことで、退院後の生活の安定に向けた支援を行っています。</w:t>
      </w:r>
    </w:p>
    <w:p>
      <w:pPr>
        <w:pStyle w:val="0"/>
        <w:ind w:left="774" w:leftChars="250" w:hanging="214" w:hangingChars="100"/>
        <w:rPr>
          <w:rFonts w:hint="default"/>
          <w:sz w:val="21"/>
        </w:rPr>
      </w:pPr>
      <w:r>
        <w:rPr>
          <w:rFonts w:hint="eastAsia"/>
          <w:sz w:val="21"/>
        </w:rPr>
        <w:t>○関係者による協議の場の開催については取り組めていませんが、相談支援部会において、障がい者の地域移行に関する事例検討を令和３年度から実施しています。</w:t>
      </w: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37"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97"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98"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99"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0"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43;" coordsize="6044565,219710" coordorigin="0,0" o:spid="_x0000_s1197" o:allowincell="t" o:allowoverlap="t">
                <v:roundrect id="今後の取り組み_四角（灰）" style="height:219710;width:6044565;top:0;left:0;position:absolute;" o:spid="_x0000_s1198"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99"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00"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精神疾患に対する早期の適切な相談支援、医療受診等につながるよう、精神疾患に関する地域への理解啓発を進めます。また、保健・福祉・医療等の関係機関と緊密な連携を図り、精神疾患者の日常生活の安定及び社会復帰を目指して、日中等活動の場の提供等地域生活を支援するほか、精神障がい者に対応した地域包括ケアシステムの構築を目指します。</w:t>
      </w:r>
    </w:p>
    <w:p>
      <w:pPr>
        <w:pStyle w:val="0"/>
        <w:ind w:left="448" w:leftChars="200" w:firstLine="214" w:firstLineChars="100"/>
        <w:rPr>
          <w:rFonts w:hint="default"/>
          <w:sz w:val="21"/>
        </w:rPr>
      </w:pPr>
    </w:p>
    <w:p>
      <w:pPr>
        <w:pStyle w:val="73"/>
        <w:ind w:left="672" w:hanging="224"/>
        <w:rPr>
          <w:rFonts w:hint="default"/>
          <w:color w:val="auto"/>
        </w:rPr>
      </w:pPr>
      <w:r>
        <w:rPr>
          <w:rFonts w:hint="eastAsia"/>
          <w:color w:val="auto"/>
        </w:rPr>
        <w:t>①理解啓発と相談支援の充実</w:t>
      </w:r>
    </w:p>
    <w:p>
      <w:pPr>
        <w:pStyle w:val="0"/>
        <w:ind w:left="886" w:leftChars="300" w:hanging="214" w:hangingChars="100"/>
        <w:rPr>
          <w:rFonts w:hint="default"/>
          <w:sz w:val="21"/>
        </w:rPr>
      </w:pPr>
      <w:r>
        <w:rPr>
          <w:rFonts w:hint="eastAsia"/>
          <w:sz w:val="21"/>
        </w:rPr>
        <w:t>・精神疾患は誰にでも起こりうる疾患であること、また、適切な治療により症状の安定化を図ることが可能な疾患であること、早期の気づきと相談支援の必要性などについて、あらゆる機会を通じて、精神疾患に関する地域への理解啓発を積極的に推進します。</w:t>
      </w:r>
    </w:p>
    <w:p>
      <w:pPr>
        <w:pStyle w:val="0"/>
        <w:ind w:left="886" w:leftChars="300" w:hanging="214" w:hangingChars="100"/>
        <w:rPr>
          <w:rFonts w:hint="default"/>
          <w:sz w:val="21"/>
        </w:rPr>
      </w:pPr>
      <w:r>
        <w:rPr>
          <w:rFonts w:hint="eastAsia"/>
          <w:sz w:val="21"/>
        </w:rPr>
        <w:t>・地域の相談窓口の周知徹底を図るとともに、関係機関と連携した相談支援体制の充実を図り、家族等と連携した早期の医療受診や日常生活及び社会生活の自立を支援します。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②日中活動の支援の推進</w:t>
      </w:r>
    </w:p>
    <w:p>
      <w:pPr>
        <w:pStyle w:val="0"/>
        <w:ind w:left="886" w:leftChars="300" w:hanging="214" w:hangingChars="100"/>
        <w:rPr>
          <w:rFonts w:hint="default"/>
          <w:sz w:val="21"/>
        </w:rPr>
      </w:pPr>
      <w:r>
        <w:rPr>
          <w:rFonts w:hint="eastAsia"/>
          <w:sz w:val="21"/>
        </w:rPr>
        <w:t>・精神障がい者が自宅に引きこもることなく、社会参加の意欲が高まるよう、委託相談支援事業所、計画相談支援事業所、訪問系サービス事業所等と連携し、日中活動の場の紹介と利用支援を行うほか、地域活動への参加を視野に入れた相談支援を行います。</w:t>
      </w:r>
    </w:p>
    <w:p>
      <w:pPr>
        <w:pStyle w:val="0"/>
        <w:ind w:left="886" w:leftChars="300" w:hanging="214" w:hangingChars="100"/>
        <w:rPr>
          <w:rFonts w:hint="default"/>
          <w:sz w:val="21"/>
        </w:rPr>
      </w:pPr>
      <w:r>
        <w:rPr>
          <w:rFonts w:hint="eastAsia"/>
          <w:sz w:val="21"/>
        </w:rPr>
        <w:t>・日中活動の場への参加が中断することなく、継続していけるようフォローできる体制づくりに取り組みます。</w:t>
      </w:r>
    </w:p>
    <w:p>
      <w:pPr>
        <w:pStyle w:val="0"/>
        <w:ind w:left="672" w:leftChars="300"/>
        <w:rPr>
          <w:rFonts w:hint="default"/>
          <w:sz w:val="21"/>
        </w:rPr>
      </w:pPr>
    </w:p>
    <w:p>
      <w:pPr>
        <w:pStyle w:val="73"/>
        <w:ind w:left="672" w:hanging="224"/>
        <w:rPr>
          <w:rFonts w:hint="default"/>
          <w:color w:val="auto"/>
        </w:rPr>
      </w:pPr>
      <w:r>
        <w:rPr>
          <w:rFonts w:hint="eastAsia"/>
          <w:color w:val="auto"/>
        </w:rPr>
        <w:t>③退院者の地域生活支援の推進</w:t>
      </w:r>
    </w:p>
    <w:p>
      <w:pPr>
        <w:pStyle w:val="0"/>
        <w:ind w:left="886" w:leftChars="300" w:hanging="214" w:hangingChars="100"/>
        <w:rPr>
          <w:rFonts w:hint="default"/>
          <w:sz w:val="21"/>
        </w:rPr>
      </w:pPr>
      <w:r>
        <w:rPr>
          <w:rFonts w:hint="eastAsia"/>
          <w:sz w:val="21"/>
        </w:rPr>
        <w:t>・精神科医療機関を退院後、地域で自立した生活が送れるよう、医療機関が主催する退院時調整会議や退院後のケース会議に参加する等、必要な支援を行います。また、生活上の課題に応じて関係機関から必要な支援が受けられるよう調整を行います。さらに、今後は地域相談支援事業所</w:t>
      </w:r>
      <w:r>
        <w:rPr>
          <w:rFonts w:hint="eastAsia"/>
          <w:sz w:val="21"/>
        </w:rPr>
        <w:t>(</w:t>
      </w:r>
      <w:r>
        <w:rPr>
          <w:rFonts w:hint="eastAsia"/>
          <w:sz w:val="21"/>
        </w:rPr>
        <w:t>地域移行支援・地域定着支援</w:t>
      </w:r>
      <w:r>
        <w:rPr>
          <w:rFonts w:hint="eastAsia"/>
          <w:sz w:val="21"/>
        </w:rPr>
        <w:t>)</w:t>
      </w:r>
      <w:r>
        <w:rPr>
          <w:rFonts w:hint="eastAsia"/>
          <w:sz w:val="21"/>
        </w:rPr>
        <w:t>との連携を図ります。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④関係者による協議の推進</w:t>
      </w:r>
    </w:p>
    <w:p>
      <w:pPr>
        <w:pStyle w:val="0"/>
        <w:ind w:left="886" w:leftChars="300" w:hanging="214" w:hangingChars="100"/>
        <w:rPr>
          <w:rFonts w:hint="default"/>
          <w:sz w:val="21"/>
        </w:rPr>
      </w:pPr>
      <w:r>
        <w:rPr>
          <w:rFonts w:hint="eastAsia"/>
          <w:sz w:val="21"/>
        </w:rPr>
        <w:t>・精神障がい者が地域の一員として、安心して自分らしい暮らしをすることができるよう、精神障がい者にも対応した地域包括ケアシステムの構築を目指して、保健・福祉・医療関係者による協議の場を継続的に開催します。</w:t>
      </w:r>
    </w:p>
    <w:p>
      <w:pPr>
        <w:pStyle w:val="0"/>
        <w:ind w:left="886" w:leftChars="300" w:hanging="214" w:hangingChars="100"/>
        <w:rPr>
          <w:rFonts w:hint="default"/>
          <w:sz w:val="21"/>
        </w:rPr>
      </w:pPr>
    </w:p>
    <w:p>
      <w:pPr>
        <w:pStyle w:val="0"/>
        <w:widowControl w:val="1"/>
        <w:jc w:val="left"/>
        <w:rPr>
          <w:rFonts w:hint="default"/>
          <w:sz w:val="21"/>
        </w:rPr>
      </w:pPr>
      <w:bookmarkStart w:id="132" w:name="_Toc346185255"/>
      <w:bookmarkStart w:id="133" w:name="_Toc416340563"/>
      <w:bookmarkStart w:id="134" w:name="_Toc505592295"/>
      <w:bookmarkStart w:id="135" w:name="_Toc62831673"/>
      <w:r>
        <w:rPr>
          <w:rFonts w:hint="default"/>
          <w:sz w:val="21"/>
        </w:rPr>
        <w:br w:type="page"/>
      </w:r>
    </w:p>
    <w:p>
      <w:pPr>
        <w:pStyle w:val="80"/>
        <w:spacing w:after="92" w:afterLines="0" w:afterAutospacing="0"/>
        <w:rPr>
          <w:rFonts w:hint="default"/>
        </w:rPr>
      </w:pPr>
      <w:bookmarkStart w:id="136" w:name="_Toc154411483"/>
      <w:bookmarkStart w:id="137" w:name="_Toc162263674"/>
      <w:r>
        <w:rPr>
          <w:rFonts w:hint="eastAsia"/>
        </w:rPr>
        <w:t>２</w:t>
      </w:r>
      <w:r>
        <w:rPr>
          <w:rFonts w:hint="default"/>
        </w:rPr>
        <w:t>．</w:t>
      </w:r>
      <w:r>
        <w:rPr>
          <w:rFonts w:hint="eastAsia"/>
        </w:rPr>
        <w:t>自立生活支援の充実</w:t>
      </w:r>
      <w:bookmarkEnd w:id="132"/>
      <w:bookmarkEnd w:id="133"/>
      <w:bookmarkEnd w:id="134"/>
      <w:bookmarkEnd w:id="135"/>
      <w:bookmarkEnd w:id="136"/>
      <w:bookmarkEnd w:id="137"/>
    </w:p>
    <w:p>
      <w:pPr>
        <w:pStyle w:val="21"/>
        <w:spacing w:after="111" w:afterLines="0" w:afterAutospacing="0"/>
        <w:rPr>
          <w:rFonts w:hint="default"/>
        </w:rPr>
      </w:pPr>
      <w:bookmarkStart w:id="138" w:name="_Toc154411484"/>
      <w:r>
        <w:rPr>
          <w:rFonts w:hint="eastAsia"/>
        </w:rPr>
        <w:t>（１）障害福祉サービス等の推進</w:t>
      </w:r>
      <w:bookmarkEnd w:id="138"/>
    </w:p>
    <w:p>
      <w:pPr>
        <w:pStyle w:val="72"/>
        <w:ind w:left="224"/>
        <w:rPr>
          <w:rFonts w:hint="default"/>
        </w:rPr>
      </w:pPr>
      <w:r>
        <w:rPr>
          <w:rFonts w:hint="eastAsia"/>
        </w:rPr>
        <w:t>【現状と課題】</w:t>
      </w:r>
    </w:p>
    <w:p>
      <w:pPr>
        <w:pStyle w:val="74"/>
        <w:ind w:left="662" w:hanging="214"/>
        <w:rPr>
          <w:rFonts w:hint="default"/>
          <w:color w:val="auto"/>
          <w:sz w:val="22"/>
        </w:rPr>
      </w:pPr>
      <w:r>
        <w:rPr>
          <w:rFonts w:hint="default"/>
          <w:color w:val="auto"/>
        </w:rPr>
        <w:t>►</w:t>
      </w:r>
      <w:r>
        <w:rPr>
          <w:rFonts w:hint="eastAsia"/>
          <w:color w:val="auto"/>
        </w:rPr>
        <w:t>障害福祉サービス</w:t>
      </w:r>
    </w:p>
    <w:p>
      <w:pPr>
        <w:pStyle w:val="0"/>
        <w:ind w:left="774" w:leftChars="250" w:hanging="214" w:hangingChars="100"/>
        <w:rPr>
          <w:rFonts w:hint="default"/>
          <w:sz w:val="21"/>
        </w:rPr>
      </w:pPr>
      <w:r>
        <w:rPr>
          <w:rFonts w:hint="eastAsia"/>
          <w:sz w:val="21"/>
        </w:rPr>
        <w:t>○委託相談支援事業所や計画相談支援事業所が利用者のニーズを把握し、サービス提供事業所と連携したサービスの利用支援を行い、障がい者の日常生活を支えています。</w:t>
      </w:r>
    </w:p>
    <w:p>
      <w:pPr>
        <w:pStyle w:val="0"/>
        <w:ind w:left="774" w:leftChars="250" w:hanging="214" w:hangingChars="100"/>
        <w:rPr>
          <w:rFonts w:hint="default"/>
          <w:sz w:val="21"/>
        </w:rPr>
      </w:pPr>
      <w:r>
        <w:rPr>
          <w:rFonts w:hint="eastAsia"/>
          <w:sz w:val="21"/>
        </w:rPr>
        <w:t>○サービス利用者は年々増加する中、町内外の計画相談支援事業所の協力もあり、利用希望者はサービス利用に結びついています。モニタリング等から利用者の変化を確認し、計画相談員と連携を図りながら適切なサービス利用につながるよう取り組んでいます。</w:t>
      </w:r>
    </w:p>
    <w:p>
      <w:pPr>
        <w:pStyle w:val="0"/>
        <w:ind w:left="774" w:leftChars="250" w:hanging="214" w:hangingChars="100"/>
        <w:rPr>
          <w:rFonts w:hint="default"/>
          <w:sz w:val="21"/>
        </w:rPr>
      </w:pPr>
      <w:r>
        <w:rPr>
          <w:rFonts w:hint="eastAsia"/>
          <w:sz w:val="21"/>
        </w:rPr>
        <w:t>○令和４年度に虐待防止に関する学習会を障害福祉サービス事業所向けに実施しました。</w:t>
      </w:r>
    </w:p>
    <w:p>
      <w:pPr>
        <w:pStyle w:val="0"/>
        <w:ind w:left="774" w:leftChars="250" w:hanging="214" w:hangingChars="100"/>
        <w:rPr>
          <w:rFonts w:hint="default"/>
          <w:sz w:val="21"/>
        </w:rPr>
      </w:pPr>
    </w:p>
    <w:p>
      <w:pPr>
        <w:pStyle w:val="74"/>
        <w:ind w:left="662" w:hanging="214"/>
        <w:rPr>
          <w:rFonts w:hint="default"/>
          <w:color w:val="auto"/>
          <w:sz w:val="22"/>
        </w:rPr>
      </w:pPr>
      <w:r>
        <w:rPr>
          <w:rFonts w:hint="default"/>
          <w:color w:val="auto"/>
        </w:rPr>
        <w:t>►</w:t>
      </w:r>
      <w:r>
        <w:rPr>
          <w:rFonts w:hint="eastAsia"/>
          <w:color w:val="auto"/>
        </w:rPr>
        <w:t>地域生活支援拠点等の整備</w:t>
      </w:r>
    </w:p>
    <w:p>
      <w:pPr>
        <w:pStyle w:val="0"/>
        <w:ind w:left="774" w:leftChars="250" w:hanging="214" w:hangingChars="100"/>
        <w:rPr>
          <w:rFonts w:hint="default"/>
          <w:sz w:val="21"/>
        </w:rPr>
      </w:pPr>
      <w:r>
        <w:rPr>
          <w:rFonts w:hint="eastAsia"/>
          <w:sz w:val="21"/>
        </w:rPr>
        <w:t>○令和３年度から自立支援協議会の専門部会として拠点事業の取り組みを検討する部会を立ち上げ協議を行ってきました。令和５年４月から事業を開始しています。今後は事業所や利用者の登録を進め、事業の推進に向けてさらに協議を進めて行く必要があります。</w:t>
      </w:r>
    </w:p>
    <w:p>
      <w:pPr>
        <w:pStyle w:val="0"/>
        <w:ind w:left="784" w:leftChars="250" w:hanging="224" w:hangingChars="100"/>
        <w:rPr>
          <w:rFonts w:hint="default" w:ascii="ＭＳ ゴシック" w:hAnsi="ＭＳ ゴシック" w:eastAsia="ＭＳ ゴシック"/>
        </w:rPr>
      </w:pPr>
    </w:p>
    <w:p>
      <w:pPr>
        <w:pStyle w:val="128"/>
        <w:ind w:left="224"/>
        <w:rPr>
          <w:rFonts w:hint="default"/>
        </w:rPr>
      </w:pPr>
      <w:r>
        <w:rPr>
          <w:rFonts w:hint="eastAsia"/>
        </w:rPr>
        <w:t>（アンケート調査より）</w:t>
      </w:r>
    </w:p>
    <w:p>
      <w:pPr>
        <w:pStyle w:val="0"/>
        <w:ind w:left="662" w:leftChars="200" w:hanging="214" w:hangingChars="100"/>
        <w:rPr>
          <w:rFonts w:hint="default"/>
          <w:sz w:val="21"/>
        </w:rPr>
      </w:pPr>
      <w:r>
        <w:rPr>
          <w:rFonts w:hint="eastAsia"/>
          <w:sz w:val="21"/>
        </w:rPr>
        <w:t>○主な介助者の悩みとして「本人の将来の介助や暮らし」が</w:t>
      </w:r>
      <w:r>
        <w:rPr>
          <w:rFonts w:hint="eastAsia"/>
          <w:sz w:val="21"/>
        </w:rPr>
        <w:t>45.0</w:t>
      </w:r>
      <w:r>
        <w:rPr>
          <w:rFonts w:hint="eastAsia"/>
          <w:sz w:val="21"/>
        </w:rPr>
        <w:t>％</w:t>
      </w:r>
      <w:r>
        <w:rPr>
          <w:rFonts w:hint="eastAsia"/>
          <w:sz w:val="21"/>
        </w:rPr>
        <w:t>(</w:t>
      </w:r>
      <w:r>
        <w:rPr>
          <w:rFonts w:hint="eastAsia"/>
          <w:sz w:val="21"/>
        </w:rPr>
        <w:t>前回</w:t>
      </w:r>
      <w:r>
        <w:rPr>
          <w:rFonts w:hint="eastAsia"/>
          <w:sz w:val="21"/>
        </w:rPr>
        <w:t>51.0</w:t>
      </w:r>
      <w:r>
        <w:rPr>
          <w:rFonts w:hint="eastAsia"/>
          <w:sz w:val="21"/>
        </w:rPr>
        <w:t>％</w:t>
      </w:r>
      <w:r>
        <w:rPr>
          <w:rFonts w:hint="eastAsia"/>
          <w:sz w:val="21"/>
        </w:rPr>
        <w:t>)</w:t>
      </w:r>
      <w:r>
        <w:rPr>
          <w:rFonts w:hint="eastAsia"/>
          <w:sz w:val="21"/>
        </w:rPr>
        <w:t>と最も高く、障がい者自身も「将来の生活や介助」で悩んでいる割合が</w:t>
      </w:r>
      <w:r>
        <w:rPr>
          <w:rFonts w:hint="eastAsia"/>
          <w:sz w:val="21"/>
        </w:rPr>
        <w:t>26.7</w:t>
      </w:r>
      <w:r>
        <w:rPr>
          <w:rFonts w:hint="eastAsia"/>
          <w:sz w:val="21"/>
        </w:rPr>
        <w:t>％</w:t>
      </w:r>
      <w:r>
        <w:rPr>
          <w:rFonts w:hint="eastAsia"/>
          <w:sz w:val="21"/>
        </w:rPr>
        <w:t>(</w:t>
      </w:r>
      <w:r>
        <w:rPr>
          <w:rFonts w:hint="eastAsia"/>
          <w:sz w:val="21"/>
        </w:rPr>
        <w:t>前回</w:t>
      </w:r>
      <w:r>
        <w:rPr>
          <w:rFonts w:hint="eastAsia"/>
          <w:sz w:val="21"/>
        </w:rPr>
        <w:t>33.3</w:t>
      </w:r>
      <w:r>
        <w:rPr>
          <w:rFonts w:hint="eastAsia"/>
          <w:sz w:val="21"/>
        </w:rPr>
        <w:t>％</w:t>
      </w:r>
      <w:r>
        <w:rPr>
          <w:rFonts w:hint="eastAsia"/>
          <w:sz w:val="21"/>
        </w:rPr>
        <w:t>)</w:t>
      </w:r>
      <w:r>
        <w:rPr>
          <w:rFonts w:hint="eastAsia"/>
          <w:sz w:val="21"/>
        </w:rPr>
        <w:t>と３番目に高くなっています。こうした地域の実情を勘案しながら、本町においても地域生活拠点等の整備充実に向けた取り組みを進める必要があります。</w:t>
      </w: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41"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201"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02"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3"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4"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39;" coordsize="6044565,219710" coordorigin="0,0" o:spid="_x0000_s1201" o:allowincell="t" o:allowoverlap="t">
                <v:roundrect id="今後の取り組み_四角（灰）" style="height:219710;width:6044565;top:0;left:0;position:absolute;" o:spid="_x0000_s1202"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03"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04"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障がい者が希望する生活の実現に向けて、在宅生活を支援するための障害福祉サービス等が適切に利用できるよう、地域の実情に即したサービス提供体制の確保に取り組みます。また、障害者総合支援法の改正の内容と町の実情を勘案して、サービスの拡充に向けた取り組みを進めます。</w:t>
      </w:r>
    </w:p>
    <w:p>
      <w:pPr>
        <w:pStyle w:val="0"/>
        <w:ind w:left="224" w:leftChars="100"/>
        <w:rPr>
          <w:rFonts w:hint="default"/>
          <w:sz w:val="21"/>
        </w:rPr>
      </w:pPr>
    </w:p>
    <w:p>
      <w:pPr>
        <w:pStyle w:val="73"/>
        <w:ind w:left="672" w:hanging="224"/>
        <w:rPr>
          <w:rFonts w:hint="default"/>
          <w:color w:val="auto"/>
        </w:rPr>
      </w:pPr>
      <w:r>
        <w:rPr>
          <w:rFonts w:hint="eastAsia"/>
          <w:color w:val="auto"/>
        </w:rPr>
        <w:t>①訪問系サービスの充実</w:t>
      </w:r>
    </w:p>
    <w:p>
      <w:pPr>
        <w:pStyle w:val="0"/>
        <w:ind w:left="886" w:leftChars="300" w:hanging="214" w:hangingChars="100"/>
        <w:rPr>
          <w:rFonts w:hint="default"/>
          <w:sz w:val="21"/>
        </w:rPr>
      </w:pPr>
      <w:r>
        <w:rPr>
          <w:rFonts w:hint="eastAsia"/>
          <w:sz w:val="21"/>
        </w:rPr>
        <w:t>・日常生活を営むにあたり支障のある障がい者の在宅生活を支援するために、障がい者のニーズを的確に把握し、ニーズに即した必要な支援が受けられるよう、在宅における介護や外出時の支援、行動に対する危険回避等の訪問系サービスの適切な確保と利用を促します。</w:t>
      </w:r>
    </w:p>
    <w:p>
      <w:pPr>
        <w:pStyle w:val="0"/>
        <w:ind w:left="886" w:leftChars="300" w:hanging="214" w:hangingChars="100"/>
        <w:rPr>
          <w:rFonts w:hint="default"/>
          <w:sz w:val="21"/>
        </w:rPr>
      </w:pPr>
      <w:r>
        <w:rPr>
          <w:rFonts w:hint="eastAsia"/>
          <w:sz w:val="21"/>
        </w:rPr>
        <w:t>・重度訪問介護については医療機関への入院時も一定の利用が可能であるため、利用に際しては障害福祉サービス事業所や医療機関と必要な調整等を行います。</w:t>
      </w:r>
    </w:p>
    <w:p>
      <w:pPr>
        <w:pStyle w:val="0"/>
        <w:widowControl w:val="1"/>
        <w:jc w:val="left"/>
        <w:rPr>
          <w:rFonts w:hint="default"/>
          <w:sz w:val="21"/>
        </w:rPr>
      </w:pPr>
      <w:r>
        <w:rPr>
          <w:rFonts w:hint="default"/>
          <w:sz w:val="21"/>
        </w:rPr>
        <w:br w:type="page"/>
      </w:r>
    </w:p>
    <w:p>
      <w:pPr>
        <w:pStyle w:val="73"/>
        <w:ind w:left="672" w:hanging="224"/>
        <w:rPr>
          <w:rFonts w:hint="default"/>
          <w:color w:val="auto"/>
        </w:rPr>
      </w:pPr>
      <w:r>
        <w:rPr>
          <w:rFonts w:hint="eastAsia"/>
          <w:color w:val="auto"/>
        </w:rPr>
        <w:t>②日中活動系サービスの充実</w:t>
      </w:r>
    </w:p>
    <w:p>
      <w:pPr>
        <w:pStyle w:val="0"/>
        <w:ind w:left="886" w:leftChars="300" w:hanging="214" w:hangingChars="100"/>
        <w:rPr>
          <w:rFonts w:hint="default"/>
          <w:sz w:val="21"/>
        </w:rPr>
      </w:pPr>
      <w:r>
        <w:rPr>
          <w:rFonts w:hint="eastAsia"/>
          <w:sz w:val="21"/>
        </w:rPr>
        <w:t>・障がい者が地域で自分らしく暮らしていくために、ニーズに応じた日中活動の場が選択できるよう、障害福祉サービス事業所や障がい者支援施設及び医療機関等と連携し、介護、訓練、就労、療養等を提供する日中活動の場の確保を進めます。</w:t>
      </w:r>
    </w:p>
    <w:p>
      <w:pPr>
        <w:pStyle w:val="0"/>
        <w:ind w:left="886" w:leftChars="300" w:hanging="214" w:hangingChars="100"/>
        <w:rPr>
          <w:rFonts w:hint="default"/>
          <w:sz w:val="21"/>
        </w:rPr>
      </w:pPr>
      <w:r>
        <w:rPr>
          <w:rFonts w:hint="eastAsia"/>
          <w:sz w:val="21"/>
        </w:rPr>
        <w:t>・令和６年度より新たに導入される「就労選択支援」サービスについても障害福祉サービス事業所と連携しながら利用促進を図り、ニーズに応じた就労が提供できるように図ります。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③居住系サービスの充実</w:t>
      </w:r>
    </w:p>
    <w:p>
      <w:pPr>
        <w:pStyle w:val="0"/>
        <w:ind w:left="886" w:leftChars="300" w:hanging="214" w:hangingChars="100"/>
        <w:rPr>
          <w:rFonts w:hint="default"/>
          <w:sz w:val="21"/>
        </w:rPr>
      </w:pPr>
      <w:r>
        <w:rPr>
          <w:rFonts w:hint="eastAsia"/>
          <w:sz w:val="21"/>
        </w:rPr>
        <w:t>・自宅以外で、夜間や休日に日常生活の援助又は介護等が受けられる共同生活の場や入所施設の場について、障がい者のニーズを的確に把握し、障害福祉サービス事業所や関係機関と連携して必要なサービス提供体制の確保に取り組みます。</w:t>
      </w:r>
    </w:p>
    <w:p>
      <w:pPr>
        <w:pStyle w:val="0"/>
        <w:ind w:left="886" w:leftChars="300" w:hanging="214" w:hangingChars="100"/>
        <w:rPr>
          <w:rFonts w:hint="default"/>
          <w:sz w:val="21"/>
        </w:rPr>
      </w:pPr>
      <w:r>
        <w:rPr>
          <w:rFonts w:hint="eastAsia"/>
          <w:sz w:val="21"/>
        </w:rPr>
        <w:t>・障がい者支援施設やグループホーム等から、一人暮らしへの移行を希望する障がい者の地域生活を支援するための「自立生活援助」について、地域の実情を勘案した上で、サービス提供体制の適切な確保に取り組み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④計画相談支援・地域相談支援の推進</w:t>
      </w:r>
    </w:p>
    <w:p>
      <w:pPr>
        <w:pStyle w:val="0"/>
        <w:ind w:left="886" w:leftChars="300" w:hanging="214" w:hangingChars="100"/>
        <w:rPr>
          <w:rFonts w:hint="default"/>
          <w:sz w:val="21"/>
        </w:rPr>
      </w:pPr>
      <w:r>
        <w:rPr>
          <w:rFonts w:hint="eastAsia"/>
          <w:sz w:val="21"/>
        </w:rPr>
        <w:t>・計画相談支援については、サービス利用者の増に対応していけるよう、サービス利用計画作成状況を適宜把握し、必要に応じて障害福祉サービス事業所や関係機関と連携し、計画相談支援の適切な提供体制の確保に取り組みます。</w:t>
      </w:r>
    </w:p>
    <w:p>
      <w:pPr>
        <w:pStyle w:val="0"/>
        <w:ind w:left="886" w:leftChars="300" w:hanging="214" w:hangingChars="100"/>
        <w:rPr>
          <w:rFonts w:hint="default"/>
          <w:sz w:val="21"/>
        </w:rPr>
      </w:pPr>
      <w:r>
        <w:rPr>
          <w:rFonts w:hint="eastAsia"/>
          <w:sz w:val="21"/>
        </w:rPr>
        <w:t>・地域移行支援、地域定着支援については、精神科医療機関や施設から円滑な地域生活への移行と安定した地域生活が送れるよう、サービスの提供を進めるとともに、医療機関、障害者入所施設、相談支援事業所等の関係機関が連携した支援を行います。</w:t>
      </w:r>
    </w:p>
    <w:p>
      <w:pPr>
        <w:pStyle w:val="0"/>
        <w:ind w:left="886" w:leftChars="300" w:hanging="214" w:hangingChars="100"/>
        <w:rPr>
          <w:rFonts w:hint="default"/>
          <w:sz w:val="21"/>
        </w:rPr>
      </w:pPr>
      <w:r>
        <w:rPr>
          <w:rFonts w:hint="eastAsia"/>
          <w:sz w:val="21"/>
        </w:rPr>
        <w:t>・計画相談支援員が安心して業務が遂行できるよう、必要な体制づくりに取り組みます。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⑤障害福祉サービスの質的向上の促進</w:t>
      </w:r>
    </w:p>
    <w:p>
      <w:pPr>
        <w:pStyle w:val="0"/>
        <w:ind w:left="886" w:leftChars="300" w:hanging="214" w:hangingChars="100"/>
        <w:rPr>
          <w:rFonts w:hint="default"/>
          <w:sz w:val="21"/>
        </w:rPr>
      </w:pPr>
      <w:r>
        <w:rPr>
          <w:rFonts w:hint="eastAsia"/>
          <w:sz w:val="21"/>
        </w:rPr>
        <w:t>・障害福祉サービスの質の向上を目的とした情報交換や学習会等の実施を自立支援協議会等と連携し取り組みます。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⑥地域生活支援拠点の整備充実</w:t>
      </w:r>
    </w:p>
    <w:p>
      <w:pPr>
        <w:pStyle w:val="0"/>
        <w:ind w:left="886" w:leftChars="300" w:hanging="214" w:hangingChars="100"/>
        <w:rPr>
          <w:rFonts w:hint="default"/>
          <w:sz w:val="21"/>
        </w:rPr>
      </w:pPr>
      <w:r>
        <w:rPr>
          <w:rFonts w:hint="eastAsia"/>
          <w:sz w:val="21"/>
        </w:rPr>
        <w:t>・地域生活支援拠点の整備に向けた取組を推進するため、引き続き専門部会を活用しながら関係機関と協議を進めていきます。</w:t>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widowControl w:val="1"/>
        <w:jc w:val="left"/>
        <w:rPr>
          <w:rFonts w:hint="default"/>
          <w:sz w:val="21"/>
        </w:rPr>
      </w:pPr>
      <w:r>
        <w:rPr>
          <w:rFonts w:hint="default"/>
          <w:sz w:val="21"/>
        </w:rPr>
        <w:br w:type="page"/>
      </w:r>
    </w:p>
    <w:p>
      <w:pPr>
        <w:pStyle w:val="21"/>
        <w:spacing w:after="111" w:afterLines="0" w:afterAutospacing="0"/>
        <w:rPr>
          <w:rFonts w:hint="default"/>
        </w:rPr>
      </w:pPr>
      <w:bookmarkStart w:id="139" w:name="_Toc154411485"/>
      <w:r>
        <w:rPr>
          <w:rFonts w:hint="eastAsia"/>
        </w:rPr>
        <w:t>（２）障がい児支援の充実</w:t>
      </w:r>
      <w:bookmarkEnd w:id="139"/>
    </w:p>
    <w:p>
      <w:pPr>
        <w:pStyle w:val="72"/>
        <w:ind w:left="224"/>
        <w:rPr>
          <w:rFonts w:hint="default"/>
        </w:rPr>
      </w:pPr>
      <w:r>
        <w:rPr>
          <w:rFonts w:hint="eastAsia"/>
        </w:rPr>
        <w:t>【現状と課題】</w:t>
      </w:r>
    </w:p>
    <w:p>
      <w:pPr>
        <w:pStyle w:val="74"/>
        <w:ind w:left="662" w:hanging="214"/>
        <w:rPr>
          <w:rFonts w:hint="default"/>
          <w:color w:val="auto"/>
          <w:sz w:val="22"/>
        </w:rPr>
      </w:pPr>
      <w:r>
        <w:rPr>
          <w:rFonts w:hint="default"/>
          <w:color w:val="auto"/>
        </w:rPr>
        <w:t>►</w:t>
      </w:r>
      <w:r>
        <w:rPr>
          <w:rFonts w:hint="eastAsia"/>
          <w:color w:val="auto"/>
        </w:rPr>
        <w:t>障がい児支援</w:t>
      </w:r>
    </w:p>
    <w:p>
      <w:pPr>
        <w:pStyle w:val="0"/>
        <w:ind w:left="774" w:leftChars="250" w:hanging="214" w:hangingChars="100"/>
        <w:rPr>
          <w:rFonts w:hint="default"/>
          <w:sz w:val="21"/>
        </w:rPr>
      </w:pPr>
      <w:r>
        <w:rPr>
          <w:rFonts w:hint="eastAsia"/>
          <w:sz w:val="21"/>
        </w:rPr>
        <w:t>○障がい児の支援においては、発達障がいに関する認知度が高まっており、早い段階からの療育に関心を持つ保護者が増え、障がい児の障害福祉サービス利用ニーズが高まっています。町内に児童通所支援事業所も増え身近な環境で療育サービスの利用ができる環境も整い、障がい児や保護者をサポートする体制が充実してきています。</w:t>
      </w:r>
    </w:p>
    <w:p>
      <w:pPr>
        <w:pStyle w:val="0"/>
        <w:ind w:left="774" w:leftChars="250" w:hanging="214" w:hangingChars="100"/>
        <w:rPr>
          <w:rFonts w:hint="default"/>
          <w:sz w:val="21"/>
        </w:rPr>
      </w:pPr>
      <w:bookmarkStart w:id="140" w:name="_Hlk63008123"/>
      <w:r>
        <w:rPr>
          <w:rFonts w:hint="eastAsia"/>
          <w:sz w:val="21"/>
        </w:rPr>
        <w:t>○児童発達支援センターの機能を有する町内事業所と連携し、発達が気になる子の保護者向けの支援として、親子通園事業やペアレント・プログラム事業を実施しました。また、町内の公立・認可保育所の保育士への支援として、発達が気になる子について専門員が巡回訪問を行い、関わり方や環境づくりに関する助言を行う事業を実施しました。</w:t>
      </w:r>
    </w:p>
    <w:p>
      <w:pPr>
        <w:pStyle w:val="0"/>
        <w:ind w:left="774" w:leftChars="250" w:hanging="214" w:hangingChars="100"/>
        <w:rPr>
          <w:rFonts w:hint="default"/>
          <w:sz w:val="21"/>
        </w:rPr>
      </w:pPr>
      <w:bookmarkEnd w:id="140"/>
    </w:p>
    <w:p>
      <w:pPr>
        <w:pStyle w:val="74"/>
        <w:ind w:left="662" w:hanging="214"/>
        <w:rPr>
          <w:rFonts w:hint="default"/>
          <w:color w:val="auto"/>
        </w:rPr>
      </w:pPr>
      <w:r>
        <w:rPr>
          <w:rFonts w:hint="default"/>
          <w:color w:val="auto"/>
        </w:rPr>
        <w:t>►</w:t>
      </w:r>
      <w:r>
        <w:rPr>
          <w:rFonts w:hint="eastAsia"/>
          <w:color w:val="auto"/>
        </w:rPr>
        <w:t>主に</w:t>
      </w:r>
      <w:r>
        <w:rPr>
          <w:rFonts w:hint="eastAsia"/>
          <w:color w:val="auto"/>
          <w:sz w:val="22"/>
          <w:vertAlign w:val="superscript"/>
        </w:rPr>
        <w:t>※</w:t>
      </w:r>
      <w:r>
        <w:rPr>
          <w:rFonts w:hint="eastAsia"/>
          <w:color w:val="auto"/>
        </w:rPr>
        <w:t>重症心身障がい児を支援する通所支援事業所</w:t>
      </w:r>
    </w:p>
    <w:p>
      <w:pPr>
        <w:pStyle w:val="0"/>
        <w:ind w:left="774" w:leftChars="250" w:hanging="214" w:hangingChars="100"/>
        <w:rPr>
          <w:rFonts w:hint="default"/>
          <w:sz w:val="21"/>
        </w:rPr>
      </w:pPr>
      <w:r>
        <w:rPr>
          <w:rFonts w:hint="eastAsia"/>
          <w:sz w:val="21"/>
        </w:rPr>
        <w:t>○町内に、重症心身障がい児を支援する通所支援事業所が２か</w:t>
      </w:r>
      <w:r>
        <w:rPr>
          <w:rFonts w:hint="default"/>
          <w:sz w:val="21"/>
        </w:rPr>
        <w:t>所開設してい</w:t>
      </w:r>
      <w:r>
        <w:rPr>
          <w:rFonts w:hint="eastAsia"/>
          <w:sz w:val="21"/>
        </w:rPr>
        <w:t>ます</w:t>
      </w:r>
      <w:r>
        <w:rPr>
          <w:rFonts w:hint="default"/>
          <w:sz w:val="21"/>
        </w:rPr>
        <w:t>。身近な地域で重症心身障がい児が療育を受けられる体制があ</w:t>
      </w:r>
      <w:r>
        <w:rPr>
          <w:rFonts w:hint="eastAsia"/>
          <w:sz w:val="21"/>
        </w:rPr>
        <w:t>るため、サービスの周知広報を行い、利用を促す必要があります。</w:t>
      </w:r>
    </w:p>
    <w:p>
      <w:pPr>
        <w:pStyle w:val="0"/>
        <w:ind w:left="774" w:leftChars="250" w:hanging="214" w:hangingChars="100"/>
        <w:rPr>
          <w:rFonts w:hint="default"/>
          <w:sz w:val="21"/>
        </w:rPr>
      </w:pPr>
    </w:p>
    <w:p>
      <w:pPr>
        <w:pStyle w:val="74"/>
        <w:ind w:left="662" w:hanging="214"/>
        <w:rPr>
          <w:rFonts w:hint="default"/>
          <w:color w:val="auto"/>
          <w:sz w:val="22"/>
        </w:rPr>
      </w:pPr>
      <w:r>
        <w:rPr>
          <w:rFonts w:hint="default"/>
          <w:color w:val="auto"/>
        </w:rPr>
        <w:t>►</w:t>
      </w:r>
      <w:r>
        <w:rPr>
          <w:rFonts w:hint="eastAsia"/>
          <w:color w:val="auto"/>
        </w:rPr>
        <w:t>医療的ケア児</w:t>
      </w:r>
    </w:p>
    <w:p>
      <w:pPr>
        <w:pStyle w:val="0"/>
        <w:ind w:left="774" w:leftChars="250" w:hanging="214" w:hangingChars="100"/>
        <w:rPr>
          <w:rFonts w:hint="default"/>
          <w:sz w:val="21"/>
        </w:rPr>
      </w:pPr>
      <w:r>
        <w:rPr>
          <w:rFonts w:hint="eastAsia"/>
          <w:sz w:val="21"/>
        </w:rPr>
        <w:t>○医療的ケア児の個別支援から見えてきた災害時の避難に関する課題については、関係機関と協議しながら体制づくりや課題整理に取り組みました。</w:t>
      </w:r>
    </w:p>
    <w:p>
      <w:pPr>
        <w:pStyle w:val="0"/>
        <w:ind w:left="774" w:leftChars="250" w:hanging="214" w:hangingChars="100"/>
        <w:rPr>
          <w:rFonts w:hint="default"/>
          <w:sz w:val="21"/>
        </w:rPr>
      </w:pPr>
      <w:r>
        <w:rPr>
          <w:rFonts w:hint="eastAsia"/>
          <w:sz w:val="21"/>
        </w:rPr>
        <w:t>○医療的ケア児コーディネーターの配置と役割整理が課題となっています。</w:t>
      </w: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spacing w:line="0" w:lineRule="atLeast"/>
        <w:ind w:left="774" w:leftChars="250" w:hanging="214" w:hangingChars="100"/>
        <w:rPr>
          <w:rFonts w:hint="default"/>
          <w:sz w:val="21"/>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76"/>
              <w:spacing w:before="74" w:beforeLines="0" w:beforeAutospacing="0"/>
              <w:ind w:left="224"/>
              <w:rPr>
                <w:rFonts w:hint="default"/>
                <w:color w:val="auto"/>
              </w:rPr>
            </w:pPr>
            <w:r>
              <w:rPr>
                <w:rFonts w:hint="eastAsia"/>
                <w:color w:val="auto"/>
              </w:rPr>
              <w:t>※</w:t>
            </w:r>
            <w:r>
              <w:rPr>
                <w:rFonts w:hint="eastAsia"/>
                <w:color w:val="auto"/>
              </w:rPr>
              <w:t xml:space="preserve"> </w:t>
            </w:r>
            <w:r>
              <w:rPr>
                <w:rFonts w:hint="eastAsia"/>
                <w:color w:val="auto"/>
              </w:rPr>
              <w:t>重症心身障がい児</w:t>
            </w:r>
          </w:p>
          <w:p>
            <w:pPr>
              <w:pStyle w:val="75"/>
              <w:ind w:left="448" w:firstLine="204"/>
              <w:rPr>
                <w:rFonts w:hint="default"/>
                <w:color w:val="auto"/>
              </w:rPr>
            </w:pPr>
            <w:r>
              <w:rPr>
                <w:rFonts w:hint="eastAsia"/>
                <w:color w:val="auto"/>
              </w:rPr>
              <w:t>重度の肢体不自由と重度の知的障がいとが重複した状態を重症心身障がいといい、その状態にある子どもを重症心身障がい児という。さらに成人した重症心身障がい児を含めて重症心身障がい児</w:t>
            </w:r>
            <w:r>
              <w:rPr>
                <w:rFonts w:hint="eastAsia"/>
                <w:color w:val="auto"/>
              </w:rPr>
              <w:t>(</w:t>
            </w:r>
            <w:r>
              <w:rPr>
                <w:rFonts w:hint="eastAsia"/>
                <w:color w:val="auto"/>
              </w:rPr>
              <w:t>者</w:t>
            </w:r>
            <w:r>
              <w:rPr>
                <w:rFonts w:hint="eastAsia"/>
                <w:color w:val="auto"/>
              </w:rPr>
              <w:t>)</w:t>
            </w:r>
            <w:r>
              <w:rPr>
                <w:rFonts w:hint="eastAsia"/>
                <w:color w:val="auto"/>
              </w:rPr>
              <w:t>と呼ぶことに定めている。これは、医学的診断名ではなく、児童福祉での行政上の措置を行うための定義</w:t>
            </w:r>
            <w:r>
              <w:rPr>
                <w:rFonts w:hint="eastAsia"/>
                <w:color w:val="auto"/>
              </w:rPr>
              <w:t>(</w:t>
            </w:r>
            <w:r>
              <w:rPr>
                <w:rFonts w:hint="eastAsia"/>
                <w:color w:val="auto"/>
              </w:rPr>
              <w:t>呼び方</w:t>
            </w:r>
            <w:r>
              <w:rPr>
                <w:rFonts w:hint="eastAsia"/>
                <w:color w:val="auto"/>
              </w:rPr>
              <w:t>)</w:t>
            </w:r>
            <w:r>
              <w:rPr>
                <w:rFonts w:hint="eastAsia"/>
                <w:color w:val="auto"/>
              </w:rPr>
              <w:t>です。</w:t>
            </w:r>
          </w:p>
        </w:tc>
      </w:tr>
    </w:tbl>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45"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205"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06"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7"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8"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35;" coordsize="6044565,219710" coordorigin="0,0" o:spid="_x0000_s1205" o:allowincell="t" o:allowoverlap="t">
                <v:roundrect id="今後の取り組み_四角（灰）" style="height:219710;width:6044565;top:0;left:0;position:absolute;" o:spid="_x0000_s1206"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07"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08"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ind w:left="784" w:leftChars="350" w:firstLine="214" w:firstLineChars="100"/>
        <w:rPr>
          <w:rFonts w:hint="default"/>
          <w:sz w:val="21"/>
        </w:rPr>
      </w:pPr>
      <w:r>
        <w:rPr>
          <w:rFonts w:hint="eastAsia"/>
          <w:sz w:val="21"/>
        </w:rPr>
        <w:t>障がいのある子や発達が気になる子の健やかな発達支援を図るため、保健、</w:t>
      </w:r>
      <w:r>
        <w:rPr>
          <w:rFonts w:hint="default"/>
          <w:sz w:val="21"/>
        </w:rPr>
        <w:t>医療、障害福祉、保育、教育</w:t>
      </w:r>
      <w:r>
        <w:rPr>
          <w:rFonts w:hint="eastAsia"/>
          <w:sz w:val="21"/>
        </w:rPr>
        <w:t>等の関係機関が連携し</w:t>
      </w:r>
      <w:r>
        <w:rPr>
          <w:rFonts w:hint="default"/>
          <w:sz w:val="21"/>
        </w:rPr>
        <w:t>、</w:t>
      </w:r>
      <w:r>
        <w:rPr>
          <w:rFonts w:hint="eastAsia"/>
          <w:sz w:val="21"/>
        </w:rPr>
        <w:t>障がい児や発達が気になる子及びその家族に対して切れ目のない支援を提供する体制が必要です。地域の実情に即した障害児通所支援等のサービス提供体制の確保や、障がいの有無にかかわらず、全ての児童がともに成長できるような体制整備の推進、医療的ケア児に対する支援体制の充実等、障がい児支援体制の拡充に取り組みます。</w:t>
      </w:r>
    </w:p>
    <w:p>
      <w:pPr>
        <w:pStyle w:val="0"/>
        <w:ind w:left="769" w:leftChars="200" w:hanging="321" w:hangingChars="150"/>
        <w:rPr>
          <w:rFonts w:hint="default"/>
          <w:sz w:val="21"/>
        </w:rPr>
      </w:pPr>
    </w:p>
    <w:p>
      <w:pPr>
        <w:pStyle w:val="73"/>
        <w:ind w:left="672" w:hanging="224"/>
        <w:rPr>
          <w:rFonts w:hint="default"/>
          <w:color w:val="auto"/>
        </w:rPr>
      </w:pPr>
      <w:r>
        <w:rPr>
          <w:rFonts w:hint="eastAsia"/>
          <w:color w:val="auto"/>
        </w:rPr>
        <w:t>①障がい児支援の充実</w:t>
      </w:r>
    </w:p>
    <w:p>
      <w:pPr>
        <w:pStyle w:val="0"/>
        <w:ind w:left="886" w:leftChars="300" w:hanging="214" w:hangingChars="100"/>
        <w:rPr>
          <w:rFonts w:hint="default"/>
          <w:sz w:val="21"/>
        </w:rPr>
      </w:pPr>
      <w:r>
        <w:rPr>
          <w:rFonts w:hint="eastAsia"/>
          <w:sz w:val="21"/>
        </w:rPr>
        <w:t>・障がい児及びその家族に対する支援について、ニーズに応じて身近な場所でサービスを提供できるよう、障害福祉サービス事業所と連携し、障害児通所支援等サービスの提供体制の確保に取り組みます。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②障害児通所支援の質の向上</w:t>
      </w:r>
    </w:p>
    <w:p>
      <w:pPr>
        <w:pStyle w:val="0"/>
        <w:ind w:left="886" w:leftChars="300" w:hanging="214" w:hangingChars="100"/>
        <w:rPr>
          <w:rFonts w:hint="default"/>
          <w:sz w:val="21"/>
        </w:rPr>
      </w:pPr>
      <w:r>
        <w:rPr>
          <w:rFonts w:hint="eastAsia"/>
          <w:sz w:val="21"/>
        </w:rPr>
        <w:t>・障害児通所支援の質の向上を目的とした情報交換や学習会等の実施を、自立支援協議会等と連携し取り組みます。</w:t>
      </w:r>
    </w:p>
    <w:p>
      <w:pPr>
        <w:pStyle w:val="0"/>
        <w:ind w:left="509" w:leftChars="227"/>
        <w:rPr>
          <w:rFonts w:hint="default"/>
          <w:sz w:val="21"/>
        </w:rPr>
      </w:pPr>
    </w:p>
    <w:p>
      <w:pPr>
        <w:pStyle w:val="73"/>
        <w:ind w:left="672" w:hanging="224"/>
        <w:rPr>
          <w:rFonts w:hint="default"/>
          <w:color w:val="auto"/>
        </w:rPr>
      </w:pPr>
      <w:r>
        <w:rPr>
          <w:rFonts w:hint="eastAsia"/>
          <w:color w:val="auto"/>
        </w:rPr>
        <w:t>③</w:t>
      </w:r>
      <w:r>
        <w:rPr>
          <w:rFonts w:hint="eastAsia"/>
          <w:color w:val="auto"/>
          <w:spacing w:val="-4"/>
          <w:w w:val="93"/>
        </w:rPr>
        <w:t>児童発達支援センターの</w:t>
      </w:r>
      <w:bookmarkStart w:id="141" w:name="_Hlk156134676"/>
      <w:r>
        <w:rPr>
          <w:rFonts w:hint="eastAsia"/>
          <w:color w:val="auto"/>
          <w:spacing w:val="-4"/>
          <w:w w:val="93"/>
        </w:rPr>
        <w:t>機能確保</w:t>
      </w:r>
      <w:r>
        <w:rPr>
          <w:rFonts w:hint="default"/>
          <w:color w:val="auto"/>
          <w:spacing w:val="-4"/>
          <w:w w:val="93"/>
        </w:rPr>
        <w:t>及び障</w:t>
      </w:r>
      <w:r>
        <w:rPr>
          <w:rFonts w:hint="eastAsia"/>
          <w:color w:val="auto"/>
          <w:spacing w:val="-4"/>
          <w:w w:val="93"/>
        </w:rPr>
        <w:t>がい</w:t>
      </w:r>
      <w:r>
        <w:rPr>
          <w:rFonts w:hint="default"/>
          <w:color w:val="auto"/>
          <w:spacing w:val="-4"/>
          <w:w w:val="93"/>
        </w:rPr>
        <w:t>児の地域社会への参加・包容</w:t>
      </w:r>
      <w:r>
        <w:rPr>
          <w:rFonts w:hint="default"/>
          <w:color w:val="auto"/>
          <w:spacing w:val="-4"/>
          <w:w w:val="93"/>
        </w:rPr>
        <w:t>(</w:t>
      </w:r>
      <w:r>
        <w:rPr>
          <w:rFonts w:hint="default"/>
          <w:color w:val="auto"/>
          <w:spacing w:val="-4"/>
          <w:w w:val="93"/>
        </w:rPr>
        <w:t>インクルージョン</w:t>
      </w:r>
      <w:r>
        <w:rPr>
          <w:rFonts w:hint="default"/>
          <w:color w:val="auto"/>
          <w:spacing w:val="-4"/>
          <w:w w:val="93"/>
        </w:rPr>
        <w:t>)</w:t>
      </w:r>
      <w:r>
        <w:rPr>
          <w:rFonts w:hint="default"/>
          <w:color w:val="auto"/>
          <w:spacing w:val="-4"/>
          <w:w w:val="93"/>
        </w:rPr>
        <w:t>の推進</w:t>
      </w:r>
    </w:p>
    <w:p>
      <w:pPr>
        <w:pStyle w:val="0"/>
        <w:ind w:left="886" w:leftChars="300" w:hanging="214" w:hangingChars="100"/>
        <w:rPr>
          <w:rFonts w:hint="default"/>
          <w:sz w:val="21"/>
        </w:rPr>
      </w:pPr>
      <w:bookmarkStart w:id="142" w:name="_Hlk156082432"/>
      <w:r>
        <w:rPr>
          <w:rFonts w:hint="eastAsia"/>
          <w:sz w:val="21"/>
        </w:rPr>
        <w:t>・障がい児や発達が気になる子及びその家族が住みやすい地域基盤を整えるため、保健、保育、教育、福祉等の関係機関と児童発達支援センターの機能を有する町内事業所と連携し、児童発達支援センターの機能の確保に向けて取り組みます。</w:t>
      </w:r>
    </w:p>
    <w:p>
      <w:pPr>
        <w:pStyle w:val="0"/>
        <w:ind w:left="886" w:leftChars="300" w:hanging="214" w:hangingChars="100"/>
        <w:rPr>
          <w:rFonts w:hint="default"/>
          <w:sz w:val="21"/>
        </w:rPr>
      </w:pPr>
      <w:bookmarkEnd w:id="142"/>
      <w:r>
        <w:rPr>
          <w:rFonts w:hint="eastAsia"/>
          <w:sz w:val="21"/>
        </w:rPr>
        <w:t>・専門職による</w:t>
      </w:r>
      <w:r>
        <w:rPr>
          <w:rFonts w:hint="default"/>
          <w:sz w:val="21"/>
        </w:rPr>
        <w:t>巡回</w:t>
      </w:r>
      <w:r>
        <w:rPr>
          <w:rFonts w:hint="eastAsia"/>
          <w:sz w:val="21"/>
        </w:rPr>
        <w:t>訪問</w:t>
      </w:r>
      <w:r>
        <w:rPr>
          <w:rFonts w:hint="default"/>
          <w:sz w:val="21"/>
        </w:rPr>
        <w:t>や研修等を</w:t>
      </w:r>
      <w:r>
        <w:rPr>
          <w:rFonts w:hint="eastAsia"/>
          <w:sz w:val="21"/>
        </w:rPr>
        <w:t>通して</w:t>
      </w:r>
      <w:r>
        <w:rPr>
          <w:rFonts w:hint="default"/>
          <w:sz w:val="21"/>
        </w:rPr>
        <w:t>、</w:t>
      </w:r>
      <w:r>
        <w:rPr>
          <w:rFonts w:hint="eastAsia"/>
          <w:sz w:val="21"/>
        </w:rPr>
        <w:t>保育・</w:t>
      </w:r>
      <w:r>
        <w:rPr>
          <w:rFonts w:hint="default"/>
          <w:sz w:val="21"/>
        </w:rPr>
        <w:t>教育環境の充実を図り、障</w:t>
      </w:r>
      <w:r>
        <w:rPr>
          <w:rFonts w:hint="eastAsia"/>
          <w:sz w:val="21"/>
        </w:rPr>
        <w:t>がい</w:t>
      </w:r>
      <w:r>
        <w:rPr>
          <w:rFonts w:hint="default"/>
          <w:sz w:val="21"/>
        </w:rPr>
        <w:t>のある子</w:t>
      </w:r>
      <w:r>
        <w:rPr>
          <w:rFonts w:hint="eastAsia"/>
          <w:sz w:val="21"/>
        </w:rPr>
        <w:t>や発達が気になる子</w:t>
      </w:r>
      <w:r>
        <w:rPr>
          <w:rFonts w:hint="default"/>
          <w:sz w:val="21"/>
        </w:rPr>
        <w:t>が受け入れられる取組等を支援することで、インクルージョンを推進します。</w:t>
      </w:r>
    </w:p>
    <w:p>
      <w:pPr>
        <w:pStyle w:val="0"/>
        <w:ind w:left="886" w:leftChars="300" w:hanging="214" w:hangingChars="100"/>
        <w:rPr>
          <w:rFonts w:hint="default"/>
          <w:sz w:val="21"/>
        </w:rPr>
      </w:pPr>
      <w:bookmarkEnd w:id="141"/>
    </w:p>
    <w:p>
      <w:pPr>
        <w:pStyle w:val="73"/>
        <w:ind w:left="672" w:hanging="224"/>
        <w:rPr>
          <w:rFonts w:hint="default"/>
          <w:color w:val="auto"/>
        </w:rPr>
      </w:pPr>
      <w:r>
        <w:rPr>
          <w:rFonts w:hint="eastAsia"/>
          <w:color w:val="auto"/>
        </w:rPr>
        <w:t>④主に重症心身障がい児を支援する通所支援事業所の充実</w:t>
      </w:r>
    </w:p>
    <w:p>
      <w:pPr>
        <w:pStyle w:val="0"/>
        <w:ind w:left="886" w:leftChars="300" w:hanging="214" w:hangingChars="100"/>
        <w:rPr>
          <w:rFonts w:hint="default"/>
          <w:sz w:val="21"/>
        </w:rPr>
      </w:pPr>
      <w:r>
        <w:rPr>
          <w:rFonts w:hint="eastAsia"/>
          <w:sz w:val="21"/>
        </w:rPr>
        <w:t>・重度心身障がい児が身近な地域で支援を受けられるよう、主に重症心身障がい児を支援する児童発達支援事業所及び放課後等デイサービス事業所と連携した事業の充実に取り組みます。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⑤医療的ケア児支援の充実</w:t>
      </w:r>
    </w:p>
    <w:p>
      <w:pPr>
        <w:pStyle w:val="0"/>
        <w:ind w:left="886" w:leftChars="300" w:hanging="214" w:hangingChars="100"/>
        <w:rPr>
          <w:rFonts w:hint="default"/>
          <w:sz w:val="21"/>
        </w:rPr>
      </w:pPr>
      <w:r>
        <w:rPr>
          <w:rFonts w:hint="eastAsia"/>
          <w:sz w:val="21"/>
        </w:rPr>
        <w:t>・医療的ケア児支援のための協議の場を継続的に実施し、保健、</w:t>
      </w:r>
      <w:r>
        <w:rPr>
          <w:rFonts w:hint="default"/>
          <w:sz w:val="21"/>
        </w:rPr>
        <w:t>医療、障害福祉、保育、教育</w:t>
      </w:r>
      <w:r>
        <w:rPr>
          <w:rFonts w:hint="eastAsia"/>
          <w:sz w:val="21"/>
        </w:rPr>
        <w:t>等関係機関と協議し、支援体制の充実に向けて取り組みます。また、医療的ケア児等コーディネーター配置に努めます。</w:t>
      </w:r>
    </w:p>
    <w:p>
      <w:pPr>
        <w:pStyle w:val="0"/>
        <w:widowControl w:val="1"/>
        <w:jc w:val="left"/>
        <w:rPr>
          <w:rFonts w:hint="default"/>
          <w:sz w:val="21"/>
        </w:rPr>
      </w:pPr>
      <w:r>
        <w:rPr>
          <w:rFonts w:hint="default"/>
          <w:sz w:val="21"/>
        </w:rPr>
        <w:br w:type="page"/>
      </w:r>
    </w:p>
    <w:p>
      <w:pPr>
        <w:pStyle w:val="21"/>
        <w:spacing w:after="111" w:afterLines="0" w:afterAutospacing="0"/>
        <w:rPr>
          <w:rFonts w:hint="default"/>
        </w:rPr>
      </w:pPr>
      <w:bookmarkStart w:id="143" w:name="_Toc154411486"/>
      <w:r>
        <w:rPr>
          <w:rFonts w:hint="eastAsia"/>
        </w:rPr>
        <w:t>（３）医療費等経済的支援の推進</w:t>
      </w:r>
      <w:bookmarkEnd w:id="143"/>
    </w:p>
    <w:p>
      <w:pPr>
        <w:pStyle w:val="72"/>
        <w:ind w:left="224"/>
        <w:rPr>
          <w:rFonts w:hint="default"/>
        </w:rPr>
      </w:pPr>
      <w:r>
        <w:rPr>
          <w:rFonts w:hint="eastAsia"/>
        </w:rPr>
        <w:t>【現状と課題】</w:t>
      </w:r>
    </w:p>
    <w:p>
      <w:pPr>
        <w:pStyle w:val="0"/>
        <w:ind w:left="662" w:leftChars="200" w:hanging="214" w:hangingChars="100"/>
        <w:rPr>
          <w:rFonts w:hint="default"/>
          <w:sz w:val="21"/>
        </w:rPr>
      </w:pPr>
      <w:r>
        <w:rPr>
          <w:rFonts w:hint="eastAsia"/>
          <w:sz w:val="21"/>
        </w:rPr>
        <w:t>◯｢自立支援医療制度｣に基づき、育成医療、更生医療、精神通院医療について、医療にかかる自己負担額の軽減を図っています。窓口手続時に際しては、制度について分かりやすい説明に努めています。</w:t>
      </w:r>
    </w:p>
    <w:p>
      <w:pPr>
        <w:pStyle w:val="0"/>
        <w:ind w:left="662" w:leftChars="200" w:hanging="214" w:hangingChars="100"/>
        <w:rPr>
          <w:rFonts w:hint="default"/>
          <w:sz w:val="21"/>
        </w:rPr>
      </w:pPr>
      <w:r>
        <w:rPr>
          <w:rFonts w:hint="eastAsia"/>
          <w:sz w:val="21"/>
        </w:rPr>
        <w:t>○障害者総合支援法に基づき、補装具の購入又は修理に要した費用を支給するとともに、サービスの周知と適切な利用を促しました。また、補装具製作に関する利用者からの相談についても更生相談所に助言をいただきながら適切に対応しています。</w:t>
      </w:r>
    </w:p>
    <w:p>
      <w:pPr>
        <w:pStyle w:val="0"/>
        <w:ind w:left="662" w:leftChars="200" w:hanging="214" w:hangingChars="100"/>
        <w:rPr>
          <w:rFonts w:hint="default"/>
          <w:sz w:val="21"/>
        </w:rPr>
      </w:pPr>
      <w:r>
        <w:rPr>
          <w:rFonts w:hint="eastAsia"/>
          <w:sz w:val="21"/>
        </w:rPr>
        <w:t>○広報等を活用し、各種手当等の制度周知に取り組みました。</w:t>
      </w:r>
    </w:p>
    <w:p>
      <w:pPr>
        <w:pStyle w:val="0"/>
        <w:ind w:left="662" w:leftChars="200" w:hanging="214" w:hangingChars="100"/>
        <w:rPr>
          <w:rFonts w:hint="default"/>
          <w:sz w:val="21"/>
        </w:rPr>
      </w:pPr>
      <w:r>
        <w:rPr>
          <w:rFonts w:hint="eastAsia"/>
          <w:sz w:val="21"/>
        </w:rPr>
        <w:t>○重度心身障がい者</w:t>
      </w:r>
      <w:r>
        <w:rPr>
          <w:rFonts w:hint="eastAsia"/>
          <w:sz w:val="21"/>
        </w:rPr>
        <w:t>(</w:t>
      </w:r>
      <w:r>
        <w:rPr>
          <w:rFonts w:hint="eastAsia"/>
          <w:sz w:val="21"/>
        </w:rPr>
        <w:t>児</w:t>
      </w:r>
      <w:r>
        <w:rPr>
          <w:rFonts w:hint="eastAsia"/>
          <w:sz w:val="21"/>
        </w:rPr>
        <w:t>)</w:t>
      </w:r>
      <w:r>
        <w:rPr>
          <w:rFonts w:hint="eastAsia"/>
          <w:sz w:val="21"/>
        </w:rPr>
        <w:t>の経済的負担を軽減するため、保険診療による医療費の自己負担分の助成を行っています。</w:t>
      </w:r>
    </w:p>
    <w:p>
      <w:pPr>
        <w:pStyle w:val="0"/>
        <w:ind w:left="662" w:leftChars="200" w:hanging="214" w:hangingChars="100"/>
        <w:rPr>
          <w:rFonts w:hint="default"/>
          <w:sz w:val="21"/>
        </w:rPr>
      </w:pP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49"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209"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10"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1"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2"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31;" coordsize="6044565,219710" coordorigin="0,0" o:spid="_x0000_s1209" o:allowincell="t" o:allowoverlap="t">
                <v:roundrect id="今後の取り組み_四角（灰）" style="height:219710;width:6044565;top:0;left:0;position:absolute;" o:spid="_x0000_s1210"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11"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12"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障がい者・障がい児の適切な医療受診と自立生活を支援するために、医療費や補装具購入費にかかる自己負担額の軽減を図るとともに、介護の経済的負担感を軽減するために手当の支給手続を行います。</w:t>
      </w:r>
    </w:p>
    <w:p>
      <w:pPr>
        <w:pStyle w:val="0"/>
        <w:spacing w:line="360" w:lineRule="exact"/>
        <w:ind w:left="774" w:leftChars="250" w:hanging="214" w:hangingChars="100"/>
        <w:rPr>
          <w:rFonts w:hint="default"/>
          <w:sz w:val="21"/>
        </w:rPr>
      </w:pPr>
    </w:p>
    <w:p>
      <w:pPr>
        <w:pStyle w:val="73"/>
        <w:ind w:left="672" w:hanging="224"/>
        <w:rPr>
          <w:rFonts w:hint="default"/>
          <w:color w:val="auto"/>
        </w:rPr>
      </w:pPr>
      <w:r>
        <w:rPr>
          <w:rFonts w:hint="eastAsia"/>
          <w:color w:val="auto"/>
        </w:rPr>
        <w:t>①自立支援医療の推進</w:t>
      </w:r>
    </w:p>
    <w:p>
      <w:pPr>
        <w:pStyle w:val="0"/>
        <w:ind w:left="886" w:leftChars="300" w:hanging="214" w:hangingChars="100"/>
        <w:rPr>
          <w:rFonts w:hint="default"/>
          <w:sz w:val="21"/>
        </w:rPr>
      </w:pPr>
      <w:r>
        <w:rPr>
          <w:rFonts w:hint="eastAsia"/>
          <w:sz w:val="21"/>
        </w:rPr>
        <w:t>・｢自立支援医療制度｣に基づき、育成医療、更生医療、精神通院医療について、医療にかかる自己負担額の軽減を図るとともに、制度の周知を図り適切な利用を促します。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②補装具費の支給推進</w:t>
      </w:r>
    </w:p>
    <w:p>
      <w:pPr>
        <w:pStyle w:val="0"/>
        <w:ind w:left="886" w:leftChars="300" w:hanging="214" w:hangingChars="100"/>
        <w:rPr>
          <w:rFonts w:hint="default"/>
          <w:sz w:val="21"/>
        </w:rPr>
      </w:pPr>
      <w:r>
        <w:rPr>
          <w:rFonts w:hint="eastAsia"/>
          <w:sz w:val="21"/>
        </w:rPr>
        <w:t>・障害者総合支援法に基づき、補装具の購入又は修理に要した費用を支給するとともに、サービスの周知と適切な利用を促します。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③手当の支給推進</w:t>
      </w:r>
    </w:p>
    <w:p>
      <w:pPr>
        <w:pStyle w:val="0"/>
        <w:ind w:left="886" w:leftChars="300" w:hanging="214" w:hangingChars="100"/>
        <w:rPr>
          <w:rFonts w:hint="default"/>
          <w:sz w:val="21"/>
        </w:rPr>
      </w:pPr>
      <w:r>
        <w:rPr>
          <w:rFonts w:hint="eastAsia"/>
          <w:sz w:val="21"/>
        </w:rPr>
        <w:t>・介護における経済的な負担軽減を図るために特別児童扶養手当、特別障害者手当、障害児福祉手当の支給手続きを継続します。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④重度心身障がい者</w:t>
      </w:r>
      <w:r>
        <w:rPr>
          <w:rFonts w:hint="eastAsia"/>
          <w:color w:val="auto"/>
        </w:rPr>
        <w:t>(</w:t>
      </w:r>
      <w:r>
        <w:rPr>
          <w:rFonts w:hint="eastAsia"/>
          <w:color w:val="auto"/>
        </w:rPr>
        <w:t>児</w:t>
      </w:r>
      <w:r>
        <w:rPr>
          <w:rFonts w:hint="eastAsia"/>
          <w:color w:val="auto"/>
        </w:rPr>
        <w:t>)</w:t>
      </w:r>
      <w:r>
        <w:rPr>
          <w:rFonts w:hint="eastAsia"/>
          <w:color w:val="auto"/>
        </w:rPr>
        <w:t>医療費助成推進</w:t>
      </w:r>
    </w:p>
    <w:p>
      <w:pPr>
        <w:pStyle w:val="0"/>
        <w:ind w:left="886" w:leftChars="300" w:hanging="214" w:hangingChars="100"/>
        <w:rPr>
          <w:rFonts w:hint="default"/>
          <w:sz w:val="21"/>
        </w:rPr>
      </w:pPr>
      <w:r>
        <w:rPr>
          <w:rFonts w:hint="eastAsia"/>
          <w:sz w:val="21"/>
        </w:rPr>
        <w:t>・重度心身障がい者</w:t>
      </w:r>
      <w:r>
        <w:rPr>
          <w:rFonts w:hint="eastAsia"/>
          <w:sz w:val="21"/>
        </w:rPr>
        <w:t>(</w:t>
      </w:r>
      <w:r>
        <w:rPr>
          <w:rFonts w:hint="eastAsia"/>
          <w:sz w:val="21"/>
        </w:rPr>
        <w:t>児</w:t>
      </w:r>
      <w:r>
        <w:rPr>
          <w:rFonts w:hint="eastAsia"/>
          <w:sz w:val="21"/>
        </w:rPr>
        <w:t>)</w:t>
      </w:r>
      <w:r>
        <w:rPr>
          <w:rFonts w:hint="eastAsia"/>
          <w:sz w:val="21"/>
        </w:rPr>
        <w:t>の経済的負担を軽減するため、保険診療による医療費の自己負担分の助成を継続して行います。</w:t>
      </w:r>
    </w:p>
    <w:p>
      <w:pPr>
        <w:pStyle w:val="0"/>
        <w:widowControl w:val="1"/>
        <w:jc w:val="left"/>
        <w:rPr>
          <w:rFonts w:hint="default"/>
          <w:sz w:val="21"/>
        </w:rPr>
      </w:pPr>
      <w:r>
        <w:rPr>
          <w:rFonts w:hint="default"/>
          <w:sz w:val="21"/>
        </w:rPr>
        <w:br w:type="page"/>
      </w:r>
    </w:p>
    <w:p>
      <w:pPr>
        <w:pStyle w:val="21"/>
        <w:spacing w:after="111" w:afterLines="0" w:afterAutospacing="0"/>
        <w:rPr>
          <w:rFonts w:hint="default"/>
        </w:rPr>
      </w:pPr>
      <w:bookmarkStart w:id="144" w:name="_Toc154411487"/>
      <w:r>
        <w:rPr>
          <w:rFonts w:hint="eastAsia"/>
        </w:rPr>
        <w:t>（４）その他の生活支援の推進</w:t>
      </w:r>
      <w:bookmarkEnd w:id="144"/>
    </w:p>
    <w:p>
      <w:pPr>
        <w:pStyle w:val="72"/>
        <w:ind w:left="224"/>
        <w:rPr>
          <w:rFonts w:hint="default"/>
        </w:rPr>
      </w:pPr>
      <w:r>
        <w:rPr>
          <w:rFonts w:hint="eastAsia"/>
        </w:rPr>
        <w:t>【現状と課題】</w:t>
      </w:r>
    </w:p>
    <w:p>
      <w:pPr>
        <w:pStyle w:val="0"/>
        <w:ind w:left="662" w:leftChars="200" w:hanging="214" w:hangingChars="100"/>
        <w:rPr>
          <w:rFonts w:hint="default"/>
          <w:sz w:val="21"/>
        </w:rPr>
      </w:pPr>
      <w:r>
        <w:rPr>
          <w:rFonts w:hint="eastAsia"/>
          <w:sz w:val="21"/>
        </w:rPr>
        <w:t>◯日常生活用具給付等事業については、必要な方に必要な用具を給付しています。</w:t>
      </w:r>
    </w:p>
    <w:p>
      <w:pPr>
        <w:pStyle w:val="0"/>
        <w:ind w:left="662" w:leftChars="200" w:hanging="214" w:hangingChars="100"/>
        <w:rPr>
          <w:rFonts w:hint="default"/>
          <w:sz w:val="21"/>
        </w:rPr>
      </w:pPr>
      <w:r>
        <w:rPr>
          <w:rFonts w:hint="eastAsia"/>
          <w:sz w:val="21"/>
        </w:rPr>
        <w:t>◯地域活動支援センターについては、町内事業所に委託し、障がい者の創作的活動や生産活動の機会提供を図っています。</w:t>
      </w:r>
    </w:p>
    <w:p>
      <w:pPr>
        <w:pStyle w:val="0"/>
        <w:ind w:left="662" w:leftChars="200" w:hanging="214" w:hangingChars="100"/>
        <w:rPr>
          <w:rFonts w:hint="default"/>
          <w:sz w:val="21"/>
        </w:rPr>
      </w:pPr>
      <w:r>
        <w:rPr>
          <w:rFonts w:hint="eastAsia"/>
          <w:sz w:val="21"/>
        </w:rPr>
        <w:t>○障がい者等の家族の就労支援及び介護の一時的な休息を図るために、放課後等デイサービスや生活介護事業所及び就労訓練事業所に日中一時支援事業を行っています。</w:t>
      </w:r>
    </w:p>
    <w:p>
      <w:pPr>
        <w:pStyle w:val="0"/>
        <w:ind w:left="662" w:leftChars="200" w:hanging="214" w:hangingChars="100"/>
        <w:rPr>
          <w:rFonts w:hint="default"/>
          <w:sz w:val="21"/>
        </w:rPr>
      </w:pPr>
      <w:r>
        <w:rPr>
          <w:rFonts w:hint="eastAsia"/>
          <w:sz w:val="21"/>
        </w:rPr>
        <w:t>◯障がい者の社会参加促進に取り組むことを目的にスポーツ活動を通して交流する事業を毎月１回実施しています。コロナ禍でも感染対策を図りながら、利用者の交流の場の継続に取り組みました。</w:t>
      </w:r>
    </w:p>
    <w:p>
      <w:pPr>
        <w:pStyle w:val="0"/>
        <w:ind w:left="662" w:leftChars="200" w:hanging="214" w:hangingChars="100"/>
        <w:rPr>
          <w:rFonts w:hint="default"/>
          <w:sz w:val="21"/>
        </w:rPr>
      </w:pPr>
      <w:r>
        <w:rPr>
          <w:rFonts w:hint="eastAsia"/>
          <w:sz w:val="21"/>
        </w:rPr>
        <w:t>◯町社会福祉協議会へ事業委託し福祉機器リサイクル事業に取り組んでいます。在宅療養者の生活支援や制度利用までの応急的な支援が図られました。</w:t>
      </w:r>
    </w:p>
    <w:p>
      <w:pPr>
        <w:pStyle w:val="0"/>
        <w:ind w:left="662" w:leftChars="200" w:hanging="214" w:hangingChars="100"/>
        <w:rPr>
          <w:rFonts w:hint="default"/>
          <w:sz w:val="21"/>
        </w:rPr>
      </w:pP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53"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213"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14"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5"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6"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27;" coordsize="6044565,219710" coordorigin="0,0" o:spid="_x0000_s1213" o:allowincell="t" o:allowoverlap="t">
                <v:roundrect id="今後の取り組み_四角（灰）" style="height:219710;width:6044565;top:0;left:0;position:absolute;" o:spid="_x0000_s1214"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15"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16"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障害福祉サービスとともに、地域の障がい者・障がい児の実情やニーズを踏まえ、日常生活の自立や社会参加等を支えるために必要な生活支援に取り組みます。</w:t>
      </w:r>
    </w:p>
    <w:p>
      <w:pPr>
        <w:pStyle w:val="0"/>
        <w:spacing w:line="0" w:lineRule="atLeast"/>
        <w:ind w:left="448" w:leftChars="200" w:firstLine="214" w:firstLineChars="100"/>
        <w:rPr>
          <w:rFonts w:hint="default"/>
          <w:sz w:val="21"/>
        </w:rPr>
      </w:pPr>
    </w:p>
    <w:p>
      <w:pPr>
        <w:pStyle w:val="73"/>
        <w:ind w:left="672" w:hanging="224"/>
        <w:rPr>
          <w:rFonts w:hint="default"/>
          <w:color w:val="auto"/>
        </w:rPr>
      </w:pPr>
      <w:r>
        <w:rPr>
          <w:rFonts w:hint="eastAsia"/>
          <w:color w:val="auto"/>
        </w:rPr>
        <w:t>①日常生活用具給付等事業の推進</w:t>
      </w:r>
    </w:p>
    <w:p>
      <w:pPr>
        <w:pStyle w:val="0"/>
        <w:ind w:left="886" w:leftChars="300" w:hanging="214" w:hangingChars="100"/>
        <w:rPr>
          <w:rFonts w:hint="default"/>
          <w:sz w:val="21"/>
        </w:rPr>
      </w:pPr>
      <w:r>
        <w:rPr>
          <w:rFonts w:hint="eastAsia"/>
          <w:sz w:val="21"/>
        </w:rPr>
        <w:t>・障がい者の日常生活の便宜を図るために、今後も適切な日常生活用具の給付等を行います。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②地域活動支援センター事業の推進</w:t>
      </w:r>
    </w:p>
    <w:p>
      <w:pPr>
        <w:pStyle w:val="0"/>
        <w:ind w:left="886" w:leftChars="300" w:hanging="214" w:hangingChars="100"/>
        <w:rPr>
          <w:rFonts w:hint="default"/>
          <w:sz w:val="21"/>
        </w:rPr>
      </w:pPr>
      <w:r>
        <w:rPr>
          <w:rFonts w:hint="eastAsia"/>
          <w:sz w:val="21"/>
        </w:rPr>
        <w:t>・町内事業所への委託により、障がい者の創作的活動や生産活動等の機会の提供及び地域社会との交流促進などを図り、障がい者の地域生活を支援します。また、事業の周知と利用促進を図ります。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③日中一時支援事業の推進</w:t>
      </w:r>
    </w:p>
    <w:p>
      <w:pPr>
        <w:pStyle w:val="0"/>
        <w:ind w:left="886" w:leftChars="300" w:hanging="214" w:hangingChars="100"/>
        <w:rPr>
          <w:rFonts w:hint="default"/>
          <w:sz w:val="21"/>
        </w:rPr>
      </w:pPr>
      <w:r>
        <w:rPr>
          <w:rFonts w:hint="eastAsia"/>
          <w:sz w:val="21"/>
        </w:rPr>
        <w:t>・障がい者等の家族の就労支援及び介護の一時的な休息を図るために、引き続き日中一時支援事業を実施します。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④社会参加促進事業の推進</w:t>
      </w:r>
    </w:p>
    <w:p>
      <w:pPr>
        <w:pStyle w:val="0"/>
        <w:ind w:left="886" w:leftChars="300" w:hanging="214" w:hangingChars="100"/>
        <w:rPr>
          <w:rFonts w:hint="default"/>
          <w:sz w:val="21"/>
        </w:rPr>
      </w:pPr>
      <w:r>
        <w:rPr>
          <w:rFonts w:hint="eastAsia"/>
          <w:sz w:val="21"/>
        </w:rPr>
        <w:t>・障がい者の交流、余暇活動の質の向上、体力増強等に資するためのレクリエーション活動等を行うことにより、障がい者の社会参加促進に取り組みます。また、事業の周知により、利用者の増加を図り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⑤福祉機器リサイクル事業の推進</w:t>
      </w:r>
    </w:p>
    <w:p>
      <w:pPr>
        <w:pStyle w:val="0"/>
        <w:ind w:left="886" w:leftChars="300" w:hanging="214" w:hangingChars="100"/>
        <w:rPr>
          <w:rFonts w:hint="default"/>
          <w:sz w:val="21"/>
        </w:rPr>
      </w:pPr>
      <w:r>
        <w:rPr>
          <w:rFonts w:hint="eastAsia"/>
          <w:sz w:val="21"/>
        </w:rPr>
        <w:t>・不要になった福祉機器を再利用し、在宅療養者の生活支援や制度利用までの応急的な支援等を行うために、福祉機器リサイクル事業を継続します。</w:t>
      </w:r>
      <w:r>
        <w:rPr>
          <w:rFonts w:hint="default"/>
          <w:sz w:val="21"/>
        </w:rPr>
        <w:br w:type="page"/>
      </w:r>
    </w:p>
    <w:p>
      <w:pPr>
        <w:pStyle w:val="70"/>
        <w:rPr>
          <w:rFonts w:hint="default"/>
        </w:rPr>
      </w:pPr>
      <w:bookmarkStart w:id="145" w:name="_Toc154411488"/>
      <w:bookmarkStart w:id="146" w:name="_Toc162263675"/>
      <w:bookmarkStart w:id="147" w:name="_Toc62831674"/>
      <w:bookmarkStart w:id="148" w:name="_Toc346185257"/>
      <w:bookmarkStart w:id="149" w:name="_Toc416340565"/>
      <w:r>
        <w:rPr>
          <w:rFonts w:hint="eastAsia"/>
        </w:rPr>
        <w:t>基本目標３　住み良い環境と生きがいの持てるまち</w:t>
      </w:r>
      <w:bookmarkEnd w:id="145"/>
      <w:bookmarkEnd w:id="146"/>
      <w:bookmarkEnd w:id="147"/>
    </w:p>
    <w:p>
      <w:pPr>
        <w:pStyle w:val="0"/>
        <w:spacing w:line="160" w:lineRule="exact"/>
        <w:rPr>
          <w:rFonts w:hint="default"/>
        </w:rPr>
      </w:pPr>
      <w:bookmarkStart w:id="150" w:name="_Toc505592296"/>
      <w:r>
        <w:rPr>
          <w:rFonts w:hint="eastAsia" w:ascii="ＭＳ ゴシック" w:hAnsi="ＭＳ ゴシック" w:eastAsia="ＭＳ ゴシック"/>
          <w:sz w:val="32"/>
        </w:rPr>
        <mc:AlternateContent>
          <mc:Choice Requires="wpg">
            <w:drawing>
              <wp:anchor distT="0" distB="0" distL="114300" distR="114300" simplePos="0" relativeHeight="157" behindDoc="1" locked="1" layoutInCell="1" hidden="0" allowOverlap="1">
                <wp:simplePos x="0" y="0"/>
                <wp:positionH relativeFrom="column">
                  <wp:posOffset>607060</wp:posOffset>
                </wp:positionH>
                <wp:positionV relativeFrom="paragraph">
                  <wp:posOffset>-302260</wp:posOffset>
                </wp:positionV>
                <wp:extent cx="5379085" cy="367665"/>
                <wp:effectExtent l="635" t="635" r="5080" b="635"/>
                <wp:wrapNone/>
                <wp:docPr id="1217" name="節の飾り（テキストの背景）"/>
                <a:graphic xmlns:a="http://schemas.openxmlformats.org/drawingml/2006/main">
                  <a:graphicData uri="http://schemas.microsoft.com/office/word/2010/wordprocessingGroup">
                    <wpg:wgp>
                      <wpg:cNvGrpSpPr/>
                      <wpg:grpSpPr>
                        <a:xfrm>
                          <a:off x="0" y="0"/>
                          <a:ext cx="5379085" cy="367665"/>
                          <a:chOff x="-1" y="0"/>
                          <a:chExt cx="5383414" cy="368807"/>
                        </a:xfrm>
                      </wpg:grpSpPr>
                      <wps:wsp>
                        <wps:cNvPr id="1218" name="節（項目）の影"/>
                        <wps:cNvSpPr/>
                        <wps:spPr>
                          <a:xfrm>
                            <a:off x="1276491" y="19050"/>
                            <a:ext cx="4106922" cy="349757"/>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9" name="節（数値）の影"/>
                        <wps:cNvSpPr/>
                        <wps:spPr>
                          <a:xfrm>
                            <a:off x="38099" y="19050"/>
                            <a:ext cx="1152820" cy="349757"/>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20" name="節（項目）"/>
                        <wps:cNvSpPr/>
                        <wps:spPr>
                          <a:xfrm>
                            <a:off x="1238390" y="0"/>
                            <a:ext cx="4120167" cy="32670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21" name="節（数値）"/>
                        <wps:cNvSpPr/>
                        <wps:spPr>
                          <a:xfrm>
                            <a:off x="-1" y="0"/>
                            <a:ext cx="1152820" cy="32630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節の飾り（テキストの背景）" style="mso-wrap-distance-right:9pt;mso-wrap-distance-bottom:0pt;margin-top:-23.8pt;mso-position-vertical-relative:text;mso-position-horizontal-relative:text;position:absolute;height:28.95pt;mso-wrap-distance-top:0pt;width:423.55pt;mso-wrap-distance-left:9pt;margin-left:47.8pt;z-index:-503316323;" coordsize="5383414,368807" coordorigin="-1,0" o:spid="_x0000_s1217" o:allowincell="t" o:allowoverlap="t">
                <v:roundrect id="節（項目）の影" style="height:349757;width:4106922;top:19050;left:1276491;position:absolute;" o:spid="_x0000_s1218" filled="t" fillcolor="#a6a6a6 [2092]" stroked="f" strokecolor="#42709c" strokeweight="1pt" o:spt="2" arcsize="10923f">
                  <v:fill/>
                  <v:stroke linestyle="single" miterlimit="8" endcap="flat" dashstyle="solid"/>
                  <v:textbox style="layout-flow:horizontal;"/>
                  <v:imagedata o:title=""/>
                  <w10:wrap type="none" anchorx="text" anchory="text"/>
                  <w10:anchorlock/>
                </v:roundrect>
                <v:roundrect id="節（数値）の影" style="height:349757;width:1152820;top:19050;left:38099;position:absolute;" o:spid="_x0000_s1219" filled="t" fillcolor="#a6a6a6 [2092]" stroked="f" strokecolor="#42709c" strokeweight="1pt" o:spt="2" arcsize="10923f">
                  <v:fill/>
                  <v:stroke linestyle="single" miterlimit="8" endcap="flat" dashstyle="solid"/>
                  <v:textbox style="layout-flow:horizontal;"/>
                  <v:imagedata o:title=""/>
                  <w10:wrap type="none" anchorx="text" anchory="text"/>
                  <w10:anchorlock/>
                </v:roundrect>
                <v:roundrect id="節（項目）" style="height:326708;width:4120167;top:0;left:1238390;position:absolute;" o:spid="_x0000_s1220" filled="t" fillcolor="#ffffff [3212]" stroked="t" strokecolor="#000000 [3213]" strokeweight="1pt" o:spt="2" arcsize="10923f">
                  <v:fill/>
                  <v:stroke linestyle="single" miterlimit="8" endcap="flat" dashstyle="solid" filltype="solid"/>
                  <v:textbox style="layout-flow:horizontal;"/>
                  <v:imagedata o:title=""/>
                  <w10:wrap type="none" anchorx="text" anchory="text"/>
                  <w10:anchorlock/>
                </v:roundrect>
                <v:roundrect id="節（数値）" style="height:326307;width:1152820;top:0;left:-1;position:absolute;" o:spid="_x0000_s1221" filled="t" fillcolor="#ffffff [3212]" stroked="t" strokecolor="#000000 [3213]" strokeweight="1pt" o:spt="2" arcsize="10923f">
                  <v:fill/>
                  <v:stroke linestyle="single" miterlimit="8" endcap="flat" dashstyle="solid" filltype="solid"/>
                  <v:textbox style="layout-flow:horizontal;"/>
                  <v:imagedata o:title=""/>
                  <w10:wrap type="none" anchorx="text" anchory="text"/>
                  <w10:anchorlock/>
                </v:roundrect>
                <w10:wrap type="none" anchorx="text" anchory="text"/>
                <w10:anchorlock/>
              </v:group>
            </w:pict>
          </mc:Fallback>
        </mc:AlternateContent>
      </w:r>
    </w:p>
    <w:p>
      <w:pPr>
        <w:pStyle w:val="0"/>
        <w:spacing w:line="0" w:lineRule="atLeast"/>
        <w:ind w:left="662" w:leftChars="200" w:hanging="214" w:hangingChars="100"/>
        <w:rPr>
          <w:rFonts w:hint="default"/>
          <w:sz w:val="21"/>
        </w:rPr>
      </w:pPr>
      <w:bookmarkStart w:id="151" w:name="_Toc154411489"/>
      <w:bookmarkStart w:id="152" w:name="_Toc62831675"/>
    </w:p>
    <w:p>
      <w:pPr>
        <w:pStyle w:val="80"/>
        <w:spacing w:after="92" w:afterLines="0" w:afterAutospacing="0"/>
        <w:rPr>
          <w:rFonts w:hint="default"/>
        </w:rPr>
      </w:pPr>
      <w:bookmarkStart w:id="153" w:name="_Toc162263676"/>
      <w:r>
        <w:rPr>
          <w:rFonts w:hint="default"/>
        </w:rPr>
        <w:t>１．生活環境の整備推進</w:t>
      </w:r>
      <w:bookmarkEnd w:id="148"/>
      <w:bookmarkEnd w:id="149"/>
      <w:bookmarkEnd w:id="150"/>
      <w:bookmarkEnd w:id="151"/>
      <w:bookmarkEnd w:id="152"/>
      <w:bookmarkEnd w:id="153"/>
    </w:p>
    <w:p>
      <w:pPr>
        <w:pStyle w:val="21"/>
        <w:spacing w:after="111" w:afterLines="0" w:afterAutospacing="0"/>
        <w:rPr>
          <w:rFonts w:hint="default"/>
        </w:rPr>
      </w:pPr>
      <w:bookmarkStart w:id="154" w:name="_Toc154411490"/>
      <w:r>
        <w:rPr>
          <w:rFonts w:hint="eastAsia"/>
        </w:rPr>
        <w:t>（１）外出・移動支援の推進</w:t>
      </w:r>
      <w:bookmarkEnd w:id="154"/>
    </w:p>
    <w:p>
      <w:pPr>
        <w:pStyle w:val="72"/>
        <w:ind w:left="224"/>
        <w:rPr>
          <w:rFonts w:hint="default"/>
        </w:rPr>
      </w:pPr>
      <w:r>
        <w:rPr>
          <w:rFonts w:hint="eastAsia"/>
        </w:rPr>
        <w:t>【現状と課題】</w:t>
      </w:r>
    </w:p>
    <w:p>
      <w:pPr>
        <w:pStyle w:val="0"/>
        <w:ind w:left="662" w:leftChars="200" w:hanging="214" w:hangingChars="100"/>
        <w:rPr>
          <w:rFonts w:hint="default"/>
          <w:sz w:val="21"/>
        </w:rPr>
      </w:pPr>
      <w:r>
        <w:rPr>
          <w:rFonts w:hint="eastAsia"/>
          <w:sz w:val="21"/>
        </w:rPr>
        <w:t>○津嘉山公園の整備において、出入口のバリアフリー化や多目的トイレの整備を実施しました。また、道路管理については、日々のパトロールを実施し、危険箇所の除去や除草作業を実施しています。違法駐車や放置車両等についても、関係機関と連携し適宜対応を行っています。今後も法律に基づいた公共施設の整備に取り組む必要があります。</w:t>
      </w:r>
    </w:p>
    <w:p>
      <w:pPr>
        <w:pStyle w:val="0"/>
        <w:ind w:left="662" w:leftChars="200" w:hanging="214" w:hangingChars="100"/>
        <w:rPr>
          <w:rFonts w:hint="default"/>
          <w:sz w:val="21"/>
        </w:rPr>
      </w:pPr>
      <w:r>
        <w:rPr>
          <w:rFonts w:hint="eastAsia"/>
          <w:sz w:val="21"/>
        </w:rPr>
        <w:t>○単独では外出困難な障がい者児が、社会生活上必要不可欠な外出及び余暇活動や社会参加のため、移動支援サービスが利用できるよう支援を行いました。</w:t>
      </w:r>
    </w:p>
    <w:p>
      <w:pPr>
        <w:pStyle w:val="0"/>
        <w:ind w:left="662" w:leftChars="200" w:hanging="214" w:hangingChars="100"/>
        <w:rPr>
          <w:rFonts w:hint="default"/>
          <w:sz w:val="21"/>
        </w:rPr>
      </w:pPr>
      <w:r>
        <w:rPr>
          <w:rFonts w:hint="eastAsia"/>
          <w:sz w:val="21"/>
        </w:rPr>
        <w:t>◯自動車運転免許の取得や自動車の改造にかかる費用の一部助成を実施しています。</w:t>
      </w:r>
    </w:p>
    <w:p>
      <w:pPr>
        <w:pStyle w:val="0"/>
        <w:ind w:left="662" w:leftChars="200" w:hanging="214" w:hangingChars="100"/>
        <w:rPr>
          <w:rFonts w:hint="default"/>
          <w:sz w:val="21"/>
        </w:rPr>
      </w:pPr>
    </w:p>
    <w:p>
      <w:pPr>
        <w:pStyle w:val="128"/>
        <w:ind w:left="224"/>
        <w:rPr>
          <w:rFonts w:hint="default"/>
        </w:rPr>
      </w:pPr>
      <w:r>
        <w:rPr>
          <w:rFonts w:hint="eastAsia"/>
        </w:rPr>
        <w:t>（アンケート調査より）</w:t>
      </w:r>
    </w:p>
    <w:p>
      <w:pPr>
        <w:pStyle w:val="0"/>
        <w:ind w:left="662" w:leftChars="200" w:hanging="214" w:hangingChars="100"/>
        <w:rPr>
          <w:rFonts w:hint="default"/>
          <w:sz w:val="21"/>
        </w:rPr>
      </w:pPr>
      <w:r>
        <w:rPr>
          <w:rFonts w:hint="eastAsia"/>
          <w:sz w:val="21"/>
        </w:rPr>
        <w:t>○外出する時に困ることについては､「外出にお金がかかる」が</w:t>
      </w:r>
      <w:r>
        <w:rPr>
          <w:rFonts w:hint="eastAsia"/>
          <w:sz w:val="21"/>
        </w:rPr>
        <w:t>22.2</w:t>
      </w:r>
      <w:r>
        <w:rPr>
          <w:rFonts w:hint="eastAsia"/>
          <w:sz w:val="21"/>
        </w:rPr>
        <w:t>％と最も高く、次に「困った時にどうすればいいのか心配」が</w:t>
      </w:r>
      <w:r>
        <w:rPr>
          <w:rFonts w:hint="eastAsia"/>
          <w:sz w:val="21"/>
        </w:rPr>
        <w:t>20.8</w:t>
      </w:r>
      <w:r>
        <w:rPr>
          <w:rFonts w:hint="eastAsia"/>
          <w:sz w:val="21"/>
        </w:rPr>
        <w:t>％、「公共交通機関が少な</w:t>
      </w:r>
      <w:r>
        <w:rPr>
          <w:rFonts w:hint="default"/>
          <w:sz w:val="21"/>
        </w:rPr>
        <w:t>い</w:t>
      </w:r>
      <w:r>
        <w:rPr>
          <w:rFonts w:hint="default"/>
          <w:sz w:val="21"/>
        </w:rPr>
        <w:t>(</w:t>
      </w:r>
      <w:r>
        <w:rPr>
          <w:rFonts w:hint="default"/>
          <w:sz w:val="21"/>
        </w:rPr>
        <w:t>ない</w:t>
      </w:r>
      <w:r>
        <w:rPr>
          <w:rFonts w:hint="default"/>
          <w:sz w:val="21"/>
        </w:rPr>
        <w:t>)</w:t>
      </w:r>
      <w:r>
        <w:rPr>
          <w:rFonts w:hint="eastAsia"/>
          <w:sz w:val="21"/>
        </w:rPr>
        <w:t>」が</w:t>
      </w:r>
      <w:r>
        <w:rPr>
          <w:rFonts w:hint="eastAsia"/>
          <w:sz w:val="21"/>
        </w:rPr>
        <w:t>17.7</w:t>
      </w:r>
      <w:r>
        <w:rPr>
          <w:rFonts w:hint="eastAsia"/>
          <w:sz w:val="21"/>
        </w:rPr>
        <w:t>％となっています。</w:t>
      </w: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widowControl w:val="1"/>
        <w:jc w:val="left"/>
        <w:rPr>
          <w:rFonts w:hint="default"/>
          <w:sz w:val="21"/>
        </w:rPr>
      </w:pPr>
      <w:r>
        <w:rPr>
          <w:rFonts w:hint="default"/>
          <w:sz w:val="21"/>
        </w:rPr>
        <w:br w:type="page"/>
      </w:r>
    </w:p>
    <w:p>
      <w:pPr>
        <w:pStyle w:val="0"/>
        <w:widowControl w:val="1"/>
        <w:spacing w:line="20" w:lineRule="exact"/>
        <w:jc w:val="left"/>
        <w:rPr>
          <w:rFonts w:hint="default"/>
          <w:sz w:val="21"/>
        </w:rPr>
      </w:pP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62"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222"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23"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24"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25"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18;" coordsize="6044565,219710" coordorigin="0,0" o:spid="_x0000_s1222" o:allowincell="t" o:allowoverlap="t">
                <v:roundrect id="今後の取り組み_四角（灰）" style="height:219710;width:6044565;top:0;left:0;position:absolute;" o:spid="_x0000_s1223"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24"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25"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spacing w:line="360" w:lineRule="exact"/>
        <w:ind w:left="560" w:leftChars="250" w:firstLine="214" w:firstLineChars="100"/>
        <w:rPr>
          <w:rFonts w:hint="default"/>
          <w:sz w:val="21"/>
        </w:rPr>
      </w:pPr>
      <w:r>
        <w:rPr>
          <w:rFonts w:hint="eastAsia"/>
          <w:sz w:val="21"/>
        </w:rPr>
        <w:t>障がい者等が安心して外出することができ、自立と社会参加が促進されるよう、公共施設の段差解消等物理的な障壁の除去、わかりやすい案内表示の整備等を推進するとともに、障がい者の外出や移動に対する支援を提供し、行動圏を広げていきます。</w:t>
      </w:r>
    </w:p>
    <w:p>
      <w:pPr>
        <w:pStyle w:val="0"/>
        <w:spacing w:line="360" w:lineRule="exact"/>
        <w:ind w:left="774" w:leftChars="250" w:hanging="214" w:hangingChars="100"/>
        <w:rPr>
          <w:rFonts w:hint="default"/>
          <w:sz w:val="21"/>
        </w:rPr>
      </w:pPr>
    </w:p>
    <w:p>
      <w:pPr>
        <w:pStyle w:val="73"/>
        <w:ind w:left="672" w:hanging="224"/>
        <w:rPr>
          <w:rFonts w:hint="default"/>
          <w:color w:val="auto"/>
        </w:rPr>
      </w:pPr>
      <w:r>
        <w:rPr>
          <w:rFonts w:hint="eastAsia"/>
          <w:color w:val="auto"/>
        </w:rPr>
        <w:t>①公共施設の整備推進</w:t>
      </w:r>
    </w:p>
    <w:p>
      <w:pPr>
        <w:pStyle w:val="0"/>
        <w:ind w:left="886" w:leftChars="300" w:hanging="214" w:hangingChars="100"/>
        <w:rPr>
          <w:rFonts w:hint="default"/>
          <w:sz w:val="21"/>
        </w:rPr>
      </w:pPr>
      <w:r>
        <w:rPr>
          <w:rFonts w:hint="eastAsia"/>
          <w:sz w:val="21"/>
        </w:rPr>
        <w:t>・新たに整備する道路や公共建築物、公園等について、引き続きバリアフリーに関する法律や｢沖縄県福祉のまちづくり条例｣等に基づく設置基準に従って、障がい者等の円滑な利用に配慮したバリアフリーを推進します。</w:t>
      </w:r>
    </w:p>
    <w:p>
      <w:pPr>
        <w:pStyle w:val="0"/>
        <w:ind w:left="886" w:leftChars="300" w:hanging="214" w:hangingChars="100"/>
        <w:rPr>
          <w:rFonts w:hint="default"/>
          <w:sz w:val="21"/>
        </w:rPr>
      </w:pPr>
      <w:r>
        <w:rPr>
          <w:rFonts w:hint="eastAsia"/>
          <w:sz w:val="21"/>
        </w:rPr>
        <w:t>・道路管理については、引き続きパトロール等により危険箇所を把握し、適時修繕を行います。</w:t>
      </w:r>
    </w:p>
    <w:p>
      <w:pPr>
        <w:pStyle w:val="0"/>
        <w:ind w:left="886" w:leftChars="300" w:hanging="214" w:hangingChars="100"/>
        <w:rPr>
          <w:rFonts w:hint="default"/>
          <w:sz w:val="21"/>
        </w:rPr>
      </w:pPr>
      <w:r>
        <w:rPr>
          <w:rFonts w:hint="eastAsia"/>
          <w:sz w:val="21"/>
        </w:rPr>
        <w:t>・安全な歩行を妨げる車の違法駐車や障害物の設置及び身体障害者専用駐車場への健常者の駐車防止等について、地域への啓発を行います。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②</w:t>
      </w:r>
      <w:r>
        <w:rPr>
          <w:rFonts w:hint="eastAsia"/>
          <w:color w:val="auto"/>
          <w:vertAlign w:val="superscript"/>
        </w:rPr>
        <w:t>※</w:t>
      </w:r>
      <w:r>
        <w:rPr>
          <w:rFonts w:hint="eastAsia"/>
          <w:color w:val="auto"/>
        </w:rPr>
        <w:t>ユニバーサルデザインの普及啓発</w:t>
      </w:r>
    </w:p>
    <w:p>
      <w:pPr>
        <w:pStyle w:val="0"/>
        <w:ind w:left="886" w:leftChars="300" w:hanging="214" w:hangingChars="100"/>
        <w:rPr>
          <w:rFonts w:hint="default"/>
          <w:sz w:val="21"/>
        </w:rPr>
      </w:pPr>
      <w:r>
        <w:rPr>
          <w:rFonts w:hint="eastAsia"/>
          <w:sz w:val="21"/>
        </w:rPr>
        <w:t>・できるだけ多くの住民にとって、より快適な生活環境を整えるために、はじめからあらゆる方法で障壁を生み出させないようデザインすることも大切であり、その観点から引き続きユニバーサルデザインの考え方の普及啓発に努めます。</w:t>
      </w:r>
    </w:p>
    <w:p>
      <w:pPr>
        <w:pStyle w:val="0"/>
        <w:ind w:left="886" w:leftChars="300" w:hanging="214" w:hangingChars="100"/>
        <w:rPr>
          <w:rFonts w:hint="default"/>
          <w:sz w:val="21"/>
        </w:rPr>
      </w:pPr>
      <w:r>
        <w:rPr>
          <w:rFonts w:hint="eastAsia"/>
          <w:sz w:val="21"/>
        </w:rPr>
        <w:t>・出前講座を実施する際には、身近にある商品を活用したわかり易い内容で、啓発に取り組みます。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③わかりやすい案内表示の整備推進</w:t>
      </w:r>
    </w:p>
    <w:p>
      <w:pPr>
        <w:pStyle w:val="0"/>
        <w:ind w:left="886" w:leftChars="300" w:hanging="214" w:hangingChars="100"/>
        <w:rPr>
          <w:rFonts w:hint="default"/>
          <w:sz w:val="21"/>
        </w:rPr>
      </w:pPr>
      <w:r>
        <w:rPr>
          <w:rFonts w:hint="eastAsia"/>
          <w:sz w:val="21"/>
        </w:rPr>
        <w:t>・障がい者が必要な情報を広い空間の中から読み取ることができるよう、多様な障がいの特性を踏まえて、公共施設等の案内表示について、その位置や高さ、向き、標記のデザイン等の検証を行い、障がい者にわかりやすい案内表示となるよう必要な整備を進め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④外出時の同行支援の推進</w:t>
      </w:r>
    </w:p>
    <w:p>
      <w:pPr>
        <w:pStyle w:val="0"/>
        <w:ind w:left="886" w:leftChars="300" w:hanging="214" w:hangingChars="100"/>
        <w:rPr>
          <w:rFonts w:hint="default"/>
          <w:sz w:val="21"/>
        </w:rPr>
      </w:pPr>
      <w:r>
        <w:rPr>
          <w:rFonts w:hint="eastAsia"/>
          <w:sz w:val="21"/>
        </w:rPr>
        <w:t>・障害福祉サービスの同行援護、行動援護及び重度訪問介護といった、外出・移動等の際にヘルパーによる支援が受けられるサービスの利活用を進めます。また、移動支援事業により屋外での移動が困難な障がい者等について、外出のための支援を行うヘルパーの派遣を継続し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⑤自動車運転免許取得・自動車改造支援の推進</w:t>
      </w:r>
    </w:p>
    <w:p>
      <w:pPr>
        <w:pStyle w:val="0"/>
        <w:ind w:left="886" w:leftChars="300" w:hanging="214" w:hangingChars="100"/>
        <w:rPr>
          <w:rFonts w:hint="default"/>
          <w:sz w:val="21"/>
        </w:rPr>
      </w:pPr>
      <w:r>
        <w:rPr>
          <w:rFonts w:hint="eastAsia"/>
          <w:sz w:val="21"/>
        </w:rPr>
        <w:t>・障がい者の社会活動への参加を促進するために、自動車運転免許の取得や自動車の改造にかかる費用の一部助成を継続します。</w:t>
      </w:r>
    </w:p>
    <w:p>
      <w:pPr>
        <w:pStyle w:val="0"/>
        <w:spacing w:line="0" w:lineRule="atLeast"/>
        <w:ind w:left="886" w:leftChars="300" w:hanging="214" w:hangingChars="100"/>
        <w:rPr>
          <w:rFonts w:hint="default"/>
          <w:sz w:val="21"/>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76"/>
              <w:spacing w:before="74" w:beforeLines="0" w:beforeAutospacing="0"/>
              <w:ind w:left="224"/>
              <w:rPr>
                <w:rFonts w:hint="default"/>
                <w:color w:val="auto"/>
              </w:rPr>
            </w:pPr>
            <w:r>
              <w:rPr>
                <w:rFonts w:hint="eastAsia"/>
                <w:color w:val="auto"/>
              </w:rPr>
              <w:t>※</w:t>
            </w:r>
            <w:r>
              <w:rPr>
                <w:rFonts w:hint="eastAsia"/>
                <w:color w:val="auto"/>
              </w:rPr>
              <w:t xml:space="preserve"> </w:t>
            </w:r>
            <w:r>
              <w:rPr>
                <w:rFonts w:hint="eastAsia"/>
                <w:color w:val="auto"/>
              </w:rPr>
              <w:t>ユニバーサルデザイン</w:t>
            </w:r>
          </w:p>
          <w:p>
            <w:pPr>
              <w:pStyle w:val="75"/>
              <w:ind w:left="448" w:firstLine="204"/>
              <w:rPr>
                <w:rFonts w:hint="default"/>
                <w:color w:val="auto"/>
              </w:rPr>
            </w:pPr>
            <w:r>
              <w:rPr>
                <w:rFonts w:hint="eastAsia"/>
                <w:color w:val="auto"/>
              </w:rPr>
              <w:t>障がいの有無、年齡、性別、人種等の違いを超えて、誰もが利用しやすいよう、あらかじめ配慮して、まちづくりや建物、製品等のデザインをしていこうという考え方です。</w:t>
            </w:r>
          </w:p>
        </w:tc>
      </w:tr>
    </w:tbl>
    <w:p>
      <w:pPr>
        <w:pStyle w:val="0"/>
        <w:widowControl w:val="1"/>
        <w:spacing w:line="20" w:lineRule="exact"/>
        <w:jc w:val="left"/>
        <w:rPr>
          <w:rFonts w:hint="default"/>
          <w:sz w:val="21"/>
        </w:rPr>
      </w:pPr>
      <w:bookmarkStart w:id="155" w:name="_Toc154411491"/>
      <w:r>
        <w:rPr>
          <w:rFonts w:hint="default"/>
          <w:sz w:val="21"/>
        </w:rPr>
        <w:br w:type="page"/>
      </w:r>
    </w:p>
    <w:p>
      <w:pPr>
        <w:pStyle w:val="21"/>
        <w:spacing w:after="111" w:afterLines="0" w:afterAutospacing="0"/>
        <w:rPr>
          <w:rFonts w:hint="default"/>
        </w:rPr>
      </w:pPr>
      <w:r>
        <w:rPr>
          <w:rFonts w:hint="eastAsia"/>
        </w:rPr>
        <w:t>（２）住環境の整備推進</w:t>
      </w:r>
      <w:bookmarkEnd w:id="155"/>
    </w:p>
    <w:p>
      <w:pPr>
        <w:pStyle w:val="72"/>
        <w:ind w:left="224"/>
        <w:rPr>
          <w:rFonts w:hint="default"/>
        </w:rPr>
      </w:pPr>
      <w:r>
        <w:rPr>
          <w:rFonts w:hint="eastAsia"/>
        </w:rPr>
        <w:t>【現状と課題】</w:t>
      </w:r>
    </w:p>
    <w:p>
      <w:pPr>
        <w:pStyle w:val="74"/>
        <w:ind w:left="662" w:hanging="214"/>
        <w:rPr>
          <w:rFonts w:hint="default"/>
          <w:color w:val="auto"/>
        </w:rPr>
      </w:pPr>
      <w:r>
        <w:rPr>
          <w:rFonts w:hint="default"/>
          <w:color w:val="auto"/>
        </w:rPr>
        <w:t>►</w:t>
      </w:r>
      <w:r>
        <w:rPr>
          <w:rFonts w:hint="eastAsia"/>
          <w:color w:val="auto"/>
        </w:rPr>
        <w:t>住環境の改善に関する相談支援</w:t>
      </w:r>
    </w:p>
    <w:p>
      <w:pPr>
        <w:pStyle w:val="0"/>
        <w:ind w:left="774" w:leftChars="250" w:hanging="214" w:hangingChars="100"/>
        <w:rPr>
          <w:rFonts w:hint="default"/>
          <w:sz w:val="21"/>
        </w:rPr>
      </w:pPr>
      <w:r>
        <w:rPr>
          <w:rFonts w:hint="eastAsia"/>
          <w:sz w:val="21"/>
        </w:rPr>
        <w:t>○住環境の改善に関する相談がある場合は、現在の状況等を聞き取りながら他制度</w:t>
      </w:r>
      <w:r>
        <w:rPr>
          <w:rFonts w:hint="default"/>
          <w:sz w:val="21"/>
        </w:rPr>
        <w:t>(</w:t>
      </w:r>
      <w:r>
        <w:rPr>
          <w:rFonts w:hint="default"/>
          <w:sz w:val="21"/>
        </w:rPr>
        <w:t>介護保険・住宅リフォーム制度</w:t>
      </w:r>
      <w:r>
        <w:rPr>
          <w:rFonts w:hint="default"/>
          <w:sz w:val="21"/>
        </w:rPr>
        <w:t>)</w:t>
      </w:r>
      <w:r>
        <w:rPr>
          <w:rFonts w:hint="default"/>
          <w:sz w:val="21"/>
        </w:rPr>
        <w:t>の該当有無も視野に入れながら対応に努め</w:t>
      </w:r>
      <w:r>
        <w:rPr>
          <w:rFonts w:hint="eastAsia"/>
          <w:sz w:val="21"/>
        </w:rPr>
        <w:t>ました。</w:t>
      </w:r>
    </w:p>
    <w:p>
      <w:pPr>
        <w:pStyle w:val="0"/>
        <w:ind w:left="774" w:leftChars="250" w:hanging="214" w:hangingChars="100"/>
        <w:rPr>
          <w:rFonts w:hint="default"/>
          <w:sz w:val="21"/>
        </w:rPr>
      </w:pPr>
      <w:r>
        <w:rPr>
          <w:rFonts w:hint="eastAsia"/>
          <w:sz w:val="21"/>
        </w:rPr>
        <w:t>○施設や医療機関から地域への移行が進められている中で、グループホーム等の共同生活の場のニーズも高まっています。</w:t>
      </w:r>
    </w:p>
    <w:p>
      <w:pPr>
        <w:pStyle w:val="0"/>
        <w:ind w:left="774" w:leftChars="250" w:hanging="214" w:hangingChars="100"/>
        <w:rPr>
          <w:rFonts w:hint="default"/>
          <w:sz w:val="21"/>
        </w:rPr>
      </w:pP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66"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226"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27"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28"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29"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14;" coordsize="6044565,219710" coordorigin="0,0" o:spid="_x0000_s1226" o:allowincell="t" o:allowoverlap="t">
                <v:roundrect id="今後の取り組み_四角（灰）" style="height:219710;width:6044565;top:0;left:0;position:absolute;" o:spid="_x0000_s1227"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28"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29"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ind w:left="560" w:leftChars="250" w:firstLine="214" w:firstLineChars="100"/>
        <w:rPr>
          <w:rFonts w:hint="default"/>
          <w:sz w:val="21"/>
        </w:rPr>
      </w:pPr>
      <w:r>
        <w:rPr>
          <w:rFonts w:hint="eastAsia"/>
          <w:sz w:val="21"/>
        </w:rPr>
        <w:t>障がい者それぞれの状態やニーズに応じた安心、安全、快適な住まいが確保できるよう、住宅改修等の相談支援の充実や共同生活援助</w:t>
      </w:r>
      <w:r>
        <w:rPr>
          <w:rFonts w:hint="default"/>
          <w:sz w:val="21"/>
        </w:rPr>
        <w:t>(</w:t>
      </w:r>
      <w:r>
        <w:rPr>
          <w:rFonts w:hint="eastAsia"/>
          <w:sz w:val="21"/>
        </w:rPr>
        <w:t>グループホーム</w:t>
      </w:r>
      <w:r>
        <w:rPr>
          <w:rFonts w:hint="default"/>
          <w:sz w:val="21"/>
        </w:rPr>
        <w:t>)</w:t>
      </w:r>
      <w:r>
        <w:rPr>
          <w:rFonts w:hint="eastAsia"/>
          <w:sz w:val="21"/>
        </w:rPr>
        <w:t>の整備について関係機関と連携を図ります。</w:t>
      </w:r>
    </w:p>
    <w:p>
      <w:pPr>
        <w:pStyle w:val="0"/>
        <w:ind w:left="560" w:leftChars="250" w:firstLine="214" w:firstLineChars="100"/>
        <w:rPr>
          <w:rFonts w:hint="default"/>
          <w:sz w:val="21"/>
        </w:rPr>
      </w:pPr>
    </w:p>
    <w:p>
      <w:pPr>
        <w:pStyle w:val="73"/>
        <w:ind w:left="672" w:hanging="224"/>
        <w:rPr>
          <w:rFonts w:hint="default"/>
          <w:color w:val="auto"/>
        </w:rPr>
      </w:pPr>
      <w:r>
        <w:rPr>
          <w:rFonts w:hint="eastAsia"/>
          <w:color w:val="auto"/>
        </w:rPr>
        <w:t>①住環境の改善に関する相談支援の充実</w:t>
      </w:r>
    </w:p>
    <w:p>
      <w:pPr>
        <w:pStyle w:val="0"/>
        <w:ind w:left="886" w:leftChars="300" w:hanging="214" w:hangingChars="100"/>
        <w:rPr>
          <w:rFonts w:hint="default"/>
          <w:sz w:val="21"/>
        </w:rPr>
      </w:pPr>
      <w:r>
        <w:rPr>
          <w:rFonts w:hint="eastAsia"/>
          <w:sz w:val="21"/>
        </w:rPr>
        <w:t>・障がい者の住まいが安全で快適に暮らせる場となるよう関係機関と連携した相談体制の充実を図ります。また、日常生活用具給付等事業による自立生活支援用具等の周知と利用促進を図ります。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②共同生活の場の確保推進</w:t>
      </w:r>
    </w:p>
    <w:p>
      <w:pPr>
        <w:pStyle w:val="0"/>
        <w:ind w:left="886" w:leftChars="300" w:hanging="214" w:hangingChars="100"/>
        <w:rPr>
          <w:rFonts w:hint="default"/>
          <w:sz w:val="21"/>
        </w:rPr>
      </w:pPr>
      <w:r>
        <w:rPr>
          <w:rFonts w:hint="eastAsia"/>
          <w:sz w:val="21"/>
        </w:rPr>
        <w:t>・障害福祉サービスの居住系サービスである｢共同生活援助</w:t>
      </w:r>
      <w:r>
        <w:rPr>
          <w:rFonts w:hint="eastAsia"/>
          <w:sz w:val="21"/>
        </w:rPr>
        <w:t>(</w:t>
      </w:r>
      <w:r>
        <w:rPr>
          <w:rFonts w:hint="eastAsia"/>
          <w:sz w:val="21"/>
        </w:rPr>
        <w:t>グループホーム</w:t>
      </w:r>
      <w:r>
        <w:rPr>
          <w:rFonts w:hint="eastAsia"/>
          <w:sz w:val="21"/>
        </w:rPr>
        <w:t>)</w:t>
      </w:r>
      <w:r>
        <w:rPr>
          <w:rFonts w:hint="eastAsia"/>
          <w:sz w:val="21"/>
        </w:rPr>
        <w:t>｣といった共同生活の場について、障がい者のニーズを踏まえて、障害福祉サービス事業所や関係機関と連携を図ります。</w:t>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widowControl w:val="1"/>
        <w:jc w:val="left"/>
        <w:rPr>
          <w:rFonts w:hint="default"/>
          <w:sz w:val="21"/>
        </w:rPr>
      </w:pPr>
      <w:r>
        <w:rPr>
          <w:rFonts w:hint="default"/>
          <w:sz w:val="21"/>
        </w:rPr>
        <w:br w:type="page"/>
      </w:r>
    </w:p>
    <w:p>
      <w:pPr>
        <w:pStyle w:val="80"/>
        <w:spacing w:after="92" w:afterLines="0" w:afterAutospacing="0"/>
        <w:rPr>
          <w:rFonts w:hint="default"/>
        </w:rPr>
      </w:pPr>
      <w:bookmarkStart w:id="156" w:name="_Toc154411492"/>
      <w:bookmarkStart w:id="157" w:name="_Toc162263677"/>
      <w:bookmarkStart w:id="158" w:name="_Toc346185258"/>
      <w:bookmarkStart w:id="159" w:name="_Toc416340566"/>
      <w:bookmarkStart w:id="160" w:name="_Toc505592297"/>
      <w:bookmarkStart w:id="161" w:name="_Toc62831676"/>
      <w:r>
        <w:rPr>
          <w:rFonts w:hint="default"/>
        </w:rPr>
        <w:t>２．社会参加・生きがい活動の推進</w:t>
      </w:r>
      <w:bookmarkEnd w:id="156"/>
      <w:bookmarkEnd w:id="157"/>
      <w:bookmarkEnd w:id="158"/>
      <w:bookmarkEnd w:id="159"/>
      <w:bookmarkEnd w:id="160"/>
      <w:bookmarkEnd w:id="161"/>
    </w:p>
    <w:p>
      <w:pPr>
        <w:pStyle w:val="21"/>
        <w:spacing w:after="111" w:afterLines="0" w:afterAutospacing="0"/>
        <w:rPr>
          <w:rFonts w:hint="default"/>
        </w:rPr>
      </w:pPr>
      <w:bookmarkStart w:id="162" w:name="_Toc154411493"/>
      <w:r>
        <w:rPr>
          <w:rFonts w:hint="eastAsia"/>
        </w:rPr>
        <w:t>（１）スポーツ・レクリエーション及び文化活動の推進</w:t>
      </w:r>
      <w:bookmarkEnd w:id="162"/>
    </w:p>
    <w:p>
      <w:pPr>
        <w:pStyle w:val="72"/>
        <w:ind w:left="224"/>
        <w:rPr>
          <w:rFonts w:hint="default"/>
        </w:rPr>
      </w:pPr>
      <w:r>
        <w:rPr>
          <w:rFonts w:hint="eastAsia"/>
        </w:rPr>
        <w:t>【現状と課題】</w:t>
      </w:r>
    </w:p>
    <w:p>
      <w:pPr>
        <w:pStyle w:val="74"/>
        <w:ind w:left="662" w:hanging="214"/>
        <w:rPr>
          <w:rFonts w:hint="default"/>
          <w:color w:val="auto"/>
        </w:rPr>
      </w:pPr>
      <w:r>
        <w:rPr>
          <w:rFonts w:hint="default"/>
          <w:color w:val="auto"/>
        </w:rPr>
        <w:t>►</w:t>
      </w:r>
      <w:r>
        <w:rPr>
          <w:rFonts w:hint="eastAsia"/>
          <w:color w:val="auto"/>
        </w:rPr>
        <w:t>スポーツ・レクリエーション活動</w:t>
      </w:r>
    </w:p>
    <w:p>
      <w:pPr>
        <w:pStyle w:val="0"/>
        <w:ind w:left="774" w:leftChars="250" w:hanging="214" w:hangingChars="100"/>
        <w:rPr>
          <w:rFonts w:hint="default"/>
          <w:spacing w:val="-4"/>
          <w:sz w:val="21"/>
        </w:rPr>
      </w:pPr>
      <w:r>
        <w:rPr>
          <w:rFonts w:hint="eastAsia"/>
          <w:sz w:val="21"/>
        </w:rPr>
        <w:t>◯</w:t>
      </w:r>
      <w:r>
        <w:rPr>
          <w:rFonts w:hint="eastAsia"/>
          <w:spacing w:val="-4"/>
          <w:sz w:val="21"/>
        </w:rPr>
        <w:t>町身体障害者福祉協会と町社会福祉協議会と連携し、「沖縄県身体障害者スポーツ大会」への参加を行いました。また、ＭＩＸスポーツ教室を開催し、障がい者のスポーツ活動を通した社会参加を図っています。</w:t>
      </w:r>
    </w:p>
    <w:p>
      <w:pPr>
        <w:pStyle w:val="0"/>
        <w:ind w:left="766" w:leftChars="250" w:hanging="206" w:hangingChars="100"/>
        <w:rPr>
          <w:rFonts w:hint="default"/>
          <w:spacing w:val="-4"/>
          <w:sz w:val="21"/>
        </w:rPr>
      </w:pPr>
    </w:p>
    <w:p>
      <w:pPr>
        <w:pStyle w:val="74"/>
        <w:ind w:left="662" w:hanging="214"/>
        <w:rPr>
          <w:rFonts w:hint="default"/>
          <w:color w:val="auto"/>
        </w:rPr>
      </w:pPr>
      <w:r>
        <w:rPr>
          <w:rFonts w:hint="default"/>
          <w:color w:val="auto"/>
        </w:rPr>
        <w:t>►</w:t>
      </w:r>
      <w:r>
        <w:rPr>
          <w:rFonts w:hint="eastAsia"/>
          <w:color w:val="auto"/>
        </w:rPr>
        <w:t>文化活動</w:t>
      </w:r>
    </w:p>
    <w:p>
      <w:pPr>
        <w:pStyle w:val="0"/>
        <w:ind w:left="774" w:leftChars="250" w:hanging="214" w:hangingChars="100"/>
        <w:rPr>
          <w:rFonts w:hint="default"/>
          <w:sz w:val="21"/>
        </w:rPr>
      </w:pPr>
      <w:r>
        <w:rPr>
          <w:rFonts w:hint="eastAsia"/>
          <w:sz w:val="21"/>
        </w:rPr>
        <w:t>◯令和元年度までは、町社会福祉協議会の活動においてパソコン教室やスマホ教室等を開催していましたが、コロナ禍により取り組みができていない状況です。ニーズに合わせた教室など活動機会の確保が必要です。</w:t>
      </w:r>
    </w:p>
    <w:p>
      <w:pPr>
        <w:pStyle w:val="0"/>
        <w:ind w:left="774" w:leftChars="250" w:hanging="214" w:hangingChars="100"/>
        <w:rPr>
          <w:rFonts w:hint="default"/>
          <w:sz w:val="21"/>
        </w:rPr>
      </w:pP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70"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230"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31"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32"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33"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10;" coordsize="6044565,219710" coordorigin="0,0" o:spid="_x0000_s1230" o:allowincell="t" o:allowoverlap="t">
                <v:roundrect id="今後の取り組み_四角（灰）" style="height:219710;width:6044565;top:0;left:0;position:absolute;" o:spid="_x0000_s1231"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32"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33"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障がい者のスポーツ・レクリエーション及び文化活動等多様な活動への参加は、障がい者の生活の質の向上や自己実現につながるとともに、障がい者の社会参加の促進と地域の障がい者に対する理解と認識を深めることから、障がい者のニーズに基づき必要な支援を行います。</w:t>
      </w:r>
    </w:p>
    <w:p>
      <w:pPr>
        <w:pStyle w:val="0"/>
        <w:ind w:left="448" w:leftChars="200" w:firstLine="214" w:firstLineChars="100"/>
        <w:rPr>
          <w:rFonts w:hint="default"/>
          <w:sz w:val="21"/>
        </w:rPr>
      </w:pPr>
    </w:p>
    <w:p>
      <w:pPr>
        <w:pStyle w:val="73"/>
        <w:ind w:left="672" w:hanging="224"/>
        <w:rPr>
          <w:rFonts w:hint="default"/>
          <w:color w:val="auto"/>
        </w:rPr>
      </w:pPr>
      <w:r>
        <w:rPr>
          <w:rFonts w:hint="eastAsia"/>
          <w:color w:val="auto"/>
        </w:rPr>
        <w:t>①スポーツ・レクリエーション活動の振興</w:t>
      </w:r>
    </w:p>
    <w:p>
      <w:pPr>
        <w:pStyle w:val="0"/>
        <w:ind w:left="886" w:leftChars="300" w:hanging="214" w:hangingChars="100"/>
        <w:rPr>
          <w:rFonts w:hint="default"/>
          <w:sz w:val="21"/>
        </w:rPr>
      </w:pPr>
      <w:r>
        <w:rPr>
          <w:rFonts w:hint="eastAsia"/>
          <w:sz w:val="21"/>
        </w:rPr>
        <w:t>・障がい者のスポーツ・レクリエーション活動の振興を図るため、今後も｢沖縄県身体障害者スポーツ大会｣への参加を支援します。また、｢障がい者スポレク交流事業｣及び障がい者のグループ活動等について、町社会福祉協議会、地域の関係団体等と連携し、必要な支援を行います。</w:t>
      </w:r>
    </w:p>
    <w:p>
      <w:pPr>
        <w:pStyle w:val="0"/>
        <w:ind w:left="886" w:leftChars="300" w:hanging="214" w:hangingChars="100"/>
        <w:rPr>
          <w:rFonts w:hint="default"/>
          <w:sz w:val="21"/>
        </w:rPr>
      </w:pPr>
    </w:p>
    <w:p>
      <w:pPr>
        <w:pStyle w:val="73"/>
        <w:ind w:left="672" w:hanging="224"/>
        <w:rPr>
          <w:rFonts w:hint="default"/>
          <w:color w:val="auto"/>
        </w:rPr>
      </w:pPr>
      <w:r>
        <w:rPr>
          <w:rFonts w:hint="eastAsia"/>
          <w:color w:val="auto"/>
        </w:rPr>
        <w:t>②文化活動の振興</w:t>
      </w:r>
    </w:p>
    <w:p>
      <w:pPr>
        <w:pStyle w:val="0"/>
        <w:ind w:left="886" w:leftChars="300" w:hanging="214" w:hangingChars="100"/>
        <w:rPr>
          <w:rFonts w:hint="default"/>
          <w:sz w:val="21"/>
        </w:rPr>
      </w:pPr>
      <w:r>
        <w:rPr>
          <w:rFonts w:hint="eastAsia"/>
          <w:sz w:val="21"/>
        </w:rPr>
        <w:t>・障がい者の文化活動の振興を図るため、文化活動発表の場を提供するとともに、障がい者の具体的なニーズを踏まえて、障がい者に対応した生涯学習講座の開催や文化サークル活動等に参加しやすい環境づくりを進めます。</w:t>
      </w:r>
    </w:p>
    <w:p>
      <w:pPr>
        <w:pStyle w:val="0"/>
        <w:ind w:left="886" w:leftChars="300" w:hanging="214" w:hangingChars="100"/>
        <w:rPr>
          <w:rFonts w:hint="default"/>
          <w:sz w:val="21"/>
        </w:rPr>
      </w:pPr>
    </w:p>
    <w:p>
      <w:pPr>
        <w:pStyle w:val="0"/>
        <w:ind w:left="896" w:leftChars="300" w:hanging="224" w:hangingChars="100"/>
        <w:rPr>
          <w:rFonts w:hint="default" w:ascii="ＭＳ ゴシック" w:hAnsi="ＭＳ ゴシック" w:eastAsia="ＭＳ ゴシック"/>
        </w:rPr>
      </w:pPr>
      <w:r>
        <w:rPr>
          <w:rFonts w:hint="default"/>
        </w:rPr>
        <w:br w:type="page"/>
      </w:r>
    </w:p>
    <w:p>
      <w:pPr>
        <w:pStyle w:val="21"/>
        <w:spacing w:after="111" w:afterLines="0" w:afterAutospacing="0"/>
        <w:rPr>
          <w:rFonts w:hint="default"/>
        </w:rPr>
      </w:pPr>
      <w:bookmarkStart w:id="163" w:name="_Toc154411494"/>
      <w:r>
        <w:rPr>
          <w:rFonts w:hint="eastAsia"/>
        </w:rPr>
        <w:t>（２）就労支援</w:t>
      </w:r>
      <w:bookmarkEnd w:id="163"/>
    </w:p>
    <w:p>
      <w:pPr>
        <w:pStyle w:val="72"/>
        <w:ind w:left="224"/>
        <w:rPr>
          <w:rFonts w:hint="default"/>
        </w:rPr>
      </w:pPr>
      <w:r>
        <w:rPr>
          <w:rFonts w:hint="eastAsia"/>
        </w:rPr>
        <w:t>【現状と課題】</w:t>
      </w:r>
    </w:p>
    <w:p>
      <w:pPr>
        <w:pStyle w:val="0"/>
        <w:ind w:left="662" w:leftChars="200" w:hanging="214" w:hangingChars="100"/>
        <w:rPr>
          <w:rFonts w:hint="default"/>
          <w:sz w:val="21"/>
        </w:rPr>
      </w:pPr>
      <w:r>
        <w:rPr>
          <w:rFonts w:hint="eastAsia"/>
          <w:sz w:val="21"/>
        </w:rPr>
        <w:t>○毎年度、南風原町障がい者優先調達方針を策定し、就労支援事業所等からの役務の優先調達に取り組み、実績をホームページで公表しています。</w:t>
      </w:r>
    </w:p>
    <w:p>
      <w:pPr>
        <w:pStyle w:val="0"/>
        <w:ind w:left="662" w:leftChars="200" w:hanging="214" w:hangingChars="100"/>
        <w:rPr>
          <w:rFonts w:hint="default"/>
          <w:sz w:val="21"/>
        </w:rPr>
      </w:pPr>
      <w:r>
        <w:rPr>
          <w:rFonts w:hint="eastAsia"/>
          <w:sz w:val="21"/>
        </w:rPr>
        <w:t>○障害者週間期間中に、町内の就労支援事業所で製作した作品の販売会を、町内のスーパーで行いました。利用客に、就労支援事業所の活動を周知する機会となっています。</w:t>
      </w:r>
    </w:p>
    <w:p>
      <w:pPr>
        <w:pStyle w:val="0"/>
        <w:ind w:left="662" w:leftChars="200" w:hanging="214" w:hangingChars="100"/>
        <w:rPr>
          <w:rFonts w:hint="default"/>
          <w:sz w:val="21"/>
        </w:rPr>
      </w:pPr>
      <w:r>
        <w:rPr>
          <w:rFonts w:hint="eastAsia"/>
          <w:sz w:val="21"/>
        </w:rPr>
        <w:t>○町及び町教育委員会における障がい者を対象とした職員採用試験は、平成</w:t>
      </w:r>
      <w:r>
        <w:rPr>
          <w:rFonts w:hint="default"/>
          <w:sz w:val="21"/>
        </w:rPr>
        <w:t>20</w:t>
      </w:r>
      <w:r>
        <w:rPr>
          <w:rFonts w:hint="default"/>
          <w:sz w:val="21"/>
        </w:rPr>
        <w:t>年度以来実施</w:t>
      </w:r>
      <w:r>
        <w:rPr>
          <w:rFonts w:hint="eastAsia"/>
          <w:sz w:val="21"/>
        </w:rPr>
        <w:t>されていませんが、</w:t>
      </w:r>
      <w:r>
        <w:rPr>
          <w:rFonts w:hint="default"/>
          <w:sz w:val="21"/>
        </w:rPr>
        <w:t>法定雇用率を念頭に</w:t>
      </w:r>
      <w:r>
        <w:rPr>
          <w:rFonts w:hint="eastAsia"/>
          <w:sz w:val="21"/>
        </w:rPr>
        <w:t>、</w:t>
      </w:r>
      <w:r>
        <w:rPr>
          <w:rFonts w:hint="default"/>
          <w:sz w:val="21"/>
        </w:rPr>
        <w:t>職員及び会計年度任用職員を雇用し、働きやすく能力が発揮できるよう職員配置・業務配分を行ってい</w:t>
      </w:r>
      <w:r>
        <w:rPr>
          <w:rFonts w:hint="eastAsia"/>
          <w:sz w:val="21"/>
        </w:rPr>
        <w:t>ます</w:t>
      </w:r>
      <w:r>
        <w:rPr>
          <w:rFonts w:hint="default"/>
          <w:sz w:val="21"/>
        </w:rPr>
        <w:t>。</w:t>
      </w:r>
    </w:p>
    <w:p>
      <w:pPr>
        <w:pStyle w:val="0"/>
        <w:ind w:left="662" w:leftChars="200" w:hanging="214" w:hangingChars="100"/>
        <w:rPr>
          <w:rFonts w:hint="default"/>
          <w:sz w:val="21"/>
        </w:rPr>
      </w:pPr>
      <w:r>
        <w:rPr>
          <w:rFonts w:hint="eastAsia"/>
          <w:sz w:val="21"/>
        </w:rPr>
        <w:t>○障がい者が働きやすい環境整備や配慮に努めていますが、ここ数年は法定雇用率を下回っており、今後、法定雇用率の引上げもあることから、喫緊の課題と認識し改善に向けて取り組む必要があります。</w:t>
      </w:r>
    </w:p>
    <w:p>
      <w:pPr>
        <w:pStyle w:val="0"/>
        <w:ind w:left="662" w:leftChars="200" w:hanging="214" w:hangingChars="100"/>
        <w:rPr>
          <w:rFonts w:hint="default"/>
          <w:sz w:val="21"/>
        </w:rPr>
      </w:pPr>
    </w:p>
    <w:p>
      <w:pPr>
        <w:pStyle w:val="128"/>
        <w:ind w:left="224"/>
        <w:rPr>
          <w:rFonts w:hint="default"/>
        </w:rPr>
      </w:pPr>
      <w:r>
        <w:rPr>
          <w:rFonts w:hint="eastAsia"/>
        </w:rPr>
        <w:t>（アンケート調査より）</w:t>
      </w:r>
    </w:p>
    <w:p>
      <w:pPr>
        <w:pStyle w:val="0"/>
        <w:ind w:left="662" w:leftChars="200" w:hanging="214" w:hangingChars="100"/>
        <w:rPr>
          <w:rFonts w:hint="default"/>
          <w:sz w:val="21"/>
        </w:rPr>
      </w:pPr>
      <w:r>
        <w:rPr>
          <w:rFonts w:hint="eastAsia"/>
          <w:sz w:val="21"/>
        </w:rPr>
        <w:t>○アンケート調査では、</w:t>
      </w:r>
      <w:r>
        <w:rPr>
          <w:rFonts w:hint="eastAsia"/>
          <w:sz w:val="21"/>
        </w:rPr>
        <w:t>54.3</w:t>
      </w:r>
      <w:r>
        <w:rPr>
          <w:rFonts w:hint="eastAsia"/>
          <w:sz w:val="21"/>
        </w:rPr>
        <w:t>％</w:t>
      </w:r>
      <w:r>
        <w:rPr>
          <w:rFonts w:hint="eastAsia"/>
          <w:sz w:val="21"/>
        </w:rPr>
        <w:t>(</w:t>
      </w:r>
      <w:r>
        <w:rPr>
          <w:rFonts w:hint="eastAsia"/>
          <w:sz w:val="21"/>
        </w:rPr>
        <w:t>前回</w:t>
      </w:r>
      <w:r>
        <w:rPr>
          <w:rFonts w:hint="eastAsia"/>
          <w:sz w:val="21"/>
        </w:rPr>
        <w:t>54.2</w:t>
      </w:r>
      <w:r>
        <w:rPr>
          <w:rFonts w:hint="eastAsia"/>
          <w:sz w:val="21"/>
        </w:rPr>
        <w:t>％</w:t>
      </w:r>
      <w:r>
        <w:rPr>
          <w:rFonts w:hint="eastAsia"/>
          <w:sz w:val="21"/>
        </w:rPr>
        <w:t>)</w:t>
      </w:r>
      <w:r>
        <w:rPr>
          <w:rFonts w:hint="eastAsia"/>
          <w:sz w:val="21"/>
        </w:rPr>
        <w:t>の障がい者が「働いている」と答え、そのうち「パート・アルバイトをしている」が</w:t>
      </w:r>
      <w:r>
        <w:rPr>
          <w:rFonts w:hint="eastAsia"/>
          <w:sz w:val="21"/>
        </w:rPr>
        <w:t>24.8</w:t>
      </w:r>
      <w:r>
        <w:rPr>
          <w:rFonts w:hint="eastAsia"/>
          <w:sz w:val="21"/>
        </w:rPr>
        <w:t>％</w:t>
      </w:r>
      <w:r>
        <w:rPr>
          <w:rFonts w:hint="eastAsia"/>
          <w:sz w:val="21"/>
        </w:rPr>
        <w:t>(</w:t>
      </w:r>
      <w:r>
        <w:rPr>
          <w:rFonts w:hint="eastAsia"/>
          <w:sz w:val="21"/>
        </w:rPr>
        <w:t>前回</w:t>
      </w:r>
      <w:r>
        <w:rPr>
          <w:rFonts w:hint="eastAsia"/>
          <w:sz w:val="21"/>
        </w:rPr>
        <w:t>20.7</w:t>
      </w:r>
      <w:r>
        <w:rPr>
          <w:rFonts w:hint="eastAsia"/>
          <w:sz w:val="21"/>
        </w:rPr>
        <w:t>％</w:t>
      </w:r>
      <w:r>
        <w:rPr>
          <w:rFonts w:hint="eastAsia"/>
          <w:sz w:val="21"/>
        </w:rPr>
        <w:t>)</w:t>
      </w:r>
      <w:r>
        <w:rPr>
          <w:rFonts w:hint="eastAsia"/>
          <w:sz w:val="21"/>
        </w:rPr>
        <w:t>と最も高く、次に｢正規職員として働いている｣が</w:t>
      </w:r>
      <w:r>
        <w:rPr>
          <w:rFonts w:hint="eastAsia"/>
          <w:sz w:val="21"/>
        </w:rPr>
        <w:t>23.4</w:t>
      </w:r>
      <w:r>
        <w:rPr>
          <w:rFonts w:hint="eastAsia"/>
          <w:sz w:val="21"/>
        </w:rPr>
        <w:t>％</w:t>
      </w:r>
      <w:r>
        <w:rPr>
          <w:rFonts w:hint="eastAsia"/>
          <w:sz w:val="21"/>
        </w:rPr>
        <w:t>(</w:t>
      </w:r>
      <w:r>
        <w:rPr>
          <w:rFonts w:hint="eastAsia"/>
          <w:sz w:val="21"/>
        </w:rPr>
        <w:t>前回</w:t>
      </w:r>
      <w:r>
        <w:rPr>
          <w:rFonts w:hint="eastAsia"/>
          <w:sz w:val="21"/>
        </w:rPr>
        <w:t>23.5</w:t>
      </w:r>
      <w:r>
        <w:rPr>
          <w:rFonts w:hint="eastAsia"/>
          <w:sz w:val="21"/>
        </w:rPr>
        <w:t>％</w:t>
      </w:r>
      <w:r>
        <w:rPr>
          <w:rFonts w:hint="eastAsia"/>
          <w:sz w:val="21"/>
        </w:rPr>
        <w:t>)</w:t>
      </w:r>
      <w:r>
        <w:rPr>
          <w:rFonts w:hint="eastAsia"/>
          <w:sz w:val="21"/>
        </w:rPr>
        <w:t>、｢就労継続支援事業所に通っている｣が</w:t>
      </w:r>
      <w:r>
        <w:rPr>
          <w:rFonts w:hint="eastAsia"/>
          <w:sz w:val="21"/>
        </w:rPr>
        <w:t>19.7</w:t>
      </w:r>
      <w:r>
        <w:rPr>
          <w:rFonts w:hint="eastAsia"/>
          <w:sz w:val="21"/>
        </w:rPr>
        <w:t>％</w:t>
      </w:r>
      <w:r>
        <w:rPr>
          <w:rFonts w:hint="eastAsia"/>
          <w:sz w:val="21"/>
        </w:rPr>
        <w:t>(</w:t>
      </w:r>
      <w:r>
        <w:rPr>
          <w:rFonts w:hint="eastAsia"/>
          <w:sz w:val="21"/>
        </w:rPr>
        <w:t>前回</w:t>
      </w:r>
      <w:r>
        <w:rPr>
          <w:rFonts w:hint="eastAsia"/>
          <w:sz w:val="21"/>
        </w:rPr>
        <w:t>25.7</w:t>
      </w:r>
      <w:r>
        <w:rPr>
          <w:rFonts w:hint="eastAsia"/>
          <w:sz w:val="21"/>
        </w:rPr>
        <w:t>％</w:t>
      </w:r>
      <w:r>
        <w:rPr>
          <w:rFonts w:hint="eastAsia"/>
          <w:sz w:val="21"/>
        </w:rPr>
        <w:t>)</w:t>
      </w:r>
      <w:r>
        <w:rPr>
          <w:rFonts w:hint="eastAsia"/>
          <w:sz w:val="21"/>
        </w:rPr>
        <w:t>となっております。</w:t>
      </w:r>
    </w:p>
    <w:p>
      <w:pPr>
        <w:pStyle w:val="0"/>
        <w:ind w:left="662" w:leftChars="200" w:hanging="214" w:hangingChars="100"/>
        <w:rPr>
          <w:rFonts w:hint="default"/>
          <w:sz w:val="21"/>
        </w:rPr>
      </w:pPr>
      <w:r>
        <w:rPr>
          <w:rFonts w:hint="eastAsia"/>
          <w:sz w:val="21"/>
        </w:rPr>
        <w:t>◯仕事をする上で悩んでいることについては、「給与・工賃などの収入が少ない」が</w:t>
      </w:r>
      <w:r>
        <w:rPr>
          <w:rFonts w:hint="eastAsia"/>
          <w:sz w:val="21"/>
        </w:rPr>
        <w:t>23.4</w:t>
      </w:r>
      <w:r>
        <w:rPr>
          <w:rFonts w:hint="eastAsia"/>
          <w:sz w:val="21"/>
        </w:rPr>
        <w:t>％</w:t>
      </w:r>
      <w:r>
        <w:rPr>
          <w:rFonts w:hint="eastAsia"/>
          <w:sz w:val="21"/>
        </w:rPr>
        <w:t>(</w:t>
      </w:r>
      <w:r>
        <w:rPr>
          <w:rFonts w:hint="eastAsia"/>
          <w:sz w:val="21"/>
        </w:rPr>
        <w:t>前回</w:t>
      </w:r>
      <w:r>
        <w:rPr>
          <w:rFonts w:hint="eastAsia"/>
          <w:sz w:val="21"/>
        </w:rPr>
        <w:t>27.9</w:t>
      </w:r>
      <w:r>
        <w:rPr>
          <w:rFonts w:hint="eastAsia"/>
          <w:sz w:val="21"/>
        </w:rPr>
        <w:t>％</w:t>
      </w:r>
      <w:r>
        <w:rPr>
          <w:rFonts w:hint="eastAsia"/>
          <w:sz w:val="21"/>
        </w:rPr>
        <w:t>)</w:t>
      </w:r>
      <w:r>
        <w:rPr>
          <w:rFonts w:hint="eastAsia"/>
          <w:sz w:val="21"/>
        </w:rPr>
        <w:t>と最も高く、次に「職場の人間関係」が</w:t>
      </w:r>
      <w:r>
        <w:rPr>
          <w:rFonts w:hint="eastAsia"/>
          <w:sz w:val="21"/>
        </w:rPr>
        <w:t>18.8</w:t>
      </w:r>
      <w:r>
        <w:rPr>
          <w:rFonts w:hint="eastAsia"/>
          <w:sz w:val="21"/>
        </w:rPr>
        <w:t>％</w:t>
      </w:r>
      <w:r>
        <w:rPr>
          <w:rFonts w:hint="eastAsia"/>
          <w:sz w:val="21"/>
        </w:rPr>
        <w:t>(</w:t>
      </w:r>
      <w:r>
        <w:rPr>
          <w:rFonts w:hint="eastAsia"/>
          <w:sz w:val="21"/>
        </w:rPr>
        <w:t>前回</w:t>
      </w:r>
      <w:r>
        <w:rPr>
          <w:rFonts w:hint="eastAsia"/>
          <w:sz w:val="21"/>
        </w:rPr>
        <w:t>17.3</w:t>
      </w:r>
      <w:r>
        <w:rPr>
          <w:rFonts w:hint="eastAsia"/>
          <w:sz w:val="21"/>
        </w:rPr>
        <w:t>％</w:t>
      </w:r>
      <w:r>
        <w:rPr>
          <w:rFonts w:hint="eastAsia"/>
          <w:sz w:val="21"/>
        </w:rPr>
        <w:t>)</w:t>
      </w:r>
      <w:r>
        <w:rPr>
          <w:rFonts w:hint="eastAsia"/>
          <w:sz w:val="21"/>
        </w:rPr>
        <w:t>、「精神的な負担が大きい」が</w:t>
      </w:r>
      <w:r>
        <w:rPr>
          <w:rFonts w:hint="eastAsia"/>
          <w:sz w:val="21"/>
        </w:rPr>
        <w:t>18.8</w:t>
      </w:r>
      <w:r>
        <w:rPr>
          <w:rFonts w:hint="eastAsia"/>
          <w:sz w:val="21"/>
        </w:rPr>
        <w:t>％</w:t>
      </w:r>
      <w:r>
        <w:rPr>
          <w:rFonts w:hint="eastAsia"/>
          <w:sz w:val="21"/>
        </w:rPr>
        <w:t>(</w:t>
      </w:r>
      <w:r>
        <w:rPr>
          <w:rFonts w:hint="eastAsia"/>
          <w:sz w:val="21"/>
        </w:rPr>
        <w:t>前回</w:t>
      </w:r>
      <w:r>
        <w:rPr>
          <w:rFonts w:hint="eastAsia"/>
          <w:sz w:val="21"/>
        </w:rPr>
        <w:t>19.6</w:t>
      </w:r>
      <w:r>
        <w:rPr>
          <w:rFonts w:hint="eastAsia"/>
          <w:sz w:val="21"/>
        </w:rPr>
        <w:t>％</w:t>
      </w:r>
      <w:r>
        <w:rPr>
          <w:rFonts w:hint="eastAsia"/>
          <w:sz w:val="21"/>
        </w:rPr>
        <w:t>)</w:t>
      </w:r>
      <w:r>
        <w:rPr>
          <w:rFonts w:hint="eastAsia"/>
          <w:sz w:val="21"/>
        </w:rPr>
        <w:t>、「身体的な負担が大きい」が</w:t>
      </w:r>
      <w:r>
        <w:rPr>
          <w:rFonts w:hint="eastAsia"/>
          <w:sz w:val="21"/>
        </w:rPr>
        <w:t>15.6</w:t>
      </w:r>
      <w:r>
        <w:rPr>
          <w:rFonts w:hint="eastAsia"/>
          <w:sz w:val="21"/>
        </w:rPr>
        <w:t>％</w:t>
      </w:r>
      <w:r>
        <w:rPr>
          <w:rFonts w:hint="eastAsia"/>
          <w:sz w:val="21"/>
        </w:rPr>
        <w:t>(</w:t>
      </w:r>
      <w:r>
        <w:rPr>
          <w:rFonts w:hint="eastAsia"/>
          <w:sz w:val="21"/>
        </w:rPr>
        <w:t>前回</w:t>
      </w:r>
      <w:r>
        <w:rPr>
          <w:rFonts w:hint="eastAsia"/>
          <w:sz w:val="21"/>
        </w:rPr>
        <w:t>18.4</w:t>
      </w:r>
      <w:r>
        <w:rPr>
          <w:rFonts w:hint="eastAsia"/>
          <w:sz w:val="21"/>
        </w:rPr>
        <w:t>％</w:t>
      </w:r>
      <w:r>
        <w:rPr>
          <w:rFonts w:hint="eastAsia"/>
          <w:sz w:val="21"/>
        </w:rPr>
        <w:t>)</w:t>
      </w:r>
      <w:r>
        <w:rPr>
          <w:rFonts w:hint="eastAsia"/>
          <w:sz w:val="21"/>
        </w:rPr>
        <w:t>となっています。また、「困っていることに対し相談や援助をしてくれる人がいない」ことで悩んでいる障がい者が</w:t>
      </w:r>
      <w:r>
        <w:rPr>
          <w:rFonts w:hint="eastAsia"/>
          <w:sz w:val="21"/>
        </w:rPr>
        <w:t>6.4</w:t>
      </w:r>
      <w:r>
        <w:rPr>
          <w:rFonts w:hint="eastAsia"/>
          <w:sz w:val="21"/>
        </w:rPr>
        <w:t>％</w:t>
      </w:r>
      <w:r>
        <w:rPr>
          <w:rFonts w:hint="eastAsia"/>
          <w:sz w:val="21"/>
        </w:rPr>
        <w:t>(</w:t>
      </w:r>
      <w:r>
        <w:rPr>
          <w:rFonts w:hint="eastAsia"/>
          <w:sz w:val="21"/>
        </w:rPr>
        <w:t>前回</w:t>
      </w:r>
      <w:r>
        <w:rPr>
          <w:rFonts w:hint="eastAsia"/>
          <w:sz w:val="21"/>
        </w:rPr>
        <w:t>2.2</w:t>
      </w:r>
      <w:r>
        <w:rPr>
          <w:rFonts w:hint="eastAsia"/>
          <w:sz w:val="21"/>
        </w:rPr>
        <w:t>％</w:t>
      </w:r>
      <w:r>
        <w:rPr>
          <w:rFonts w:hint="eastAsia"/>
          <w:sz w:val="21"/>
        </w:rPr>
        <w:t>)</w:t>
      </w:r>
      <w:r>
        <w:rPr>
          <w:rFonts w:hint="eastAsia"/>
          <w:sz w:val="21"/>
        </w:rPr>
        <w:t>おり、前回より高くなっています。</w:t>
      </w:r>
    </w:p>
    <w:p>
      <w:pPr>
        <w:pStyle w:val="0"/>
        <w:ind w:left="662" w:leftChars="200" w:hanging="214" w:hangingChars="100"/>
        <w:rPr>
          <w:rFonts w:hint="default"/>
          <w:sz w:val="21"/>
        </w:rPr>
      </w:pPr>
      <w:r>
        <w:rPr>
          <w:rFonts w:hint="eastAsia"/>
          <w:sz w:val="21"/>
        </w:rPr>
        <w:t>○特に早めに取り組んでほしいことでは､「一般企業で働くことができるよう、訓練する場所や支援を強化してほしい」が</w:t>
      </w:r>
      <w:r>
        <w:rPr>
          <w:rFonts w:hint="eastAsia"/>
          <w:sz w:val="21"/>
        </w:rPr>
        <w:t>10.2</w:t>
      </w:r>
      <w:r>
        <w:rPr>
          <w:rFonts w:hint="eastAsia"/>
          <w:sz w:val="21"/>
        </w:rPr>
        <w:t>％</w:t>
      </w:r>
      <w:r>
        <w:rPr>
          <w:rFonts w:hint="eastAsia"/>
          <w:sz w:val="21"/>
        </w:rPr>
        <w:t>(</w:t>
      </w:r>
      <w:r>
        <w:rPr>
          <w:rFonts w:hint="eastAsia"/>
          <w:sz w:val="21"/>
        </w:rPr>
        <w:t>前回</w:t>
      </w:r>
      <w:r>
        <w:rPr>
          <w:rFonts w:hint="eastAsia"/>
          <w:sz w:val="21"/>
        </w:rPr>
        <w:t>12.1</w:t>
      </w:r>
      <w:r>
        <w:rPr>
          <w:rFonts w:hint="eastAsia"/>
          <w:sz w:val="21"/>
        </w:rPr>
        <w:t>％</w:t>
      </w:r>
      <w:r>
        <w:rPr>
          <w:rFonts w:hint="eastAsia"/>
          <w:sz w:val="21"/>
        </w:rPr>
        <w:t>)</w:t>
      </w:r>
      <w:r>
        <w:rPr>
          <w:rFonts w:hint="eastAsia"/>
          <w:sz w:val="21"/>
        </w:rPr>
        <w:t>､「一般企業で働くことが難しいので、就労支援事業所を増やしてほしい」が</w:t>
      </w:r>
      <w:r>
        <w:rPr>
          <w:rFonts w:hint="eastAsia"/>
          <w:sz w:val="21"/>
        </w:rPr>
        <w:t>7.0</w:t>
      </w:r>
      <w:r>
        <w:rPr>
          <w:rFonts w:hint="eastAsia"/>
          <w:sz w:val="21"/>
        </w:rPr>
        <w:t>％</w:t>
      </w:r>
      <w:r>
        <w:rPr>
          <w:rFonts w:hint="eastAsia"/>
          <w:sz w:val="21"/>
        </w:rPr>
        <w:t>(</w:t>
      </w:r>
      <w:r>
        <w:rPr>
          <w:rFonts w:hint="eastAsia"/>
          <w:sz w:val="21"/>
        </w:rPr>
        <w:t>前回</w:t>
      </w:r>
      <w:r>
        <w:rPr>
          <w:rFonts w:hint="default"/>
          <w:sz w:val="21"/>
        </w:rPr>
        <w:t>1</w:t>
      </w:r>
      <w:r>
        <w:rPr>
          <w:rFonts w:hint="eastAsia"/>
          <w:sz w:val="21"/>
        </w:rPr>
        <w:t>0.3</w:t>
      </w:r>
      <w:r>
        <w:rPr>
          <w:rFonts w:hint="eastAsia"/>
          <w:sz w:val="21"/>
        </w:rPr>
        <w:t>％</w:t>
      </w:r>
      <w:r>
        <w:rPr>
          <w:rFonts w:hint="eastAsia"/>
          <w:sz w:val="21"/>
        </w:rPr>
        <w:t>)</w:t>
      </w:r>
      <w:r>
        <w:rPr>
          <w:rFonts w:hint="eastAsia"/>
          <w:sz w:val="21"/>
        </w:rPr>
        <w:t>となっています。</w:t>
      </w:r>
    </w:p>
    <w:p>
      <w:pPr>
        <w:pStyle w:val="0"/>
        <w:ind w:left="662" w:leftChars="200" w:hanging="214" w:hangingChars="100"/>
        <w:rPr>
          <w:rFonts w:hint="default"/>
          <w:sz w:val="21"/>
        </w:rPr>
      </w:pP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71"/>
        <w:ind w:left="123" w:right="-20"/>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74"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234"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35"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36"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37"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06;" coordsize="6044565,219710" coordorigin="0,0" o:spid="_x0000_s1234" o:allowincell="t" o:allowoverlap="t">
                <v:roundrect id="今後の取り組み_四角（灰）" style="height:219710;width:6044565;top:0;left:0;position:absolute;" o:spid="_x0000_s1235"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36"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37"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72"/>
        <w:ind w:left="224"/>
        <w:rPr>
          <w:rFonts w:hint="default"/>
        </w:rPr>
      </w:pPr>
      <w:r>
        <w:rPr>
          <w:rFonts w:hint="eastAsia"/>
        </w:rPr>
        <w:t>【施策の基本的な考え方】</w:t>
      </w:r>
    </w:p>
    <w:p>
      <w:pPr>
        <w:pStyle w:val="0"/>
        <w:ind w:left="560" w:leftChars="250" w:firstLine="214" w:firstLineChars="100"/>
        <w:rPr>
          <w:rFonts w:hint="default"/>
          <w:sz w:val="21"/>
        </w:rPr>
      </w:pPr>
      <w:r>
        <w:rPr>
          <w:rFonts w:hint="eastAsia"/>
          <w:sz w:val="21"/>
        </w:rPr>
        <w:t>障がい者が働くことを通じて生きがいを持ち、自立した生活を営み、社会参加を図るために、障がいの特性や障がい者のニーズに応じた、多様な働き方ができるよう、障害福祉サービス事業所や関係機関等と連携します。</w:t>
      </w:r>
    </w:p>
    <w:p>
      <w:pPr>
        <w:pStyle w:val="0"/>
        <w:ind w:left="560" w:leftChars="250" w:firstLine="214" w:firstLineChars="100"/>
        <w:rPr>
          <w:rFonts w:hint="default"/>
          <w:sz w:val="21"/>
        </w:rPr>
      </w:pPr>
    </w:p>
    <w:p>
      <w:pPr>
        <w:pStyle w:val="73"/>
        <w:ind w:left="672" w:hanging="224"/>
        <w:rPr>
          <w:rFonts w:hint="default"/>
          <w:color w:val="auto"/>
        </w:rPr>
      </w:pPr>
      <w:r>
        <w:rPr>
          <w:rFonts w:hint="eastAsia"/>
          <w:color w:val="auto"/>
        </w:rPr>
        <w:t>①一般就労への移行・定着促進</w:t>
      </w:r>
    </w:p>
    <w:p>
      <w:pPr>
        <w:pStyle w:val="0"/>
        <w:ind w:left="886" w:leftChars="300" w:hanging="214" w:hangingChars="100"/>
        <w:rPr>
          <w:rFonts w:hint="default"/>
          <w:sz w:val="21"/>
        </w:rPr>
      </w:pPr>
      <w:r>
        <w:rPr>
          <w:rFonts w:hint="eastAsia"/>
          <w:sz w:val="21"/>
        </w:rPr>
        <w:t>・就労移行支援事業所等から一般就労への移行を促進するために、就労移行支援事業所や計画相談支援事業所、ハローワークや障害者職業センター、障がい者就業・生活支援センター等の関係機関と連携を図ります。</w:t>
      </w:r>
    </w:p>
    <w:p>
      <w:pPr>
        <w:pStyle w:val="0"/>
        <w:ind w:left="886" w:leftChars="300" w:hanging="214" w:hangingChars="100"/>
        <w:rPr>
          <w:rFonts w:hint="default"/>
          <w:sz w:val="21"/>
        </w:rPr>
      </w:pPr>
      <w:r>
        <w:rPr>
          <w:rFonts w:hint="eastAsia"/>
          <w:sz w:val="21"/>
        </w:rPr>
        <w:t>・就労移行支援事業所等から一般就労につながった利用者について、就労定着支援を活用することにより、就労の継続を支援します。</w:t>
      </w:r>
    </w:p>
    <w:p>
      <w:pPr>
        <w:pStyle w:val="0"/>
        <w:ind w:left="896" w:leftChars="300" w:hanging="224" w:hangingChars="100"/>
        <w:rPr>
          <w:rFonts w:hint="default" w:ascii="ＭＳ ゴシック" w:hAnsi="ＭＳ ゴシック" w:eastAsia="ＭＳ ゴシック"/>
        </w:rPr>
      </w:pPr>
    </w:p>
    <w:p>
      <w:pPr>
        <w:pStyle w:val="73"/>
        <w:ind w:left="672" w:hanging="224"/>
        <w:rPr>
          <w:rFonts w:hint="default"/>
          <w:color w:val="auto"/>
        </w:rPr>
      </w:pPr>
      <w:r>
        <w:rPr>
          <w:rFonts w:hint="eastAsia"/>
          <w:color w:val="auto"/>
        </w:rPr>
        <w:t>②就労継続支援の推進</w:t>
      </w:r>
    </w:p>
    <w:p>
      <w:pPr>
        <w:pStyle w:val="0"/>
        <w:ind w:left="886" w:leftChars="300" w:hanging="214" w:hangingChars="100"/>
        <w:rPr>
          <w:rFonts w:hint="default"/>
          <w:sz w:val="21"/>
        </w:rPr>
      </w:pPr>
      <w:r>
        <w:rPr>
          <w:rFonts w:hint="eastAsia"/>
          <w:sz w:val="21"/>
        </w:rPr>
        <w:t>・一般就労が困難な障がい者の就労の場を提供していくために、就労継続支援事業所</w:t>
      </w:r>
      <w:r>
        <w:rPr>
          <w:rFonts w:hint="eastAsia"/>
          <w:sz w:val="21"/>
        </w:rPr>
        <w:t>(</w:t>
      </w:r>
      <w:r>
        <w:rPr>
          <w:rFonts w:hint="eastAsia"/>
          <w:sz w:val="21"/>
        </w:rPr>
        <w:t>Ａ型・Ｂ型</w:t>
      </w:r>
      <w:r>
        <w:rPr>
          <w:rFonts w:hint="eastAsia"/>
          <w:sz w:val="21"/>
        </w:rPr>
        <w:t>)</w:t>
      </w:r>
      <w:r>
        <w:rPr>
          <w:rFonts w:hint="eastAsia"/>
          <w:sz w:val="21"/>
        </w:rPr>
        <w:t>の周知と利用促進を図ります。</w:t>
      </w:r>
    </w:p>
    <w:p>
      <w:pPr>
        <w:pStyle w:val="0"/>
        <w:ind w:left="896" w:leftChars="300" w:hanging="224" w:hangingChars="100"/>
        <w:rPr>
          <w:rFonts w:hint="default" w:ascii="ＭＳ ゴシック" w:hAnsi="ＭＳ ゴシック" w:eastAsia="ＭＳ ゴシック"/>
        </w:rPr>
      </w:pPr>
    </w:p>
    <w:p>
      <w:pPr>
        <w:pStyle w:val="73"/>
        <w:ind w:left="672" w:hanging="224"/>
        <w:rPr>
          <w:rFonts w:hint="default"/>
          <w:color w:val="auto"/>
        </w:rPr>
      </w:pPr>
      <w:r>
        <w:rPr>
          <w:rFonts w:hint="eastAsia"/>
          <w:color w:val="auto"/>
        </w:rPr>
        <w:t>③障がい者優先調達の推進</w:t>
      </w:r>
    </w:p>
    <w:p>
      <w:pPr>
        <w:pStyle w:val="0"/>
        <w:ind w:left="886" w:leftChars="300" w:hanging="214" w:hangingChars="100"/>
        <w:rPr>
          <w:rFonts w:hint="default"/>
          <w:sz w:val="21"/>
        </w:rPr>
      </w:pPr>
      <w:r>
        <w:rPr>
          <w:rFonts w:hint="eastAsia"/>
          <w:sz w:val="21"/>
        </w:rPr>
        <w:t>・毎年度策定される「南風原町障がい者優先調達方針」に基づき、就労支援事業所等からの物品購入や役務の優先調達を更に推進します。また、毎年度の調達実績について、ホームページ等での公表を継続します。</w:t>
      </w:r>
    </w:p>
    <w:p>
      <w:pPr>
        <w:pStyle w:val="0"/>
        <w:ind w:left="886" w:leftChars="300" w:hanging="214" w:hangingChars="100"/>
        <w:rPr>
          <w:rFonts w:hint="default"/>
          <w:sz w:val="21"/>
        </w:rPr>
      </w:pPr>
      <w:r>
        <w:rPr>
          <w:rFonts w:hint="eastAsia"/>
          <w:sz w:val="21"/>
        </w:rPr>
        <w:t>・地域においても、就労支援事業所等から物品等の優先調達が図られるよう、町内の就労支援事業所等が提供できる物品等の情報を地域に広く周知するために、就労支援事業所等と連携した効果的な情報提供に取り組みます。</w:t>
      </w:r>
    </w:p>
    <w:p>
      <w:pPr>
        <w:pStyle w:val="0"/>
        <w:ind w:left="896" w:leftChars="300" w:hanging="224" w:hangingChars="100"/>
        <w:rPr>
          <w:rFonts w:hint="default" w:ascii="ＭＳ ゴシック" w:hAnsi="ＭＳ ゴシック" w:eastAsia="ＭＳ ゴシック"/>
        </w:rPr>
      </w:pPr>
    </w:p>
    <w:p>
      <w:pPr>
        <w:pStyle w:val="73"/>
        <w:ind w:left="672" w:hanging="224"/>
        <w:rPr>
          <w:rFonts w:hint="default"/>
          <w:color w:val="auto"/>
        </w:rPr>
      </w:pPr>
      <w:r>
        <w:rPr>
          <w:rFonts w:hint="eastAsia"/>
          <w:color w:val="auto"/>
        </w:rPr>
        <w:t>④町の障がい者法定雇用率の維持</w:t>
      </w:r>
    </w:p>
    <w:p>
      <w:pPr>
        <w:pStyle w:val="0"/>
        <w:ind w:left="886" w:leftChars="300" w:hanging="214" w:hangingChars="100"/>
        <w:rPr>
          <w:rFonts w:hint="default"/>
          <w:sz w:val="21"/>
        </w:rPr>
      </w:pPr>
      <w:r>
        <w:rPr>
          <w:rFonts w:hint="default"/>
          <w:sz w:val="21"/>
        </w:rPr>
        <w:t>・</w:t>
      </w:r>
      <w:r>
        <w:rPr>
          <w:rFonts w:hint="eastAsia"/>
          <w:sz w:val="21"/>
        </w:rPr>
        <w:t>法定雇用率を意識した雇用と職場環境の充実を図っていきます。</w:t>
      </w:r>
    </w:p>
    <w:p>
      <w:pPr>
        <w:pStyle w:val="0"/>
        <w:ind w:left="886" w:leftChars="300" w:hanging="214" w:hangingChars="100"/>
        <w:rPr>
          <w:rFonts w:hint="default"/>
          <w:sz w:val="21"/>
        </w:rPr>
      </w:pPr>
      <w:r>
        <w:rPr>
          <w:rFonts w:hint="eastAsia"/>
          <w:sz w:val="21"/>
        </w:rPr>
        <w:t>・障がいのある職員が働きやすいよう、必要に応じてその能力と適正に応じた業務内容等について検討します。</w:t>
      </w:r>
    </w:p>
    <w:p>
      <w:pPr>
        <w:pStyle w:val="0"/>
        <w:ind w:left="896" w:leftChars="300" w:hanging="224" w:hangingChars="100"/>
        <w:rPr>
          <w:rFonts w:hint="default" w:ascii="ＭＳ ゴシック" w:hAnsi="ＭＳ ゴシック" w:eastAsia="ＭＳ ゴシック"/>
        </w:rPr>
      </w:pPr>
    </w:p>
    <w:p>
      <w:pPr>
        <w:pStyle w:val="0"/>
        <w:ind w:left="896" w:leftChars="300" w:hanging="224" w:hangingChars="100"/>
        <w:rPr>
          <w:rFonts w:hint="default" w:ascii="ＭＳ ゴシック" w:hAnsi="ＭＳ ゴシック" w:eastAsia="ＭＳ ゴシック"/>
        </w:rPr>
      </w:pPr>
    </w:p>
    <w:p>
      <w:pPr>
        <w:pStyle w:val="0"/>
        <w:ind w:left="896" w:leftChars="300" w:hanging="224" w:hangingChars="100"/>
        <w:rPr>
          <w:rFonts w:hint="default" w:ascii="ＭＳ ゴシック" w:hAnsi="ＭＳ ゴシック" w:eastAsia="ＭＳ ゴシック"/>
        </w:rPr>
      </w:pPr>
    </w:p>
    <w:p>
      <w:pPr>
        <w:pStyle w:val="0"/>
        <w:widowControl w:val="1"/>
        <w:jc w:val="left"/>
        <w:rPr>
          <w:rFonts w:hint="default"/>
          <w:sz w:val="21"/>
        </w:rPr>
      </w:pPr>
      <w:r>
        <w:rPr>
          <w:rFonts w:hint="default"/>
          <w:sz w:val="21"/>
        </w:rPr>
        <w:br w:type="page"/>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96" w:leftChars="300" w:hanging="224" w:hangingChars="100"/>
        <w:rPr>
          <w:rFonts w:hint="default"/>
          <w:sz w:val="21"/>
        </w:rPr>
      </w:pPr>
      <w:r>
        <w:rPr>
          <w:rFonts w:hint="default"/>
        </w:rPr>
        <mc:AlternateContent>
          <mc:Choice Requires="wps">
            <w:drawing>
              <wp:anchor distT="0" distB="0" distL="114300" distR="114300" simplePos="0" relativeHeight="235" behindDoc="0" locked="1" layoutInCell="1" hidden="0" allowOverlap="1">
                <wp:simplePos x="0" y="0"/>
                <wp:positionH relativeFrom="column">
                  <wp:posOffset>-266700</wp:posOffset>
                </wp:positionH>
                <wp:positionV relativeFrom="page">
                  <wp:posOffset>5840730</wp:posOffset>
                </wp:positionV>
                <wp:extent cx="6920865" cy="4728210"/>
                <wp:effectExtent l="635" t="635" r="29845" b="10795"/>
                <wp:wrapNone/>
                <wp:docPr id="1238" name="正方形/長方形 15"/>
                <a:graphic xmlns:a="http://schemas.openxmlformats.org/drawingml/2006/main">
                  <a:graphicData uri="http://schemas.microsoft.com/office/word/2010/wordprocessingShape">
                    <wps:wsp>
                      <wps:cNvPr id="1238" name="正方形/長方形 15"/>
                      <wps:cNvSpPr/>
                      <wps:spPr>
                        <a:xfrm>
                          <a:off x="0" y="0"/>
                          <a:ext cx="6920865" cy="47282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5" style="mso-wrap-distance-right:9pt;mso-wrap-distance-bottom:0pt;margin-top:459.9pt;mso-position-vertical-relative:page;mso-position-horizontal-relative:text;position:absolute;height:372.3pt;mso-wrap-distance-top:0pt;width:544.95000000000005pt;mso-wrap-distance-left:9pt;margin-left:-21pt;z-index:235;" o:spid="_x0000_s1238"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page"/>
                <w10:anchorlock/>
              </v:rect>
            </w:pict>
          </mc:Fallback>
        </mc:AlternateContent>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r>
        <w:rPr>
          <w:rFonts w:hint="default"/>
          <w:sz w:val="21"/>
        </w:rPr>
        <mc:AlternateContent>
          <mc:Choice Requires="wps">
            <w:drawing>
              <wp:anchor distT="0" distB="0" distL="114300" distR="114300" simplePos="0" relativeHeight="52" behindDoc="0" locked="0" layoutInCell="1" hidden="0" allowOverlap="1">
                <wp:simplePos x="0" y="0"/>
                <wp:positionH relativeFrom="column">
                  <wp:posOffset>1149985</wp:posOffset>
                </wp:positionH>
                <wp:positionV relativeFrom="paragraph">
                  <wp:posOffset>127000</wp:posOffset>
                </wp:positionV>
                <wp:extent cx="3782060" cy="3013075"/>
                <wp:effectExtent l="0" t="0" r="635" b="635"/>
                <wp:wrapNone/>
                <wp:docPr id="1239" name="正方形/長方形 137"/>
                <a:graphic xmlns:a="http://schemas.openxmlformats.org/drawingml/2006/main">
                  <a:graphicData uri="http://schemas.microsoft.com/office/word/2010/wordprocessingShape">
                    <wps:wsp>
                      <wps:cNvPr id="1239" name="正方形/長方形 137"/>
                      <wps:cNvSpPr/>
                      <wps:spPr>
                        <a:xfrm>
                          <a:off x="0" y="0"/>
                          <a:ext cx="3782060" cy="3013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37" style="mso-wrap-distance-right:9pt;mso-wrap-distance-bottom:0pt;margin-top:10pt;mso-position-vertical-relative:text;mso-position-horizontal-relative:text;position:absolute;height:237.25pt;mso-wrap-distance-top:0pt;width:297.8pt;mso-wrap-distance-left:9pt;margin-left:90.55pt;z-index:52;" o:spid="_x0000_s1239" o:allowincell="t" o:allowoverlap="t" filled="t" fillcolor="#ffffff [3212]" stroked="f" strokecolor="#42709c" strokeweight="1pt" o:spt="1">
                <v:fill/>
                <v:stroke linestyle="single" miterlimit="8" endcap="flat" dashstyle="solid"/>
                <v:textbox style="layout-flow:horizontal;"/>
                <v:imagedata o:title=""/>
                <w10:wrap type="none" anchorx="text" anchory="text"/>
              </v:rect>
            </w:pict>
          </mc:Fallback>
        </mc:AlternateContent>
      </w:r>
    </w:p>
    <w:p>
      <w:pPr>
        <w:pStyle w:val="0"/>
        <w:ind w:left="886" w:leftChars="300" w:hanging="214" w:hangingChars="100"/>
        <w:rPr>
          <w:rFonts w:hint="default"/>
          <w:sz w:val="21"/>
        </w:rPr>
      </w:pPr>
    </w:p>
    <w:p>
      <w:pPr>
        <w:pStyle w:val="0"/>
        <w:widowControl w:val="1"/>
        <w:jc w:val="left"/>
        <w:rPr>
          <w:rFonts w:hint="default"/>
          <w:kern w:val="0"/>
        </w:rPr>
      </w:pPr>
      <w:bookmarkEnd w:id="25"/>
      <w:bookmarkEnd w:id="37"/>
      <w:r>
        <w:rPr>
          <w:rFonts w:hint="default"/>
        </w:rPr>
        <w:br w:type="page"/>
      </w:r>
    </w:p>
    <w:p>
      <w:pPr>
        <w:pStyle w:val="22"/>
        <w:spacing w:after="296" w:afterLines="0" w:afterAutospacing="0"/>
        <w:rPr>
          <w:rFonts w:hint="default"/>
        </w:rPr>
      </w:pPr>
      <w:bookmarkStart w:id="164" w:name="_Toc162263678"/>
      <w:bookmarkStart w:id="165" w:name="_Toc505592304"/>
      <w:bookmarkStart w:id="166" w:name="_Toc62832255"/>
      <w:r>
        <w:rPr>
          <w:rFonts w:hint="default"/>
        </w:rPr>
        <w:t>第</w:t>
      </w:r>
      <w:r>
        <w:rPr>
          <w:rFonts w:hint="eastAsia"/>
        </w:rPr>
        <w:t>５</w:t>
      </w:r>
      <w:r>
        <w:rPr>
          <w:rFonts w:hint="default"/>
        </w:rPr>
        <w:t>章　</w:t>
      </w:r>
      <w:r>
        <w:rPr>
          <w:rFonts w:hint="eastAsia"/>
        </w:rPr>
        <w:t>第７期障がい</w:t>
      </w:r>
      <w:r>
        <w:rPr>
          <w:rFonts w:hint="default"/>
        </w:rPr>
        <w:t>福祉</w:t>
      </w:r>
      <w:r>
        <w:rPr>
          <w:rFonts w:hint="eastAsia"/>
        </w:rPr>
        <w:t>計画</w:t>
      </w:r>
      <w:bookmarkEnd w:id="164"/>
      <w:bookmarkEnd w:id="165"/>
      <w:bookmarkEnd w:id="166"/>
    </w:p>
    <w:p>
      <w:pPr>
        <w:pStyle w:val="80"/>
        <w:spacing w:after="92" w:afterLines="0" w:afterAutospacing="0"/>
        <w:rPr>
          <w:rFonts w:hint="default"/>
        </w:rPr>
      </w:pPr>
      <w:bookmarkStart w:id="167" w:name="_Toc162263679"/>
      <w:bookmarkStart w:id="168" w:name="_Toc410123488"/>
      <w:bookmarkStart w:id="169" w:name="_Toc412313239"/>
      <w:bookmarkStart w:id="170" w:name="_Toc416340575"/>
      <w:bookmarkStart w:id="171" w:name="_Toc505592305"/>
      <w:bookmarkStart w:id="172" w:name="_Toc62832256"/>
      <w:r>
        <w:rPr>
          <w:rFonts w:hint="eastAsia"/>
        </w:rPr>
        <w:t>１．成果</w:t>
      </w:r>
      <w:r>
        <w:rPr>
          <w:rFonts w:hint="default"/>
        </w:rPr>
        <w:t>目標</w:t>
      </w:r>
      <w:bookmarkEnd w:id="167"/>
      <w:bookmarkEnd w:id="168"/>
      <w:bookmarkEnd w:id="169"/>
      <w:bookmarkEnd w:id="170"/>
      <w:bookmarkEnd w:id="171"/>
      <w:bookmarkEnd w:id="172"/>
    </w:p>
    <w:p>
      <w:pPr>
        <w:pStyle w:val="0"/>
        <w:ind w:left="448" w:leftChars="200" w:firstLine="214" w:firstLineChars="100"/>
        <w:rPr>
          <w:rFonts w:hint="default"/>
          <w:sz w:val="21"/>
        </w:rPr>
      </w:pPr>
      <w:r>
        <w:rPr>
          <w:rFonts w:hint="default"/>
          <w:sz w:val="21"/>
        </w:rPr>
        <w:t>障がい者の日常生活及び社会生活における自立に向けた支援を進めていく</w:t>
      </w:r>
      <w:r>
        <w:rPr>
          <w:rFonts w:hint="eastAsia"/>
          <w:sz w:val="21"/>
        </w:rPr>
        <w:t>ために</w:t>
      </w:r>
      <w:r>
        <w:rPr>
          <w:rFonts w:hint="default"/>
          <w:sz w:val="21"/>
        </w:rPr>
        <w:t>、国の基本指針の内容</w:t>
      </w:r>
      <w:r>
        <w:rPr>
          <w:rFonts w:hint="eastAsia"/>
          <w:sz w:val="21"/>
        </w:rPr>
        <w:t>と本町</w:t>
      </w:r>
      <w:r>
        <w:rPr>
          <w:rFonts w:hint="default"/>
          <w:sz w:val="21"/>
        </w:rPr>
        <w:t>の実情を踏まえ</w:t>
      </w:r>
      <w:r>
        <w:rPr>
          <w:rFonts w:hint="eastAsia"/>
          <w:sz w:val="21"/>
        </w:rPr>
        <w:t>た</w:t>
      </w:r>
      <w:r>
        <w:rPr>
          <w:rFonts w:hint="default"/>
          <w:sz w:val="21"/>
        </w:rPr>
        <w:t>成果目標を設定するとともに、目標の達成に向けて関係機関等と連携した取り組みを</w:t>
      </w:r>
      <w:r>
        <w:rPr>
          <w:rFonts w:hint="eastAsia"/>
          <w:sz w:val="21"/>
        </w:rPr>
        <w:t>行い</w:t>
      </w:r>
      <w:r>
        <w:rPr>
          <w:rFonts w:hint="default"/>
          <w:sz w:val="21"/>
        </w:rPr>
        <w:t>ます。</w:t>
      </w:r>
    </w:p>
    <w:p>
      <w:pPr>
        <w:pStyle w:val="0"/>
        <w:spacing w:line="0" w:lineRule="atLeast"/>
        <w:ind w:left="448" w:leftChars="200"/>
        <w:rPr>
          <w:rFonts w:hint="default"/>
          <w:sz w:val="20"/>
        </w:rPr>
      </w:pPr>
    </w:p>
    <w:p>
      <w:pPr>
        <w:pStyle w:val="81"/>
        <w:spacing w:after="37" w:afterLines="0" w:afterAutospacing="0"/>
        <w:ind w:left="224"/>
        <w:rPr>
          <w:rFonts w:hint="default"/>
        </w:rPr>
      </w:pPr>
      <w:bookmarkStart w:id="173" w:name="_Toc67040242"/>
      <w:r>
        <w:rPr>
          <w:rFonts w:hint="default"/>
        </w:rPr>
        <w:t>(</w:t>
      </w:r>
      <w:r>
        <w:rPr>
          <w:rFonts w:hint="eastAsia"/>
        </w:rPr>
        <w:t>１</w:t>
      </w:r>
      <w:r>
        <w:rPr>
          <w:rFonts w:hint="default"/>
        </w:rPr>
        <w:t>)</w:t>
      </w:r>
      <w:r>
        <w:rPr>
          <w:rFonts w:hint="eastAsia"/>
        </w:rPr>
        <w:t>福祉施設の入所者の地域生活への移行</w:t>
      </w:r>
      <w:bookmarkEnd w:id="173"/>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施設入所者の地域生活への移行を進めるため、令和８年度末までに、令和５年３月</w:t>
      </w:r>
      <w:r>
        <w:rPr>
          <w:rFonts w:hint="eastAsia" w:asciiTheme="minorEastAsia" w:hAnsiTheme="minorEastAsia" w:eastAsiaTheme="minorEastAsia"/>
          <w:sz w:val="21"/>
        </w:rPr>
        <w:t>31</w:t>
      </w:r>
      <w:r>
        <w:rPr>
          <w:rFonts w:hint="eastAsia" w:asciiTheme="minorEastAsia" w:hAnsiTheme="minorEastAsia" w:eastAsiaTheme="minorEastAsia"/>
          <w:sz w:val="21"/>
        </w:rPr>
        <w:t>日時点の全施設入所者数</w:t>
      </w:r>
      <w:r>
        <w:rPr>
          <w:rFonts w:hint="eastAsia" w:asciiTheme="minorEastAsia" w:hAnsiTheme="minorEastAsia" w:eastAsiaTheme="minorEastAsia"/>
          <w:sz w:val="21"/>
        </w:rPr>
        <w:t>61</w:t>
      </w:r>
      <w:r>
        <w:rPr>
          <w:rFonts w:hint="eastAsia" w:asciiTheme="minorEastAsia" w:hAnsiTheme="minorEastAsia" w:eastAsiaTheme="minorEastAsia"/>
          <w:sz w:val="21"/>
        </w:rPr>
        <w:t>人の</w:t>
      </w:r>
      <w:r>
        <w:rPr>
          <w:rFonts w:hint="eastAsia" w:asciiTheme="minorEastAsia" w:hAnsiTheme="minorEastAsia" w:eastAsiaTheme="minorEastAsia"/>
          <w:sz w:val="21"/>
        </w:rPr>
        <w:t>3</w:t>
      </w:r>
      <w:r>
        <w:rPr>
          <w:rFonts w:hint="eastAsia" w:asciiTheme="minorEastAsia" w:hAnsiTheme="minorEastAsia" w:eastAsiaTheme="minorEastAsia"/>
          <w:sz w:val="21"/>
        </w:rPr>
        <w:t>％にあたる</w:t>
      </w:r>
      <w:r>
        <w:rPr>
          <w:rFonts w:hint="eastAsia" w:asciiTheme="minorEastAsia" w:hAnsiTheme="minorEastAsia" w:eastAsiaTheme="minorEastAsia"/>
          <w:sz w:val="21"/>
        </w:rPr>
        <w:t>2</w:t>
      </w:r>
      <w:r>
        <w:rPr>
          <w:rFonts w:hint="eastAsia" w:asciiTheme="minorEastAsia" w:hAnsiTheme="minorEastAsia" w:eastAsiaTheme="minorEastAsia"/>
          <w:sz w:val="21"/>
        </w:rPr>
        <w:t>人の地域生活移行を目指します。</w:t>
      </w:r>
    </w:p>
    <w:p>
      <w:pPr>
        <w:pStyle w:val="83"/>
        <w:spacing w:line="0" w:lineRule="atLeast"/>
        <w:ind w:left="672" w:firstLine="204"/>
        <w:rPr>
          <w:rFonts w:hint="default"/>
          <w:sz w:val="20"/>
        </w:rPr>
      </w:pPr>
    </w:p>
    <w:tbl>
      <w:tblPr>
        <w:tblStyle w:val="11"/>
        <w:tblW w:w="8817"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693"/>
        <w:gridCol w:w="1276"/>
        <w:gridCol w:w="4848"/>
      </w:tblGrid>
      <w:tr>
        <w:trPr/>
        <w:tc>
          <w:tcPr>
            <w:tcW w:w="2693" w:type="dxa"/>
            <w:shd w:val="clear" w:color="auto" w:themeFill="background1" w:themeFillTint="FF" w:themeFillShade="D9"/>
            <w:vAlign w:val="center"/>
          </w:tcPr>
          <w:p>
            <w:pPr>
              <w:pStyle w:val="0"/>
              <w:autoSpaceDE w:val="0"/>
              <w:autoSpaceDN w:val="0"/>
              <w:jc w:val="center"/>
              <w:rPr>
                <w:rFonts w:hint="default" w:asciiTheme="minorEastAsia" w:hAnsiTheme="minorEastAsia" w:eastAsiaTheme="minorEastAsia"/>
                <w:sz w:val="20"/>
              </w:rPr>
            </w:pPr>
          </w:p>
        </w:tc>
        <w:tc>
          <w:tcPr>
            <w:tcW w:w="1276" w:type="dxa"/>
            <w:shd w:val="clear" w:color="auto" w:themeFill="background1" w:themeFillTint="FF" w:themeFillShade="D9"/>
            <w:vAlign w:val="center"/>
          </w:tcPr>
          <w:p>
            <w:pPr>
              <w:pStyle w:val="0"/>
              <w:autoSpaceDE w:val="0"/>
              <w:autoSpaceDN w:val="0"/>
              <w:jc w:val="center"/>
              <w:rPr>
                <w:rFonts w:hint="default" w:asciiTheme="minorEastAsia" w:hAnsiTheme="minorEastAsia" w:eastAsiaTheme="minorEastAsia"/>
                <w:sz w:val="20"/>
              </w:rPr>
            </w:pPr>
            <w:r>
              <w:rPr>
                <w:rFonts w:hint="eastAsia" w:asciiTheme="minorEastAsia" w:hAnsiTheme="minorEastAsia" w:eastAsiaTheme="minorEastAsia"/>
                <w:sz w:val="20"/>
              </w:rPr>
              <w:t>数値</w:t>
            </w:r>
          </w:p>
        </w:tc>
        <w:tc>
          <w:tcPr>
            <w:tcW w:w="4848" w:type="dxa"/>
            <w:shd w:val="clear" w:color="auto" w:themeFill="background1" w:themeFillTint="FF" w:themeFillShade="D9"/>
            <w:vAlign w:val="center"/>
          </w:tcPr>
          <w:p>
            <w:pPr>
              <w:pStyle w:val="0"/>
              <w:autoSpaceDE w:val="0"/>
              <w:autoSpaceDN w:val="0"/>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2693" w:type="dxa"/>
            <w:shd w:val="clear" w:color="auto" w:themeFill="background1" w:themeFillTint="FF" w:themeFillShade="D9"/>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現入所者数</w:t>
            </w:r>
            <w:r>
              <w:rPr>
                <w:rFonts w:hint="eastAsia" w:asciiTheme="minorEastAsia" w:hAnsiTheme="minorEastAsia" w:eastAsiaTheme="minorEastAsia"/>
                <w:sz w:val="20"/>
              </w:rPr>
              <w:t>(A)</w:t>
            </w:r>
          </w:p>
        </w:tc>
        <w:tc>
          <w:tcPr>
            <w:tcW w:w="1276" w:type="dxa"/>
            <w:shd w:val="clear" w:color="auto" w:fill="auto"/>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61</w:t>
            </w:r>
            <w:r>
              <w:rPr>
                <w:rFonts w:hint="eastAsia" w:asciiTheme="minorEastAsia" w:hAnsiTheme="minorEastAsia" w:eastAsiaTheme="minorEastAsia"/>
                <w:sz w:val="20"/>
              </w:rPr>
              <w:t>人</w:t>
            </w:r>
            <w:r>
              <w:rPr>
                <w:rFonts w:hint="eastAsia" w:asciiTheme="minorEastAsia" w:hAnsiTheme="minorEastAsia" w:eastAsiaTheme="minorEastAsia"/>
                <w:sz w:val="20"/>
              </w:rPr>
              <w:t xml:space="preserve"> </w:t>
            </w:r>
          </w:p>
        </w:tc>
        <w:tc>
          <w:tcPr>
            <w:tcW w:w="4848" w:type="dxa"/>
            <w:shd w:val="clear" w:color="auto" w:fill="auto"/>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令和４年度末</w:t>
            </w:r>
            <w:r>
              <w:rPr>
                <w:rFonts w:hint="default" w:asciiTheme="minorEastAsia" w:hAnsiTheme="minorEastAsia" w:eastAsiaTheme="minorEastAsia"/>
                <w:sz w:val="20"/>
              </w:rPr>
              <w:t>(</w:t>
            </w:r>
            <w:r>
              <w:rPr>
                <w:rFonts w:hint="eastAsia" w:asciiTheme="minorEastAsia" w:hAnsiTheme="minorEastAsia" w:eastAsiaTheme="minorEastAsia"/>
                <w:sz w:val="20"/>
              </w:rPr>
              <w:t>Ｒ</w:t>
            </w:r>
            <w:r>
              <w:rPr>
                <w:rFonts w:hint="default" w:asciiTheme="minorEastAsia" w:hAnsiTheme="minorEastAsia" w:eastAsiaTheme="minorEastAsia"/>
                <w:sz w:val="20"/>
              </w:rPr>
              <w:t>5.3.31</w:t>
            </w:r>
            <w:r>
              <w:rPr>
                <w:rFonts w:hint="default" w:asciiTheme="minorEastAsia" w:hAnsiTheme="minorEastAsia" w:eastAsiaTheme="minorEastAsia"/>
                <w:sz w:val="20"/>
              </w:rPr>
              <w:t>現在</w:t>
            </w:r>
            <w:r>
              <w:rPr>
                <w:rFonts w:hint="default" w:asciiTheme="minorEastAsia" w:hAnsiTheme="minorEastAsia" w:eastAsiaTheme="minorEastAsia"/>
                <w:sz w:val="20"/>
              </w:rPr>
              <w:t>)</w:t>
            </w:r>
            <w:r>
              <w:rPr>
                <w:rFonts w:hint="default" w:asciiTheme="minorEastAsia" w:hAnsiTheme="minorEastAsia" w:eastAsiaTheme="minorEastAsia"/>
                <w:sz w:val="20"/>
              </w:rPr>
              <w:t>の</w:t>
            </w:r>
            <w:r>
              <w:rPr>
                <w:rFonts w:hint="eastAsia" w:asciiTheme="minorEastAsia" w:hAnsiTheme="minorEastAsia" w:eastAsiaTheme="minorEastAsia"/>
                <w:sz w:val="20"/>
              </w:rPr>
              <w:t>入所者数</w:t>
            </w:r>
          </w:p>
        </w:tc>
      </w:tr>
      <w:tr>
        <w:trPr/>
        <w:tc>
          <w:tcPr>
            <w:tcW w:w="2693" w:type="dxa"/>
            <w:shd w:val="clear" w:color="auto" w:themeFill="background1" w:themeFillTint="FF" w:themeFillShade="D9"/>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目標年度入所者数</w:t>
            </w:r>
            <w:r>
              <w:rPr>
                <w:rFonts w:hint="eastAsia" w:asciiTheme="minorEastAsia" w:hAnsiTheme="minorEastAsia" w:eastAsiaTheme="minorEastAsia"/>
                <w:sz w:val="20"/>
              </w:rPr>
              <w:t>(B)</w:t>
            </w:r>
          </w:p>
        </w:tc>
        <w:tc>
          <w:tcPr>
            <w:tcW w:w="1276" w:type="dxa"/>
            <w:shd w:val="clear" w:color="auto" w:fill="auto"/>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59</w:t>
            </w:r>
            <w:r>
              <w:rPr>
                <w:rFonts w:hint="eastAsia" w:asciiTheme="minorEastAsia" w:hAnsiTheme="minorEastAsia" w:eastAsiaTheme="minorEastAsia"/>
                <w:sz w:val="20"/>
              </w:rPr>
              <w:t>人</w:t>
            </w:r>
            <w:r>
              <w:rPr>
                <w:rFonts w:hint="eastAsia" w:asciiTheme="minorEastAsia" w:hAnsiTheme="minorEastAsia" w:eastAsiaTheme="minorEastAsia"/>
                <w:sz w:val="20"/>
              </w:rPr>
              <w:t xml:space="preserve"> </w:t>
            </w:r>
          </w:p>
        </w:tc>
        <w:tc>
          <w:tcPr>
            <w:tcW w:w="4848" w:type="dxa"/>
            <w:shd w:val="clear" w:color="auto" w:fill="auto"/>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令和８年度末の見込み</w:t>
            </w:r>
          </w:p>
        </w:tc>
      </w:tr>
      <w:tr>
        <w:trPr/>
        <w:tc>
          <w:tcPr>
            <w:tcW w:w="2693" w:type="dxa"/>
            <w:shd w:val="clear" w:color="auto" w:themeFill="background1" w:themeFillTint="FF" w:themeFillShade="D9"/>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削減見込目標値</w:t>
            </w:r>
            <w:r>
              <w:rPr>
                <w:rFonts w:hint="eastAsia" w:asciiTheme="minorEastAsia" w:hAnsiTheme="minorEastAsia" w:eastAsiaTheme="minorEastAsia"/>
                <w:sz w:val="20"/>
              </w:rPr>
              <w:t>(C)</w:t>
            </w:r>
          </w:p>
        </w:tc>
        <w:tc>
          <w:tcPr>
            <w:tcW w:w="1276" w:type="dxa"/>
            <w:shd w:val="clear" w:color="auto" w:fill="auto"/>
            <w:vAlign w:val="center"/>
          </w:tcPr>
          <w:p>
            <w:pPr>
              <w:pStyle w:val="0"/>
              <w:jc w:val="right"/>
              <w:rPr>
                <w:rFonts w:hint="default" w:asciiTheme="minorEastAsia" w:hAnsiTheme="minorEastAsia" w:eastAsiaTheme="minorEastAsia"/>
                <w:sz w:val="20"/>
              </w:rPr>
            </w:pPr>
            <w:r>
              <w:rPr>
                <w:rFonts w:hint="default" w:asciiTheme="minorEastAsia" w:hAnsiTheme="minorEastAsia" w:eastAsiaTheme="minorEastAsia"/>
                <w:sz w:val="20"/>
              </w:rPr>
              <w:t>2</w:t>
            </w:r>
            <w:r>
              <w:rPr>
                <w:rFonts w:hint="eastAsia" w:asciiTheme="minorEastAsia" w:hAnsiTheme="minorEastAsia" w:eastAsiaTheme="minorEastAsia"/>
                <w:sz w:val="20"/>
              </w:rPr>
              <w:t>人</w:t>
            </w:r>
            <w:r>
              <w:rPr>
                <w:rFonts w:hint="eastAsia" w:asciiTheme="minorEastAsia" w:hAnsiTheme="minorEastAsia" w:eastAsiaTheme="minorEastAsia"/>
                <w:sz w:val="20"/>
              </w:rPr>
              <w:t xml:space="preserve"> </w:t>
            </w:r>
            <w:r>
              <w:rPr>
                <w:rFonts w:hint="eastAsia" w:asciiTheme="minorEastAsia" w:hAnsiTheme="minorEastAsia" w:eastAsiaTheme="minorEastAsia"/>
                <w:sz w:val="20"/>
              </w:rPr>
              <w:br w:type="textWrapping" w:clear="none"/>
            </w:r>
            <w:r>
              <w:rPr>
                <w:rFonts w:hint="eastAsia" w:asciiTheme="minorEastAsia" w:hAnsiTheme="minorEastAsia" w:eastAsiaTheme="minorEastAsia"/>
                <w:sz w:val="20"/>
              </w:rPr>
              <w:t>3</w:t>
            </w:r>
            <w:r>
              <w:rPr>
                <w:rFonts w:hint="eastAsia" w:asciiTheme="minorEastAsia" w:hAnsiTheme="minorEastAsia" w:eastAsiaTheme="minorEastAsia"/>
                <w:sz w:val="20"/>
              </w:rPr>
              <w:t>％</w:t>
            </w:r>
          </w:p>
        </w:tc>
        <w:tc>
          <w:tcPr>
            <w:tcW w:w="4848" w:type="dxa"/>
            <w:shd w:val="clear" w:color="auto" w:fill="auto"/>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(C)</w:t>
            </w:r>
            <w:r>
              <w:rPr>
                <w:rFonts w:hint="eastAsia" w:asciiTheme="minorEastAsia" w:hAnsiTheme="minorEastAsia" w:eastAsiaTheme="minorEastAsia"/>
                <w:sz w:val="20"/>
              </w:rPr>
              <w:t>＝</w:t>
            </w:r>
            <w:r>
              <w:rPr>
                <w:rFonts w:hint="eastAsia" w:asciiTheme="minorEastAsia" w:hAnsiTheme="minorEastAsia" w:eastAsiaTheme="minorEastAsia"/>
                <w:sz w:val="20"/>
              </w:rPr>
              <w:t>(A)</w:t>
            </w:r>
            <w:r>
              <w:rPr>
                <w:rFonts w:hint="eastAsia" w:asciiTheme="minorEastAsia" w:hAnsiTheme="minorEastAsia" w:eastAsiaTheme="minorEastAsia"/>
                <w:sz w:val="20"/>
              </w:rPr>
              <w:t>－</w:t>
            </w:r>
            <w:r>
              <w:rPr>
                <w:rFonts w:hint="eastAsia" w:asciiTheme="minorEastAsia" w:hAnsiTheme="minorEastAsia" w:eastAsiaTheme="minorEastAsia"/>
                <w:sz w:val="20"/>
              </w:rPr>
              <w:t>(B)</w:t>
            </w:r>
            <w:r>
              <w:rPr>
                <w:rFonts w:hint="eastAsia" w:asciiTheme="minorEastAsia" w:hAnsiTheme="minorEastAsia" w:eastAsiaTheme="minorEastAsia"/>
                <w:sz w:val="20"/>
              </w:rPr>
              <w:t>＝</w:t>
            </w:r>
            <w:r>
              <w:rPr>
                <w:rFonts w:hint="eastAsia" w:asciiTheme="minorEastAsia" w:hAnsiTheme="minorEastAsia" w:eastAsiaTheme="minorEastAsia"/>
                <w:sz w:val="20"/>
              </w:rPr>
              <w:t>(E)</w:t>
            </w:r>
            <w:r>
              <w:rPr>
                <w:rFonts w:hint="eastAsia" w:asciiTheme="minorEastAsia" w:hAnsiTheme="minorEastAsia" w:eastAsiaTheme="minorEastAsia"/>
                <w:sz w:val="20"/>
              </w:rPr>
              <w:t>－</w:t>
            </w:r>
            <w:r>
              <w:rPr>
                <w:rFonts w:hint="eastAsia" w:asciiTheme="minorEastAsia" w:hAnsiTheme="minorEastAsia" w:eastAsiaTheme="minorEastAsia"/>
                <w:sz w:val="20"/>
              </w:rPr>
              <w:t>(D)</w:t>
            </w:r>
            <w:r>
              <w:rPr>
                <w:rFonts w:hint="eastAsia" w:asciiTheme="minorEastAsia" w:hAnsiTheme="minorEastAsia" w:eastAsiaTheme="minorEastAsia"/>
                <w:sz w:val="20"/>
              </w:rPr>
              <w:t>の値</w:t>
            </w:r>
          </w:p>
          <w:p>
            <w:pPr>
              <w:pStyle w:val="0"/>
              <w:autoSpaceDE w:val="0"/>
              <w:autoSpaceDN w:val="0"/>
              <w:rPr>
                <w:rFonts w:hint="default" w:asciiTheme="minorEastAsia" w:hAnsiTheme="minorEastAsia" w:eastAsiaTheme="minorEastAsia"/>
                <w:sz w:val="20"/>
              </w:rPr>
            </w:pPr>
            <w:r>
              <w:rPr>
                <w:rFonts w:hint="default" w:asciiTheme="minorEastAsia" w:hAnsiTheme="minorEastAsia" w:eastAsiaTheme="minorEastAsia"/>
                <w:sz w:val="20"/>
              </w:rPr>
              <w:t>(</w:t>
            </w:r>
            <w:r>
              <w:rPr>
                <w:rFonts w:hint="eastAsia" w:asciiTheme="minorEastAsia" w:hAnsiTheme="minorEastAsia" w:eastAsiaTheme="minorEastAsia"/>
                <w:sz w:val="20"/>
              </w:rPr>
              <w:t>国指針：目標５％以上削減</w:t>
            </w:r>
            <w:r>
              <w:rPr>
                <w:rFonts w:hint="default" w:asciiTheme="minorEastAsia" w:hAnsiTheme="minorEastAsia" w:eastAsiaTheme="minorEastAsia"/>
                <w:sz w:val="20"/>
              </w:rPr>
              <w:t>)</w:t>
            </w:r>
          </w:p>
        </w:tc>
      </w:tr>
      <w:tr>
        <w:trPr/>
        <w:tc>
          <w:tcPr>
            <w:tcW w:w="2693" w:type="dxa"/>
            <w:shd w:val="clear" w:color="auto" w:themeFill="background1" w:themeFillTint="FF" w:themeFillShade="D9"/>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新規入所者数</w:t>
            </w:r>
            <w:r>
              <w:rPr>
                <w:rFonts w:hint="eastAsia" w:asciiTheme="minorEastAsia" w:hAnsiTheme="minorEastAsia" w:eastAsiaTheme="minorEastAsia"/>
                <w:sz w:val="20"/>
              </w:rPr>
              <w:t>(D)</w:t>
            </w:r>
          </w:p>
        </w:tc>
        <w:tc>
          <w:tcPr>
            <w:tcW w:w="1276" w:type="dxa"/>
            <w:shd w:val="clear" w:color="auto" w:fill="auto"/>
            <w:vAlign w:val="center"/>
          </w:tcPr>
          <w:p>
            <w:pPr>
              <w:pStyle w:val="0"/>
              <w:jc w:val="right"/>
              <w:rPr>
                <w:rFonts w:hint="default" w:asciiTheme="minorEastAsia" w:hAnsiTheme="minorEastAsia" w:eastAsiaTheme="minorEastAsia"/>
                <w:sz w:val="20"/>
              </w:rPr>
            </w:pPr>
            <w:r>
              <w:rPr>
                <w:rFonts w:hint="default" w:asciiTheme="minorEastAsia" w:hAnsiTheme="minorEastAsia" w:eastAsiaTheme="minorEastAsia"/>
                <w:sz w:val="20"/>
              </w:rPr>
              <w:t>3</w:t>
            </w:r>
            <w:r>
              <w:rPr>
                <w:rFonts w:hint="eastAsia" w:asciiTheme="minorEastAsia" w:hAnsiTheme="minorEastAsia" w:eastAsiaTheme="minorEastAsia"/>
                <w:sz w:val="20"/>
              </w:rPr>
              <w:t>人</w:t>
            </w:r>
            <w:r>
              <w:rPr>
                <w:rFonts w:hint="eastAsia" w:asciiTheme="minorEastAsia" w:hAnsiTheme="minorEastAsia" w:eastAsiaTheme="minorEastAsia"/>
                <w:sz w:val="20"/>
              </w:rPr>
              <w:t xml:space="preserve"> </w:t>
            </w:r>
          </w:p>
        </w:tc>
        <w:tc>
          <w:tcPr>
            <w:tcW w:w="4848" w:type="dxa"/>
            <w:shd w:val="clear" w:color="auto" w:fill="auto"/>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令和６年から令和８年度末までの新規入所者の見込</w:t>
            </w:r>
          </w:p>
        </w:tc>
      </w:tr>
      <w:tr>
        <w:trPr/>
        <w:tc>
          <w:tcPr>
            <w:tcW w:w="2693" w:type="dxa"/>
            <w:shd w:val="clear" w:color="auto" w:themeFill="background1" w:themeFillTint="FF" w:themeFillShade="D9"/>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退所者数</w:t>
            </w:r>
            <w:r>
              <w:rPr>
                <w:rFonts w:hint="eastAsia" w:asciiTheme="minorEastAsia" w:hAnsiTheme="minorEastAsia" w:eastAsiaTheme="minorEastAsia"/>
                <w:sz w:val="20"/>
              </w:rPr>
              <w:t>(E)</w:t>
            </w:r>
          </w:p>
        </w:tc>
        <w:tc>
          <w:tcPr>
            <w:tcW w:w="1276" w:type="dxa"/>
            <w:shd w:val="clear" w:color="auto" w:fill="auto"/>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5</w:t>
            </w:r>
            <w:r>
              <w:rPr>
                <w:rFonts w:hint="eastAsia" w:asciiTheme="minorEastAsia" w:hAnsiTheme="minorEastAsia" w:eastAsiaTheme="minorEastAsia"/>
                <w:sz w:val="20"/>
              </w:rPr>
              <w:t>人</w:t>
            </w:r>
            <w:r>
              <w:rPr>
                <w:rFonts w:hint="eastAsia" w:asciiTheme="minorEastAsia" w:hAnsiTheme="minorEastAsia" w:eastAsiaTheme="minorEastAsia"/>
                <w:sz w:val="20"/>
              </w:rPr>
              <w:t xml:space="preserve"> </w:t>
            </w:r>
          </w:p>
        </w:tc>
        <w:tc>
          <w:tcPr>
            <w:tcW w:w="4848" w:type="dxa"/>
            <w:shd w:val="clear" w:color="auto" w:fill="auto"/>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令和６年から令和８年度末までの退所者の見込</w:t>
            </w:r>
          </w:p>
        </w:tc>
      </w:tr>
      <w:tr>
        <w:trPr/>
        <w:tc>
          <w:tcPr>
            <w:tcW w:w="2693" w:type="dxa"/>
            <w:shd w:val="clear" w:color="auto" w:themeFill="background1" w:themeFillTint="FF" w:themeFillShade="D9"/>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地域移行目標数</w:t>
            </w:r>
            <w:r>
              <w:rPr>
                <w:rFonts w:hint="eastAsia" w:asciiTheme="minorEastAsia" w:hAnsiTheme="minorEastAsia" w:eastAsiaTheme="minorEastAsia"/>
                <w:sz w:val="20"/>
              </w:rPr>
              <w:t>(F)</w:t>
            </w:r>
          </w:p>
        </w:tc>
        <w:tc>
          <w:tcPr>
            <w:tcW w:w="1276" w:type="dxa"/>
            <w:shd w:val="clear" w:color="auto" w:fill="auto"/>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2</w:t>
            </w:r>
            <w:r>
              <w:rPr>
                <w:rFonts w:hint="eastAsia" w:asciiTheme="minorEastAsia" w:hAnsiTheme="minorEastAsia" w:eastAsiaTheme="minorEastAsia"/>
                <w:sz w:val="20"/>
              </w:rPr>
              <w:t>人</w:t>
            </w:r>
            <w:r>
              <w:rPr>
                <w:rFonts w:hint="eastAsia" w:asciiTheme="minorEastAsia" w:hAnsiTheme="minorEastAsia" w:eastAsiaTheme="minorEastAsia"/>
                <w:sz w:val="20"/>
              </w:rPr>
              <w:t xml:space="preserve"> </w:t>
            </w:r>
            <w:r>
              <w:rPr>
                <w:rFonts w:hint="eastAsia" w:asciiTheme="minorEastAsia" w:hAnsiTheme="minorEastAsia" w:eastAsiaTheme="minorEastAsia"/>
                <w:sz w:val="20"/>
              </w:rPr>
              <w:br w:type="textWrapping" w:clear="none"/>
            </w:r>
            <w:r>
              <w:rPr>
                <w:rFonts w:hint="default" w:asciiTheme="minorEastAsia" w:hAnsiTheme="minorEastAsia" w:eastAsiaTheme="minorEastAsia"/>
                <w:sz w:val="20"/>
              </w:rPr>
              <w:t>3</w:t>
            </w:r>
            <w:r>
              <w:rPr>
                <w:rFonts w:hint="eastAsia" w:asciiTheme="minorEastAsia" w:hAnsiTheme="minorEastAsia" w:eastAsiaTheme="minorEastAsia"/>
                <w:sz w:val="20"/>
              </w:rPr>
              <w:t>％</w:t>
            </w:r>
          </w:p>
        </w:tc>
        <w:tc>
          <w:tcPr>
            <w:tcW w:w="4848" w:type="dxa"/>
            <w:shd w:val="clear" w:color="auto" w:fill="auto"/>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(E)</w:t>
            </w:r>
            <w:r>
              <w:rPr>
                <w:rFonts w:hint="eastAsia" w:asciiTheme="minorEastAsia" w:hAnsiTheme="minorEastAsia" w:eastAsiaTheme="minorEastAsia"/>
                <w:sz w:val="20"/>
              </w:rPr>
              <w:t>のうち、地域移行目標者</w:t>
            </w:r>
          </w:p>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w:t>
            </w:r>
            <w:r>
              <w:rPr>
                <w:rFonts w:hint="eastAsia" w:asciiTheme="minorEastAsia" w:hAnsiTheme="minorEastAsia" w:eastAsiaTheme="minorEastAsia"/>
                <w:sz w:val="20"/>
              </w:rPr>
              <w:t>国指針：目標６％以上移行</w:t>
            </w:r>
            <w:r>
              <w:rPr>
                <w:rFonts w:hint="eastAsia" w:asciiTheme="minorEastAsia" w:hAnsiTheme="minorEastAsia" w:eastAsiaTheme="minorEastAsia"/>
                <w:sz w:val="20"/>
              </w:rPr>
              <w:t>)</w:t>
            </w:r>
          </w:p>
        </w:tc>
      </w:tr>
    </w:tbl>
    <w:p>
      <w:pPr>
        <w:pStyle w:val="83"/>
        <w:spacing w:line="0" w:lineRule="atLeast"/>
        <w:ind w:left="672" w:firstLine="204"/>
        <w:rPr>
          <w:rFonts w:hint="default"/>
          <w:sz w:val="20"/>
        </w:rPr>
      </w:pPr>
    </w:p>
    <w:tbl>
      <w:tblPr>
        <w:tblStyle w:val="11"/>
        <w:tblW w:w="8811" w:type="dxa"/>
        <w:tblInd w:w="817"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Look w:firstRow="1" w:lastRow="0" w:firstColumn="1" w:lastColumn="0" w:noHBand="0" w:noVBand="1" w:val="04A0"/>
      </w:tblPr>
      <w:tblGrid>
        <w:gridCol w:w="8811"/>
      </w:tblGrid>
      <w:tr>
        <w:trPr/>
        <w:tc>
          <w:tcPr>
            <w:tcW w:w="8811" w:type="dxa"/>
            <w:shd w:val="clear" w:color="auto" w:fill="auto"/>
            <w:tcMar>
              <w:top w:w="57" w:type="dxa"/>
              <w:bottom w:w="57" w:type="dxa"/>
            </w:tcMar>
            <w:vAlign w:val="top"/>
          </w:tcPr>
          <w:p>
            <w:pPr>
              <w:pStyle w:val="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削減見込み数及び地域移行者数設定の根拠（考え方）</w:t>
            </w:r>
          </w:p>
          <w:p>
            <w:pPr>
              <w:pStyle w:val="0"/>
              <w:ind w:left="448" w:leftChars="100" w:hanging="224" w:hangingChars="100"/>
              <w:rPr>
                <w:rFonts w:hint="default" w:asciiTheme="minorEastAsia" w:hAnsiTheme="minorEastAsia" w:eastAsiaTheme="minorEastAsia"/>
              </w:rPr>
            </w:pPr>
            <w:r>
              <w:rPr>
                <w:rFonts w:hint="eastAsia" w:asciiTheme="minorEastAsia" w:hAnsiTheme="minorEastAsia" w:eastAsiaTheme="minorEastAsia"/>
              </w:rPr>
              <w:t>・令和６年～令和８年度末までの新規入所者数を</w:t>
            </w:r>
            <w:r>
              <w:rPr>
                <w:rFonts w:hint="default" w:asciiTheme="minorEastAsia" w:hAnsiTheme="minorEastAsia" w:eastAsiaTheme="minorEastAsia"/>
              </w:rPr>
              <w:t>3</w:t>
            </w:r>
            <w:r>
              <w:rPr>
                <w:rFonts w:hint="default" w:asciiTheme="minorEastAsia" w:hAnsiTheme="minorEastAsia" w:eastAsiaTheme="minorEastAsia"/>
              </w:rPr>
              <w:t>人</w:t>
            </w:r>
            <w:r>
              <w:rPr>
                <w:rFonts w:hint="eastAsia" w:asciiTheme="minorEastAsia" w:hAnsiTheme="minorEastAsia" w:eastAsiaTheme="minorEastAsia"/>
              </w:rPr>
              <w:t>、退所者数を</w:t>
            </w:r>
            <w:r>
              <w:rPr>
                <w:rFonts w:hint="default" w:asciiTheme="minorEastAsia" w:hAnsiTheme="minorEastAsia" w:eastAsiaTheme="minorEastAsia"/>
              </w:rPr>
              <w:t>5</w:t>
            </w:r>
            <w:r>
              <w:rPr>
                <w:rFonts w:hint="eastAsia" w:asciiTheme="minorEastAsia" w:hAnsiTheme="minorEastAsia" w:eastAsiaTheme="minorEastAsia"/>
              </w:rPr>
              <w:t>人と見込み、削減見込み目標を</w:t>
            </w:r>
            <w:r>
              <w:rPr>
                <w:rFonts w:hint="default" w:asciiTheme="minorEastAsia" w:hAnsiTheme="minorEastAsia" w:eastAsiaTheme="minorEastAsia"/>
              </w:rPr>
              <w:t>2</w:t>
            </w:r>
            <w:r>
              <w:rPr>
                <w:rFonts w:hint="eastAsia" w:asciiTheme="minorEastAsia" w:hAnsiTheme="minorEastAsia" w:eastAsiaTheme="minorEastAsia"/>
              </w:rPr>
              <w:t>人としました。その結果、令和８年度末の入所者数は、令和４年度末</w:t>
            </w:r>
            <w:r>
              <w:rPr>
                <w:rFonts w:hint="default" w:asciiTheme="minorEastAsia" w:hAnsiTheme="minorEastAsia" w:eastAsiaTheme="minorEastAsia"/>
              </w:rPr>
              <w:t>の</w:t>
            </w:r>
            <w:r>
              <w:rPr>
                <w:rFonts w:hint="default" w:asciiTheme="minorEastAsia" w:hAnsiTheme="minorEastAsia" w:eastAsiaTheme="minorEastAsia"/>
              </w:rPr>
              <w:t>6</w:t>
            </w:r>
            <w:r>
              <w:rPr>
                <w:rFonts w:hint="eastAsia" w:asciiTheme="minorEastAsia" w:hAnsiTheme="minorEastAsia" w:eastAsiaTheme="minorEastAsia"/>
              </w:rPr>
              <w:t>1</w:t>
            </w:r>
            <w:r>
              <w:rPr>
                <w:rFonts w:hint="eastAsia" w:asciiTheme="minorEastAsia" w:hAnsiTheme="minorEastAsia" w:eastAsiaTheme="minorEastAsia"/>
              </w:rPr>
              <w:t>人</w:t>
            </w:r>
            <w:r>
              <w:rPr>
                <w:rFonts w:hint="default" w:asciiTheme="minorEastAsia" w:hAnsiTheme="minorEastAsia" w:eastAsiaTheme="minorEastAsia"/>
              </w:rPr>
              <w:t>から</w:t>
            </w:r>
            <w:r>
              <w:rPr>
                <w:rFonts w:hint="default" w:asciiTheme="minorEastAsia" w:hAnsiTheme="minorEastAsia" w:eastAsiaTheme="minorEastAsia"/>
              </w:rPr>
              <w:t>2</w:t>
            </w:r>
            <w:r>
              <w:rPr>
                <w:rFonts w:hint="eastAsia" w:asciiTheme="minorEastAsia" w:hAnsiTheme="minorEastAsia" w:eastAsiaTheme="minorEastAsia"/>
              </w:rPr>
              <w:t>人減の</w:t>
            </w:r>
            <w:r>
              <w:rPr>
                <w:rFonts w:hint="eastAsia" w:asciiTheme="minorEastAsia" w:hAnsiTheme="minorEastAsia" w:eastAsiaTheme="minorEastAsia"/>
              </w:rPr>
              <w:t>59</w:t>
            </w:r>
            <w:r>
              <w:rPr>
                <w:rFonts w:hint="eastAsia" w:asciiTheme="minorEastAsia" w:hAnsiTheme="minorEastAsia" w:eastAsiaTheme="minorEastAsia"/>
              </w:rPr>
              <w:t>人を見込みます。</w:t>
            </w:r>
          </w:p>
          <w:p>
            <w:pPr>
              <w:pStyle w:val="0"/>
              <w:ind w:left="448" w:leftChars="100" w:hanging="224" w:hangingChars="100"/>
              <w:rPr>
                <w:rFonts w:hint="default" w:asciiTheme="minorEastAsia" w:hAnsiTheme="minorEastAsia" w:eastAsiaTheme="minorEastAsia"/>
              </w:rPr>
            </w:pPr>
            <w:r>
              <w:rPr>
                <w:rFonts w:hint="eastAsia" w:asciiTheme="minorEastAsia" w:hAnsiTheme="minorEastAsia" w:eastAsiaTheme="minorEastAsia"/>
              </w:rPr>
              <w:t>・令和６年から令和８年度末までの退所者</w:t>
            </w:r>
            <w:r>
              <w:rPr>
                <w:rFonts w:hint="default" w:asciiTheme="minorEastAsia" w:hAnsiTheme="minorEastAsia" w:eastAsiaTheme="minorEastAsia"/>
              </w:rPr>
              <w:t>5</w:t>
            </w:r>
            <w:r>
              <w:rPr>
                <w:rFonts w:hint="eastAsia" w:asciiTheme="minorEastAsia" w:hAnsiTheme="minorEastAsia" w:eastAsiaTheme="minorEastAsia"/>
              </w:rPr>
              <w:t>人のうち、</w:t>
            </w:r>
            <w:r>
              <w:rPr>
                <w:rFonts w:hint="default" w:asciiTheme="minorEastAsia" w:hAnsiTheme="minorEastAsia" w:eastAsiaTheme="minorEastAsia"/>
              </w:rPr>
              <w:t>2</w:t>
            </w:r>
            <w:r>
              <w:rPr>
                <w:rFonts w:hint="default" w:asciiTheme="minorEastAsia" w:hAnsiTheme="minorEastAsia" w:eastAsiaTheme="minorEastAsia"/>
              </w:rPr>
              <w:t>人</w:t>
            </w:r>
            <w:r>
              <w:rPr>
                <w:rFonts w:hint="eastAsia" w:asciiTheme="minorEastAsia" w:hAnsiTheme="minorEastAsia" w:eastAsiaTheme="minorEastAsia"/>
              </w:rPr>
              <w:t>が地域生活に移行することを目標とします。</w:t>
            </w:r>
          </w:p>
          <w:p>
            <w:pPr>
              <w:pStyle w:val="0"/>
              <w:spacing w:before="140" w:beforeLines="40" w:beforeAutospacing="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施設入所者の地域生活への移行に係る方策</w:t>
            </w:r>
          </w:p>
          <w:p>
            <w:pPr>
              <w:pStyle w:val="0"/>
              <w:ind w:left="448" w:leftChars="100" w:hanging="224" w:hangingChars="100"/>
              <w:rPr>
                <w:rFonts w:hint="default" w:asciiTheme="minorEastAsia" w:hAnsiTheme="minorEastAsia" w:eastAsiaTheme="minorEastAsia"/>
              </w:rPr>
            </w:pPr>
            <w:r>
              <w:rPr>
                <w:rFonts w:hint="eastAsia" w:asciiTheme="minorEastAsia" w:hAnsiTheme="minorEastAsia" w:eastAsiaTheme="minorEastAsia"/>
              </w:rPr>
              <w:t>・施設の相談員と基幹相談支援センター、委託相談支援事業所、計画相談支援事業所及びその他の関係機関が連携し、当事者が地域生活をイメージできる体験の場づくりに取り組みます。</w:t>
            </w:r>
          </w:p>
          <w:p>
            <w:pPr>
              <w:pStyle w:val="0"/>
              <w:ind w:left="448" w:leftChars="100" w:hanging="224" w:hangingChars="100"/>
              <w:rPr>
                <w:rFonts w:hint="default" w:asciiTheme="minorEastAsia" w:hAnsiTheme="minorEastAsia" w:eastAsiaTheme="minorEastAsia"/>
              </w:rPr>
            </w:pPr>
            <w:r>
              <w:rPr>
                <w:rFonts w:hint="eastAsia" w:asciiTheme="minorEastAsia" w:hAnsiTheme="minorEastAsia" w:eastAsiaTheme="minorEastAsia"/>
              </w:rPr>
              <w:t>・また、地域生活への移行後も、これらの関係機関が連携した見守りや訪問等による相談支援等が提供できる体制を構築します。</w:t>
            </w:r>
          </w:p>
        </w:tc>
      </w:tr>
    </w:tbl>
    <w:p>
      <w:pPr>
        <w:pStyle w:val="83"/>
        <w:ind w:left="672" w:firstLine="224"/>
        <w:rPr>
          <w:rFonts w:hint="default"/>
        </w:rPr>
      </w:pPr>
      <w:bookmarkStart w:id="174" w:name="_Toc67040243"/>
    </w:p>
    <w:p>
      <w:pPr>
        <w:pStyle w:val="0"/>
        <w:rPr>
          <w:rFonts w:hint="default"/>
        </w:rPr>
      </w:pPr>
      <w:r>
        <w:rPr>
          <w:rFonts w:hint="default"/>
        </w:rPr>
        <w:br w:type="page"/>
      </w:r>
    </w:p>
    <w:p>
      <w:pPr>
        <w:pStyle w:val="81"/>
        <w:spacing w:after="37" w:afterLines="0" w:afterAutospacing="0"/>
        <w:ind w:left="224"/>
        <w:rPr>
          <w:rFonts w:hint="default"/>
        </w:rPr>
      </w:pPr>
      <w:r>
        <w:rPr>
          <w:rFonts w:hint="default"/>
        </w:rPr>
        <w:t>(</w:t>
      </w:r>
      <w:r>
        <w:rPr>
          <w:rFonts w:hint="eastAsia"/>
        </w:rPr>
        <w:t>２</w:t>
      </w:r>
      <w:r>
        <w:rPr>
          <w:rFonts w:hint="default"/>
        </w:rPr>
        <w:t>)</w:t>
      </w:r>
      <w:r>
        <w:rPr>
          <w:rFonts w:hint="eastAsia"/>
        </w:rPr>
        <w:t>精神障害にも対応した地域包括ケアシステムの構築</w:t>
      </w:r>
      <w:bookmarkEnd w:id="174"/>
    </w:p>
    <w:p>
      <w:pPr>
        <w:pStyle w:val="82"/>
        <w:ind w:left="784" w:hanging="336"/>
        <w:rPr>
          <w:rFonts w:hint="default"/>
        </w:rPr>
      </w:pPr>
      <w:r>
        <w:rPr>
          <w:rFonts w:hint="eastAsia"/>
        </w:rPr>
        <w:t>①</w:t>
      </w:r>
      <w:r>
        <w:rPr>
          <w:rFonts w:hint="eastAsia"/>
        </w:rPr>
        <w:t xml:space="preserve"> </w:t>
      </w:r>
      <w:r>
        <w:rPr>
          <w:rFonts w:hint="eastAsia"/>
        </w:rPr>
        <w:t>保健、医療、福祉関係者による協議の場の設置</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287"/>
        <w:gridCol w:w="1120"/>
        <w:gridCol w:w="1288"/>
        <w:gridCol w:w="1117"/>
        <w:gridCol w:w="3118"/>
      </w:tblGrid>
      <w:tr>
        <w:trPr/>
        <w:tc>
          <w:tcPr>
            <w:tcW w:w="228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120"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設置方法</w:t>
            </w:r>
          </w:p>
        </w:tc>
        <w:tc>
          <w:tcPr>
            <w:tcW w:w="1288"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設置時期</w:t>
            </w:r>
          </w:p>
        </w:tc>
        <w:tc>
          <w:tcPr>
            <w:tcW w:w="1117"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設置方法</w:t>
            </w:r>
          </w:p>
        </w:tc>
        <w:tc>
          <w:tcPr>
            <w:tcW w:w="3118"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具体的設置方法</w:t>
            </w:r>
          </w:p>
        </w:tc>
      </w:tr>
      <w:tr>
        <w:trPr/>
        <w:tc>
          <w:tcPr>
            <w:tcW w:w="228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保健、医療、福祉関係者による協議の場の設置</w:t>
            </w:r>
          </w:p>
        </w:tc>
        <w:tc>
          <w:tcPr>
            <w:tcW w:w="1120"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単独設置</w:t>
            </w:r>
          </w:p>
        </w:tc>
        <w:tc>
          <w:tcPr>
            <w:tcW w:w="1288"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令和元年度</w:t>
            </w:r>
          </w:p>
        </w:tc>
        <w:tc>
          <w:tcPr>
            <w:tcW w:w="1117" w:type="dxa"/>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新規設置</w:t>
            </w:r>
          </w:p>
        </w:tc>
        <w:tc>
          <w:tcPr>
            <w:tcW w:w="3118"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令和元年度に保健、医療、福祉関係者との協議の場を単独設置</w:t>
            </w:r>
          </w:p>
        </w:tc>
      </w:tr>
    </w:tbl>
    <w:p>
      <w:pPr>
        <w:pStyle w:val="83"/>
        <w:spacing w:line="0" w:lineRule="atLeast"/>
        <w:ind w:left="672" w:firstLine="204"/>
        <w:rPr>
          <w:rFonts w:hint="default"/>
          <w:sz w:val="20"/>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693"/>
        <w:gridCol w:w="945"/>
        <w:gridCol w:w="945"/>
        <w:gridCol w:w="945"/>
        <w:gridCol w:w="3402"/>
      </w:tblGrid>
      <w:tr>
        <w:trPr/>
        <w:tc>
          <w:tcPr>
            <w:tcW w:w="2693"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2835" w:type="dxa"/>
            <w:gridSpan w:val="3"/>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回数又は人数</w:t>
            </w:r>
          </w:p>
        </w:tc>
        <w:tc>
          <w:tcPr>
            <w:tcW w:w="3402"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備考</w:t>
            </w:r>
          </w:p>
        </w:tc>
      </w:tr>
      <w:tr>
        <w:trPr/>
        <w:tc>
          <w:tcPr>
            <w:tcW w:w="2693" w:type="dxa"/>
            <w:vMerge w:val="continue"/>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令和６年</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令和７年</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令和８年</w:t>
            </w:r>
          </w:p>
        </w:tc>
        <w:tc>
          <w:tcPr>
            <w:tcW w:w="3402" w:type="dxa"/>
            <w:vMerge w:val="continue"/>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保健、医療及び福祉関係者による協議の場の開催回数</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3402"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年間の開催回数の見込み</w:t>
            </w: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保健、医療及び福祉関係者による協議の場への関係者の参加人数</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3402"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保健、医療、福祉、介護、当事者及び家族等の関係者ごと</w:t>
            </w:r>
            <w:r>
              <w:rPr>
                <w:rFonts w:hint="default" w:asciiTheme="minorEastAsia" w:hAnsiTheme="minorEastAsia" w:eastAsiaTheme="minorEastAsia"/>
                <w:sz w:val="20"/>
              </w:rPr>
              <w:t>(</w:t>
            </w:r>
            <w:r>
              <w:rPr>
                <w:rFonts w:hint="eastAsia" w:asciiTheme="minorEastAsia" w:hAnsiTheme="minorEastAsia" w:eastAsiaTheme="minorEastAsia"/>
                <w:sz w:val="20"/>
              </w:rPr>
              <w:t>医療にあっては、精神科及び精神科以外の医療機関別</w:t>
            </w:r>
            <w:r>
              <w:rPr>
                <w:rFonts w:hint="default" w:asciiTheme="minorEastAsia" w:hAnsiTheme="minorEastAsia" w:eastAsiaTheme="minorEastAsia"/>
                <w:sz w:val="20"/>
              </w:rPr>
              <w:t>)</w:t>
            </w:r>
            <w:r>
              <w:rPr>
                <w:rFonts w:hint="eastAsia" w:asciiTheme="minorEastAsia" w:hAnsiTheme="minorEastAsia" w:eastAsiaTheme="minorEastAsia"/>
                <w:sz w:val="20"/>
              </w:rPr>
              <w:t>の参観者人数の見込み</w:t>
            </w: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保健、医療及び福祉関係者による協議の場における目標設定及び評価の実施回数</w:t>
            </w:r>
          </w:p>
        </w:tc>
        <w:tc>
          <w:tcPr>
            <w:tcW w:w="945"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5"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5"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3402"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年間の開催回数の見込み</w:t>
            </w:r>
          </w:p>
        </w:tc>
      </w:tr>
    </w:tbl>
    <w:p>
      <w:pPr>
        <w:pStyle w:val="83"/>
        <w:ind w:left="672" w:firstLine="224"/>
        <w:rPr>
          <w:rFonts w:hint="default"/>
        </w:rPr>
      </w:pPr>
    </w:p>
    <w:p>
      <w:pPr>
        <w:pStyle w:val="83"/>
        <w:ind w:left="672" w:firstLine="224"/>
        <w:rPr>
          <w:rFonts w:hint="default"/>
        </w:rPr>
      </w:pPr>
    </w:p>
    <w:p>
      <w:pPr>
        <w:pStyle w:val="81"/>
        <w:spacing w:after="37" w:afterLines="0" w:afterAutospacing="0"/>
        <w:ind w:left="224"/>
        <w:rPr>
          <w:rFonts w:hint="default"/>
        </w:rPr>
      </w:pPr>
      <w:bookmarkStart w:id="175" w:name="_Toc67040244"/>
      <w:r>
        <w:rPr>
          <w:rFonts w:hint="default"/>
        </w:rPr>
        <w:t>(</w:t>
      </w:r>
      <w:r>
        <w:rPr>
          <w:rFonts w:hint="eastAsia"/>
        </w:rPr>
        <w:t>３</w:t>
      </w:r>
      <w:r>
        <w:rPr>
          <w:rFonts w:hint="default"/>
        </w:rPr>
        <w:t>)</w:t>
      </w:r>
      <w:bookmarkEnd w:id="175"/>
      <w:r>
        <w:rPr>
          <w:rFonts w:hint="eastAsia"/>
        </w:rPr>
        <w:t>地域生活支援の充実</w:t>
      </w:r>
    </w:p>
    <w:p>
      <w:pPr>
        <w:pStyle w:val="83"/>
        <w:spacing w:line="0" w:lineRule="atLeast"/>
        <w:ind w:left="672" w:firstLine="204"/>
        <w:rPr>
          <w:rFonts w:hint="default"/>
          <w:sz w:val="20"/>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552"/>
        <w:gridCol w:w="1346"/>
        <w:gridCol w:w="1489"/>
        <w:gridCol w:w="3543"/>
      </w:tblGrid>
      <w:tr>
        <w:trPr/>
        <w:tc>
          <w:tcPr>
            <w:tcW w:w="255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346"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整備区域</w:t>
            </w:r>
          </w:p>
        </w:tc>
        <w:tc>
          <w:tcPr>
            <w:tcW w:w="1489"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設置時期</w:t>
            </w:r>
          </w:p>
        </w:tc>
        <w:tc>
          <w:tcPr>
            <w:tcW w:w="3543"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整備手法</w:t>
            </w:r>
          </w:p>
        </w:tc>
      </w:tr>
      <w:tr>
        <w:trPr/>
        <w:tc>
          <w:tcPr>
            <w:tcW w:w="255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地域生活支援拠点の整備</w:t>
            </w:r>
          </w:p>
        </w:tc>
        <w:tc>
          <w:tcPr>
            <w:tcW w:w="1346"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単独設置</w:t>
            </w:r>
          </w:p>
        </w:tc>
        <w:tc>
          <w:tcPr>
            <w:tcW w:w="1489"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令和５年度</w:t>
            </w:r>
          </w:p>
        </w:tc>
        <w:tc>
          <w:tcPr>
            <w:tcW w:w="3543" w:type="dxa"/>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面的整備型</w:t>
            </w:r>
          </w:p>
        </w:tc>
      </w:tr>
    </w:tbl>
    <w:p>
      <w:pPr>
        <w:pStyle w:val="83"/>
        <w:spacing w:before="35" w:beforeLines="10" w:beforeAutospacing="0" w:after="35" w:afterLines="10" w:afterAutospacing="0" w:line="0" w:lineRule="atLeast"/>
        <w:ind w:left="2203" w:hanging="1531" w:hangingChars="750"/>
        <w:rPr>
          <w:rFonts w:hint="default"/>
          <w:sz w:val="20"/>
        </w:rPr>
      </w:pPr>
      <w:bookmarkStart w:id="176" w:name="_Hlk50045518"/>
      <w:r>
        <w:rPr>
          <w:rFonts w:hint="eastAsia"/>
          <w:sz w:val="20"/>
        </w:rPr>
        <w:t>※１　整備区域：【単独設置】当該市町村内で拠点に必要な機能を確保すること。</w:t>
      </w:r>
    </w:p>
    <w:p>
      <w:pPr>
        <w:pStyle w:val="83"/>
        <w:spacing w:before="35" w:beforeLines="10" w:beforeAutospacing="0" w:after="35" w:afterLines="10" w:afterAutospacing="0" w:line="0" w:lineRule="atLeast"/>
        <w:ind w:left="2203" w:hanging="1531" w:hangingChars="750"/>
        <w:rPr>
          <w:rFonts w:hint="default"/>
          <w:sz w:val="20"/>
        </w:rPr>
      </w:pPr>
      <w:r>
        <w:rPr>
          <w:rFonts w:hint="eastAsia"/>
          <w:sz w:val="20"/>
        </w:rPr>
        <w:t>※２　整備手法：【面的整備型】地域における複数の機関が分担して機能を担う体制の整備手法</w:t>
      </w:r>
    </w:p>
    <w:p>
      <w:pPr>
        <w:pStyle w:val="83"/>
        <w:spacing w:line="0" w:lineRule="atLeast"/>
        <w:ind w:left="672" w:firstLine="204"/>
        <w:rPr>
          <w:rFonts w:hint="default"/>
          <w:sz w:val="20"/>
        </w:rPr>
      </w:pPr>
      <w:bookmarkEnd w:id="176"/>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839"/>
        <w:gridCol w:w="946"/>
        <w:gridCol w:w="946"/>
        <w:gridCol w:w="947"/>
        <w:gridCol w:w="4252"/>
      </w:tblGrid>
      <w:tr>
        <w:trPr/>
        <w:tc>
          <w:tcPr>
            <w:tcW w:w="1839"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2839" w:type="dxa"/>
            <w:gridSpan w:val="3"/>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回数</w:t>
            </w:r>
          </w:p>
        </w:tc>
        <w:tc>
          <w:tcPr>
            <w:tcW w:w="4252"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備考</w:t>
            </w:r>
          </w:p>
        </w:tc>
      </w:tr>
      <w:tr>
        <w:trPr/>
        <w:tc>
          <w:tcPr>
            <w:tcW w:w="1839" w:type="dxa"/>
            <w:vMerge w:val="continue"/>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94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令和６年</w:t>
            </w:r>
          </w:p>
        </w:tc>
        <w:tc>
          <w:tcPr>
            <w:tcW w:w="94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令和７年</w:t>
            </w:r>
          </w:p>
        </w:tc>
        <w:tc>
          <w:tcPr>
            <w:tcW w:w="94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令和８年</w:t>
            </w:r>
          </w:p>
        </w:tc>
        <w:tc>
          <w:tcPr>
            <w:tcW w:w="4252" w:type="dxa"/>
            <w:vMerge w:val="continue"/>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p>
        </w:tc>
      </w:tr>
      <w:tr>
        <w:trPr/>
        <w:tc>
          <w:tcPr>
            <w:tcW w:w="1839"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コーディネーターの配置人数</w:t>
            </w:r>
          </w:p>
        </w:tc>
        <w:tc>
          <w:tcPr>
            <w:tcW w:w="94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4252"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人数の見込み</w:t>
            </w:r>
          </w:p>
        </w:tc>
      </w:tr>
      <w:tr>
        <w:trPr/>
        <w:tc>
          <w:tcPr>
            <w:tcW w:w="1839"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地域生活支援拠点の機能の充実に向けた運用状況の検証及び検討（年間回数）</w:t>
            </w:r>
          </w:p>
        </w:tc>
        <w:tc>
          <w:tcPr>
            <w:tcW w:w="946"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6"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7"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4252"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国指針：各市町村において地域生活支援拠点等を整備、コーディネーターの配置、地域生活支援拠点等の機能を担う障害福祉サービス事業所等の担当者の配置、支援ネットワーク等による効果的な支援体制及び緊急時の連絡体制の構築を進め、年１回以</w:t>
            </w:r>
            <w:r>
              <w:rPr>
                <w:rFonts w:hint="default" w:asciiTheme="minorEastAsia" w:hAnsiTheme="minorEastAsia" w:eastAsiaTheme="minorEastAsia"/>
                <w:spacing w:val="-2"/>
                <w:sz w:val="20"/>
              </w:rPr>
              <w:t>上、支援の実績等を踏まえ運用状況を検証・検討を行うこと</w:t>
            </w:r>
          </w:p>
        </w:tc>
      </w:tr>
    </w:tbl>
    <w:p>
      <w:pPr>
        <w:pStyle w:val="83"/>
        <w:ind w:left="672" w:firstLine="224"/>
        <w:rPr>
          <w:rFonts w:hint="default"/>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843"/>
        <w:gridCol w:w="1417"/>
        <w:gridCol w:w="1418"/>
        <w:gridCol w:w="4252"/>
      </w:tblGrid>
      <w:tr>
        <w:trPr/>
        <w:tc>
          <w:tcPr>
            <w:tcW w:w="184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41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整備区域</w:t>
            </w:r>
          </w:p>
        </w:tc>
        <w:tc>
          <w:tcPr>
            <w:tcW w:w="1418"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設置時期</w:t>
            </w:r>
          </w:p>
        </w:tc>
        <w:tc>
          <w:tcPr>
            <w:tcW w:w="4252"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整備手法</w:t>
            </w:r>
          </w:p>
        </w:tc>
      </w:tr>
      <w:tr>
        <w:trPr/>
        <w:tc>
          <w:tcPr>
            <w:tcW w:w="184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強度行動障害者への支援体制の整備</w:t>
            </w:r>
          </w:p>
        </w:tc>
        <w:tc>
          <w:tcPr>
            <w:tcW w:w="1417"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圏域設置</w:t>
            </w:r>
          </w:p>
        </w:tc>
        <w:tc>
          <w:tcPr>
            <w:tcW w:w="1418"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令和８年</w:t>
            </w:r>
          </w:p>
        </w:tc>
        <w:tc>
          <w:tcPr>
            <w:tcW w:w="4252" w:type="dxa"/>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国指針：強度行動障害を有する者に関し、各市町村又は圏域において支援ニーズを把握し、地域の関係機関が連携した支援体制の整備を進めること</w:t>
            </w:r>
          </w:p>
        </w:tc>
      </w:tr>
    </w:tbl>
    <w:p>
      <w:pPr>
        <w:pStyle w:val="83"/>
        <w:spacing w:before="35" w:beforeLines="10" w:beforeAutospacing="0" w:after="35" w:afterLines="10" w:afterAutospacing="0" w:line="0" w:lineRule="atLeast"/>
        <w:ind w:left="2203" w:hanging="1531" w:hangingChars="750"/>
        <w:rPr>
          <w:rFonts w:hint="default"/>
          <w:spacing w:val="-4"/>
          <w:w w:val="98"/>
          <w:sz w:val="20"/>
        </w:rPr>
      </w:pPr>
      <w:bookmarkStart w:id="177" w:name="_Toc67040245"/>
      <w:r>
        <w:rPr>
          <w:rFonts w:hint="eastAsia"/>
          <w:sz w:val="20"/>
        </w:rPr>
        <w:t>※　整備区域：</w:t>
      </w:r>
      <w:r>
        <w:rPr>
          <w:rFonts w:hint="eastAsia"/>
          <w:spacing w:val="-4"/>
          <w:w w:val="98"/>
          <w:sz w:val="20"/>
        </w:rPr>
        <w:t>【圏域整備】当該市町村外の社会資源等も活用しながら拠点に必要な機能を確保すること。</w:t>
      </w:r>
    </w:p>
    <w:p>
      <w:pPr>
        <w:pStyle w:val="81"/>
        <w:spacing w:after="37" w:afterLines="0" w:afterAutospacing="0"/>
        <w:ind w:left="224"/>
        <w:rPr>
          <w:rFonts w:hint="default"/>
        </w:rPr>
      </w:pPr>
      <w:r>
        <w:rPr>
          <w:rFonts w:hint="default"/>
        </w:rPr>
        <w:t>(</w:t>
      </w:r>
      <w:r>
        <w:rPr>
          <w:rFonts w:hint="eastAsia"/>
        </w:rPr>
        <w:t>４</w:t>
      </w:r>
      <w:r>
        <w:rPr>
          <w:rFonts w:hint="default"/>
        </w:rPr>
        <w:t>)</w:t>
      </w:r>
      <w:r>
        <w:rPr>
          <w:rFonts w:hint="eastAsia"/>
        </w:rPr>
        <w:t>福祉施設から一般就労への移行等</w:t>
      </w:r>
      <w:bookmarkEnd w:id="177"/>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福祉施設利用者のうち、一般就労へ移行する者の人数について、令和８年度には、令和３年度の年間実績</w:t>
      </w:r>
      <w:r>
        <w:rPr>
          <w:rFonts w:hint="eastAsia" w:asciiTheme="minorEastAsia" w:hAnsiTheme="minorEastAsia" w:eastAsiaTheme="minorEastAsia"/>
          <w:sz w:val="21"/>
        </w:rPr>
        <w:t>(8</w:t>
      </w:r>
      <w:r>
        <w:rPr>
          <w:rFonts w:hint="eastAsia" w:asciiTheme="minorEastAsia" w:hAnsiTheme="minorEastAsia" w:eastAsiaTheme="minorEastAsia"/>
          <w:sz w:val="21"/>
        </w:rPr>
        <w:t>人</w:t>
      </w:r>
      <w:r>
        <w:rPr>
          <w:rFonts w:hint="eastAsia" w:asciiTheme="minorEastAsia" w:hAnsiTheme="minorEastAsia" w:eastAsiaTheme="minorEastAsia"/>
          <w:sz w:val="21"/>
        </w:rPr>
        <w:t>)</w:t>
      </w:r>
      <w:r>
        <w:rPr>
          <w:rFonts w:hint="eastAsia" w:asciiTheme="minorEastAsia" w:hAnsiTheme="minorEastAsia" w:eastAsiaTheme="minorEastAsia"/>
          <w:sz w:val="21"/>
        </w:rPr>
        <w:t>の</w:t>
      </w:r>
      <w:r>
        <w:rPr>
          <w:rFonts w:hint="default" w:asciiTheme="minorEastAsia" w:hAnsiTheme="minorEastAsia" w:eastAsiaTheme="minorEastAsia"/>
          <w:sz w:val="21"/>
        </w:rPr>
        <w:t>1.13</w:t>
      </w:r>
      <w:r>
        <w:rPr>
          <w:rFonts w:hint="default" w:asciiTheme="minorEastAsia" w:hAnsiTheme="minorEastAsia" w:eastAsiaTheme="minorEastAsia"/>
          <w:sz w:val="21"/>
        </w:rPr>
        <w:t>倍</w:t>
      </w:r>
      <w:r>
        <w:rPr>
          <w:rFonts w:hint="eastAsia" w:asciiTheme="minorEastAsia" w:hAnsiTheme="minorEastAsia" w:eastAsiaTheme="minorEastAsia"/>
          <w:sz w:val="21"/>
        </w:rPr>
        <w:t>にあたる</w:t>
      </w:r>
      <w:r>
        <w:rPr>
          <w:rFonts w:hint="default" w:asciiTheme="minorEastAsia" w:hAnsiTheme="minorEastAsia" w:eastAsiaTheme="minorEastAsia"/>
          <w:sz w:val="21"/>
        </w:rPr>
        <w:t>9</w:t>
      </w:r>
      <w:r>
        <w:rPr>
          <w:rFonts w:hint="eastAsia" w:asciiTheme="minorEastAsia" w:hAnsiTheme="minorEastAsia" w:eastAsiaTheme="minorEastAsia"/>
          <w:sz w:val="21"/>
        </w:rPr>
        <w:t>人の移行を目指します。</w:t>
      </w:r>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就労移行支援事業の移行者について、令和８年度には、令和３年度末の年間実績</w:t>
      </w:r>
      <w:r>
        <w:rPr>
          <w:rFonts w:hint="eastAsia" w:asciiTheme="minorEastAsia" w:hAnsiTheme="minorEastAsia" w:eastAsiaTheme="minorEastAsia"/>
          <w:sz w:val="21"/>
        </w:rPr>
        <w:t>(</w:t>
      </w:r>
      <w:r>
        <w:rPr>
          <w:rFonts w:hint="default" w:asciiTheme="minorEastAsia" w:hAnsiTheme="minorEastAsia" w:eastAsiaTheme="minorEastAsia"/>
          <w:sz w:val="21"/>
        </w:rPr>
        <w:t>2</w:t>
      </w:r>
      <w:r>
        <w:rPr>
          <w:rFonts w:hint="eastAsia" w:asciiTheme="minorEastAsia" w:hAnsiTheme="minorEastAsia" w:eastAsiaTheme="minorEastAsia"/>
          <w:sz w:val="21"/>
        </w:rPr>
        <w:t>人</w:t>
      </w:r>
      <w:r>
        <w:rPr>
          <w:rFonts w:hint="eastAsia" w:asciiTheme="minorEastAsia" w:hAnsiTheme="minorEastAsia" w:eastAsiaTheme="minorEastAsia"/>
          <w:sz w:val="21"/>
        </w:rPr>
        <w:t>)</w:t>
      </w:r>
      <w:r>
        <w:rPr>
          <w:rFonts w:hint="eastAsia" w:asciiTheme="minorEastAsia" w:hAnsiTheme="minorEastAsia" w:eastAsiaTheme="minorEastAsia"/>
          <w:sz w:val="21"/>
        </w:rPr>
        <w:t>の</w:t>
      </w:r>
      <w:r>
        <w:rPr>
          <w:rFonts w:hint="default" w:asciiTheme="minorEastAsia" w:hAnsiTheme="minorEastAsia" w:eastAsiaTheme="minorEastAsia"/>
          <w:sz w:val="21"/>
        </w:rPr>
        <w:t>1.50</w:t>
      </w:r>
      <w:r>
        <w:rPr>
          <w:rFonts w:hint="default" w:asciiTheme="minorEastAsia" w:hAnsiTheme="minorEastAsia" w:eastAsiaTheme="minorEastAsia"/>
          <w:sz w:val="21"/>
        </w:rPr>
        <w:t>倍</w:t>
      </w:r>
      <w:r>
        <w:rPr>
          <w:rFonts w:hint="eastAsia" w:asciiTheme="minorEastAsia" w:hAnsiTheme="minorEastAsia" w:eastAsiaTheme="minorEastAsia"/>
          <w:sz w:val="21"/>
        </w:rPr>
        <w:t>にあたる</w:t>
      </w:r>
      <w:r>
        <w:rPr>
          <w:rFonts w:hint="default" w:asciiTheme="minorEastAsia" w:hAnsiTheme="minorEastAsia" w:eastAsiaTheme="minorEastAsia"/>
          <w:sz w:val="21"/>
        </w:rPr>
        <w:t>3</w:t>
      </w:r>
      <w:r>
        <w:rPr>
          <w:rFonts w:hint="eastAsia" w:asciiTheme="minorEastAsia" w:hAnsiTheme="minorEastAsia" w:eastAsiaTheme="minorEastAsia"/>
          <w:sz w:val="21"/>
        </w:rPr>
        <w:t>人の移行を目指します。</w:t>
      </w:r>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就労移行支援事業利用者の一般就労移行率について、令和８年度末の管内就労移行支援事業所数は２か所、一般就労移行率が５割以上の就労移行支援事業所の数は１か所を目指します。</w:t>
      </w:r>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就労継続支援Ａ型事業の移行者について、令和３年度末の年間実績は</w:t>
      </w:r>
      <w:r>
        <w:rPr>
          <w:rFonts w:hint="eastAsia" w:asciiTheme="minorEastAsia" w:hAnsiTheme="minorEastAsia" w:eastAsiaTheme="minorEastAsia"/>
          <w:sz w:val="21"/>
        </w:rPr>
        <w:t>4</w:t>
      </w:r>
      <w:r>
        <w:rPr>
          <w:rFonts w:hint="eastAsia" w:asciiTheme="minorEastAsia" w:hAnsiTheme="minorEastAsia" w:eastAsiaTheme="minorEastAsia"/>
          <w:sz w:val="21"/>
        </w:rPr>
        <w:t>人となっています。令和８年度も</w:t>
      </w:r>
      <w:r>
        <w:rPr>
          <w:rFonts w:hint="eastAsia" w:asciiTheme="minorEastAsia" w:hAnsiTheme="minorEastAsia" w:eastAsiaTheme="minorEastAsia"/>
          <w:sz w:val="21"/>
        </w:rPr>
        <w:t>4</w:t>
      </w:r>
      <w:r>
        <w:rPr>
          <w:rFonts w:hint="eastAsia" w:asciiTheme="minorEastAsia" w:hAnsiTheme="minorEastAsia" w:eastAsiaTheme="minorEastAsia"/>
          <w:sz w:val="21"/>
        </w:rPr>
        <w:t>人の移行を目指します。</w:t>
      </w:r>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就労継続支援Ｂ型事業の移行者について、令和３年度末の年間実績は</w:t>
      </w:r>
      <w:r>
        <w:rPr>
          <w:rFonts w:hint="default" w:asciiTheme="minorEastAsia" w:hAnsiTheme="minorEastAsia" w:eastAsiaTheme="minorEastAsia"/>
          <w:sz w:val="21"/>
        </w:rPr>
        <w:t>2</w:t>
      </w:r>
      <w:r>
        <w:rPr>
          <w:rFonts w:hint="eastAsia" w:asciiTheme="minorEastAsia" w:hAnsiTheme="minorEastAsia" w:eastAsiaTheme="minorEastAsia"/>
          <w:sz w:val="21"/>
        </w:rPr>
        <w:t>人となっています。令和８年度も</w:t>
      </w:r>
      <w:r>
        <w:rPr>
          <w:rFonts w:hint="eastAsia" w:asciiTheme="minorEastAsia" w:hAnsiTheme="minorEastAsia" w:eastAsiaTheme="minorEastAsia"/>
          <w:sz w:val="21"/>
        </w:rPr>
        <w:t>2</w:t>
      </w:r>
      <w:r>
        <w:rPr>
          <w:rFonts w:hint="eastAsia" w:asciiTheme="minorEastAsia" w:hAnsiTheme="minorEastAsia" w:eastAsiaTheme="minorEastAsia"/>
          <w:sz w:val="21"/>
        </w:rPr>
        <w:t>人の移行を目指します。</w:t>
      </w:r>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就労定着支援事業の利用者数及び就労定着率について、令和８年度の就労定着支援利用者数は</w:t>
      </w:r>
      <w:r>
        <w:rPr>
          <w:rFonts w:hint="default" w:asciiTheme="minorEastAsia" w:hAnsiTheme="minorEastAsia" w:eastAsiaTheme="minorEastAsia"/>
          <w:sz w:val="21"/>
        </w:rPr>
        <w:t>3</w:t>
      </w:r>
      <w:r>
        <w:rPr>
          <w:rFonts w:hint="eastAsia" w:asciiTheme="minorEastAsia" w:hAnsiTheme="minorEastAsia" w:eastAsiaTheme="minorEastAsia"/>
          <w:sz w:val="21"/>
        </w:rPr>
        <w:t>人、就労定着率が７割以上の就労支援事業所数は管内で１か所を目指します。</w:t>
      </w:r>
    </w:p>
    <w:p>
      <w:pPr>
        <w:pStyle w:val="0"/>
        <w:ind w:left="560" w:leftChars="250" w:firstLine="214" w:firstLineChars="100"/>
        <w:rPr>
          <w:rFonts w:hint="default" w:asciiTheme="minorEastAsia" w:hAnsiTheme="minorEastAsia" w:eastAsiaTheme="minorEastAsia"/>
          <w:sz w:val="21"/>
        </w:rPr>
      </w:pPr>
    </w:p>
    <w:p>
      <w:pPr>
        <w:pStyle w:val="82"/>
        <w:ind w:left="784" w:hanging="336"/>
        <w:rPr>
          <w:rFonts w:hint="default"/>
        </w:rPr>
      </w:pPr>
      <w:r>
        <w:rPr>
          <w:rFonts w:hint="eastAsia"/>
        </w:rPr>
        <w:t>①</w:t>
      </w:r>
      <w:r>
        <w:rPr>
          <w:rFonts w:hint="eastAsia"/>
        </w:rPr>
        <w:t xml:space="preserve"> </w:t>
      </w:r>
      <w:r>
        <w:rPr>
          <w:rFonts w:hint="eastAsia"/>
        </w:rPr>
        <w:t>福祉施設から一般就労への移行者数</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402"/>
        <w:gridCol w:w="851"/>
        <w:gridCol w:w="4677"/>
      </w:tblGrid>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851"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数値</w:t>
            </w:r>
          </w:p>
        </w:tc>
        <w:tc>
          <w:tcPr>
            <w:tcW w:w="467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令和３年度の年間一般就労移行者数</w:t>
            </w:r>
            <w:r>
              <w:rPr>
                <w:rFonts w:hint="default" w:asciiTheme="minorEastAsia" w:hAnsiTheme="minorEastAsia" w:eastAsiaTheme="minorEastAsia"/>
                <w:sz w:val="20"/>
              </w:rPr>
              <w:t xml:space="preserve"> </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8</w:t>
            </w:r>
            <w:r>
              <w:rPr>
                <w:rFonts w:hint="eastAsia" w:asciiTheme="minorEastAsia" w:hAnsiTheme="minorEastAsia" w:eastAsiaTheme="minorEastAsia"/>
                <w:sz w:val="20"/>
              </w:rPr>
              <w:t>人</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令和３年度において就労移行支援事業所等を通じて、一般就労した者の数</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目標年度</w:t>
            </w:r>
            <w:r>
              <w:rPr>
                <w:rFonts w:hint="default" w:asciiTheme="minorEastAsia" w:hAnsiTheme="minorEastAsia" w:eastAsiaTheme="minorEastAsia"/>
                <w:sz w:val="20"/>
              </w:rPr>
              <w:t>(</w:t>
            </w:r>
            <w:r>
              <w:rPr>
                <w:rFonts w:hint="default" w:asciiTheme="minorEastAsia" w:hAnsiTheme="minorEastAsia" w:eastAsiaTheme="minorEastAsia"/>
                <w:sz w:val="20"/>
              </w:rPr>
              <w:t>令和</w:t>
            </w:r>
            <w:bookmarkStart w:id="178" w:name="_Hlk146210403"/>
            <w:r>
              <w:rPr>
                <w:rFonts w:hint="default" w:asciiTheme="minorEastAsia" w:hAnsiTheme="minorEastAsia" w:eastAsiaTheme="minorEastAsia"/>
                <w:sz w:val="20"/>
              </w:rPr>
              <w:t>８</w:t>
            </w:r>
            <w:bookmarkEnd w:id="178"/>
            <w:r>
              <w:rPr>
                <w:rFonts w:hint="default" w:asciiTheme="minorEastAsia" w:hAnsiTheme="minorEastAsia" w:eastAsiaTheme="minorEastAsia"/>
                <w:sz w:val="20"/>
              </w:rPr>
              <w:t>年度）における年間一般就労移行者数</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default" w:asciiTheme="minorEastAsia" w:hAnsiTheme="minorEastAsia" w:eastAsiaTheme="minorEastAsia"/>
                <w:sz w:val="20"/>
              </w:rPr>
              <w:t>9</w:t>
            </w:r>
            <w:r>
              <w:rPr>
                <w:rFonts w:hint="eastAsia" w:asciiTheme="minorEastAsia" w:hAnsiTheme="minorEastAsia" w:eastAsiaTheme="minorEastAsia"/>
                <w:sz w:val="20"/>
              </w:rPr>
              <w:t>人</w:t>
            </w:r>
          </w:p>
          <w:p>
            <w:pPr>
              <w:pStyle w:val="0"/>
              <w:autoSpaceDE w:val="0"/>
              <w:autoSpaceDN w:val="0"/>
              <w:spacing w:line="0" w:lineRule="atLeast"/>
              <w:jc w:val="right"/>
              <w:rPr>
                <w:rFonts w:hint="default" w:asciiTheme="minorEastAsia" w:hAnsiTheme="minorEastAsia" w:eastAsiaTheme="minorEastAsia"/>
                <w:sz w:val="20"/>
              </w:rPr>
            </w:pPr>
            <w:r>
              <w:rPr>
                <w:rFonts w:hint="default" w:asciiTheme="minorEastAsia" w:hAnsiTheme="minorEastAsia" w:eastAsiaTheme="minorEastAsia"/>
                <w:sz w:val="20"/>
              </w:rPr>
              <w:t>1.13</w:t>
            </w:r>
            <w:r>
              <w:rPr>
                <w:rFonts w:hint="default" w:asciiTheme="minorEastAsia" w:hAnsiTheme="minorEastAsia" w:eastAsiaTheme="minorEastAsia"/>
                <w:sz w:val="20"/>
              </w:rPr>
              <w:t>倍</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令和８年度中に福祉施設を退所し、一般就労する者の数（国指針：令和３年度実績の</w:t>
            </w:r>
            <w:r>
              <w:rPr>
                <w:rFonts w:hint="default" w:asciiTheme="minorEastAsia" w:hAnsiTheme="minorEastAsia" w:eastAsiaTheme="minorEastAsia"/>
                <w:spacing w:val="-4"/>
                <w:sz w:val="20"/>
              </w:rPr>
              <w:t>1.28</w:t>
            </w:r>
            <w:r>
              <w:rPr>
                <w:rFonts w:hint="default" w:asciiTheme="minorEastAsia" w:hAnsiTheme="minorEastAsia" w:eastAsiaTheme="minorEastAsia"/>
                <w:spacing w:val="-4"/>
                <w:sz w:val="20"/>
              </w:rPr>
              <w:t>倍以上）</w:t>
            </w:r>
          </w:p>
        </w:tc>
      </w:tr>
    </w:tbl>
    <w:p>
      <w:pPr>
        <w:pStyle w:val="0"/>
        <w:ind w:left="672" w:leftChars="300" w:firstLine="224" w:firstLineChars="100"/>
        <w:rPr>
          <w:rFonts w:hint="default"/>
        </w:rPr>
      </w:pPr>
    </w:p>
    <w:p>
      <w:pPr>
        <w:pStyle w:val="82"/>
        <w:ind w:left="784" w:hanging="336"/>
        <w:rPr>
          <w:rFonts w:hint="default"/>
        </w:rPr>
      </w:pPr>
      <w:r>
        <w:rPr>
          <w:rFonts w:hint="eastAsia"/>
        </w:rPr>
        <w:t>②</w:t>
      </w:r>
      <w:r>
        <w:rPr>
          <w:rFonts w:hint="eastAsia"/>
        </w:rPr>
        <w:t xml:space="preserve"> </w:t>
      </w:r>
      <w:r>
        <w:rPr>
          <w:rFonts w:hint="eastAsia"/>
        </w:rPr>
        <w:t>令和８年度末における就労移行支援事業の移行者数</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402"/>
        <w:gridCol w:w="851"/>
        <w:gridCol w:w="4677"/>
      </w:tblGrid>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851"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数値</w:t>
            </w:r>
          </w:p>
        </w:tc>
        <w:tc>
          <w:tcPr>
            <w:tcW w:w="467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令和３年度末の就労移行支援事業所の移行者数</w:t>
            </w:r>
            <w:r>
              <w:rPr>
                <w:rFonts w:hint="default" w:asciiTheme="minorEastAsia" w:hAnsiTheme="minorEastAsia" w:eastAsiaTheme="minorEastAsia"/>
                <w:sz w:val="20"/>
              </w:rPr>
              <w:t xml:space="preserve"> </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default" w:asciiTheme="minorEastAsia" w:hAnsiTheme="minorEastAsia" w:eastAsiaTheme="minorEastAsia"/>
                <w:sz w:val="20"/>
              </w:rPr>
              <w:t>2</w:t>
            </w:r>
            <w:r>
              <w:rPr>
                <w:rFonts w:hint="eastAsia" w:asciiTheme="minorEastAsia" w:hAnsiTheme="minorEastAsia" w:eastAsiaTheme="minorEastAsia"/>
                <w:sz w:val="20"/>
              </w:rPr>
              <w:t>人</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令和３年度末の就労移行支援事業所の移行者数</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目標年度</w:t>
            </w:r>
            <w:r>
              <w:rPr>
                <w:rFonts w:hint="default" w:asciiTheme="minorEastAsia" w:hAnsiTheme="minorEastAsia" w:eastAsiaTheme="minorEastAsia"/>
                <w:sz w:val="20"/>
              </w:rPr>
              <w:t>(</w:t>
            </w:r>
            <w:r>
              <w:rPr>
                <w:rFonts w:hint="default" w:asciiTheme="minorEastAsia" w:hAnsiTheme="minorEastAsia" w:eastAsiaTheme="minorEastAsia"/>
                <w:sz w:val="20"/>
              </w:rPr>
              <w:t>令和８年度末）における一般就労への移行者数</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3</w:t>
            </w:r>
            <w:r>
              <w:rPr>
                <w:rFonts w:hint="eastAsia" w:asciiTheme="minorEastAsia" w:hAnsiTheme="minorEastAsia" w:eastAsiaTheme="minorEastAsia"/>
                <w:sz w:val="20"/>
              </w:rPr>
              <w:t>人</w:t>
            </w:r>
          </w:p>
          <w:p>
            <w:pPr>
              <w:pStyle w:val="0"/>
              <w:autoSpaceDE w:val="0"/>
              <w:autoSpaceDN w:val="0"/>
              <w:spacing w:line="0" w:lineRule="atLeast"/>
              <w:jc w:val="right"/>
              <w:rPr>
                <w:rFonts w:hint="default" w:asciiTheme="minorEastAsia" w:hAnsiTheme="minorEastAsia" w:eastAsiaTheme="minorEastAsia"/>
                <w:sz w:val="20"/>
              </w:rPr>
            </w:pPr>
            <w:r>
              <w:rPr>
                <w:rFonts w:hint="default" w:asciiTheme="minorEastAsia" w:hAnsiTheme="minorEastAsia" w:eastAsiaTheme="minorEastAsia"/>
                <w:sz w:val="20"/>
              </w:rPr>
              <w:t>1.50</w:t>
            </w:r>
            <w:r>
              <w:rPr>
                <w:rFonts w:hint="default" w:asciiTheme="minorEastAsia" w:hAnsiTheme="minorEastAsia" w:eastAsiaTheme="minorEastAsia"/>
                <w:sz w:val="20"/>
              </w:rPr>
              <w:t>倍</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令和８年度末の一般就労への移行実績（国指針：令和３年度末の</w:t>
            </w:r>
            <w:r>
              <w:rPr>
                <w:rFonts w:hint="default" w:asciiTheme="minorEastAsia" w:hAnsiTheme="minorEastAsia" w:eastAsiaTheme="minorEastAsia"/>
                <w:spacing w:val="-2"/>
                <w:sz w:val="20"/>
              </w:rPr>
              <w:t>1.31</w:t>
            </w:r>
            <w:r>
              <w:rPr>
                <w:rFonts w:hint="default" w:asciiTheme="minorEastAsia" w:hAnsiTheme="minorEastAsia" w:eastAsiaTheme="minorEastAsia"/>
                <w:spacing w:val="-2"/>
                <w:sz w:val="20"/>
              </w:rPr>
              <w:t>倍以上</w:t>
            </w:r>
            <w:r>
              <w:rPr>
                <w:rFonts w:hint="default" w:asciiTheme="minorEastAsia" w:hAnsiTheme="minorEastAsia" w:eastAsiaTheme="minorEastAsia"/>
                <w:spacing w:val="-2"/>
                <w:sz w:val="20"/>
              </w:rPr>
              <w:t>(31</w:t>
            </w:r>
            <w:r>
              <w:rPr>
                <w:rFonts w:hint="default" w:asciiTheme="minorEastAsia" w:hAnsiTheme="minorEastAsia" w:eastAsiaTheme="minorEastAsia"/>
                <w:spacing w:val="-2"/>
                <w:sz w:val="20"/>
              </w:rPr>
              <w:t>％以上</w:t>
            </w:r>
            <w:r>
              <w:rPr>
                <w:rFonts w:hint="default" w:asciiTheme="minorEastAsia" w:hAnsiTheme="minorEastAsia" w:eastAsiaTheme="minorEastAsia"/>
                <w:spacing w:val="-2"/>
                <w:sz w:val="20"/>
              </w:rPr>
              <w:t>)</w:t>
            </w:r>
            <w:r>
              <w:rPr>
                <w:rFonts w:hint="default" w:asciiTheme="minorEastAsia" w:hAnsiTheme="minorEastAsia" w:eastAsiaTheme="minorEastAsia"/>
                <w:spacing w:val="-2"/>
                <w:sz w:val="20"/>
              </w:rPr>
              <w:t>の増加）</w:t>
            </w:r>
          </w:p>
        </w:tc>
      </w:tr>
    </w:tbl>
    <w:p>
      <w:pPr>
        <w:pStyle w:val="0"/>
        <w:ind w:left="672" w:leftChars="300" w:firstLine="224" w:firstLineChars="100"/>
        <w:rPr>
          <w:rFonts w:hint="default"/>
        </w:rPr>
      </w:pPr>
    </w:p>
    <w:p>
      <w:pPr>
        <w:pStyle w:val="82"/>
        <w:ind w:left="784" w:hanging="336"/>
        <w:rPr>
          <w:rFonts w:hint="default"/>
        </w:rPr>
      </w:pPr>
      <w:r>
        <w:rPr>
          <w:rFonts w:hint="eastAsia"/>
        </w:rPr>
        <w:t>③</w:t>
      </w:r>
      <w:r>
        <w:rPr>
          <w:rFonts w:hint="eastAsia"/>
        </w:rPr>
        <w:t xml:space="preserve"> </w:t>
      </w:r>
      <w:r>
        <w:rPr>
          <w:rFonts w:hint="eastAsia"/>
        </w:rPr>
        <w:t>就労移行支援事業利用者の一般就労移行率</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402"/>
        <w:gridCol w:w="851"/>
        <w:gridCol w:w="4677"/>
      </w:tblGrid>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851"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数値</w:t>
            </w:r>
          </w:p>
        </w:tc>
        <w:tc>
          <w:tcPr>
            <w:tcW w:w="467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令和８年度末の管内就労移行支援事業所数（見込み）</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２か所</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4"/>
                <w:sz w:val="20"/>
              </w:rPr>
            </w:pPr>
            <w:r>
              <w:rPr>
                <w:rFonts w:hint="default" w:asciiTheme="minorEastAsia" w:hAnsiTheme="minorEastAsia" w:eastAsiaTheme="minorEastAsia"/>
                <w:spacing w:val="-4"/>
                <w:sz w:val="20"/>
              </w:rPr>
              <w:t>令和８年度末の就労移行支援事業所の管内事業所数</w:t>
            </w:r>
          </w:p>
          <w:p>
            <w:pPr>
              <w:pStyle w:val="0"/>
              <w:autoSpaceDE w:val="0"/>
              <w:autoSpaceDN w:val="0"/>
              <w:spacing w:line="0" w:lineRule="atLeast"/>
              <w:ind w:left="196" w:hanging="196" w:hangingChars="100"/>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・増加の見込みがある場合、令和３年度末の事業所数に加えて記載すること。</w:t>
            </w:r>
          </w:p>
          <w:p>
            <w:pPr>
              <w:pStyle w:val="0"/>
              <w:autoSpaceDE w:val="0"/>
              <w:autoSpaceDN w:val="0"/>
              <w:spacing w:line="0" w:lineRule="atLeast"/>
              <w:ind w:left="196" w:hanging="196" w:hangingChars="100"/>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・増加するか見込めない場合は、令和３年度末の事業所数を暫定的に記載すること。</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令和８年度末における一般就労移行率が５割以上の就労移行支援事業所の数</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１か所</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国指針：就労移行支援事業所のうち、就労移行支援事業利用終了者に占める一般就労へ移行した者の割合が５割以上の事業所を全体の５割以上とすることを基本とする。</w:t>
            </w:r>
          </w:p>
        </w:tc>
      </w:tr>
    </w:tbl>
    <w:p>
      <w:pPr>
        <w:pStyle w:val="0"/>
        <w:rPr>
          <w:rFonts w:hint="default"/>
        </w:rPr>
      </w:pPr>
      <w:r>
        <w:rPr>
          <w:rFonts w:hint="default"/>
        </w:rPr>
        <w:br w:type="page"/>
      </w:r>
    </w:p>
    <w:p>
      <w:pPr>
        <w:pStyle w:val="82"/>
        <w:ind w:left="784" w:hanging="336"/>
        <w:rPr>
          <w:rFonts w:hint="default"/>
        </w:rPr>
      </w:pPr>
      <w:r>
        <w:rPr>
          <w:rFonts w:hint="eastAsia"/>
        </w:rPr>
        <w:t>④</w:t>
      </w:r>
      <w:r>
        <w:rPr>
          <w:rFonts w:hint="eastAsia"/>
        </w:rPr>
        <w:t xml:space="preserve"> </w:t>
      </w:r>
      <w:r>
        <w:rPr>
          <w:rFonts w:hint="eastAsia"/>
        </w:rPr>
        <w:t>令和８年度末における就労継続支援Ａ</w:t>
      </w:r>
      <w:r>
        <w:rPr>
          <w:rFonts w:hint="default"/>
        </w:rPr>
        <w:t>型事業の移行者数</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402"/>
        <w:gridCol w:w="851"/>
        <w:gridCol w:w="4677"/>
      </w:tblGrid>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851"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数値</w:t>
            </w:r>
          </w:p>
        </w:tc>
        <w:tc>
          <w:tcPr>
            <w:tcW w:w="467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令和３年度末の就労継続支援Ａ型事業所の移行者数</w:t>
            </w:r>
            <w:r>
              <w:rPr>
                <w:rFonts w:hint="default" w:asciiTheme="minorEastAsia" w:hAnsiTheme="minorEastAsia" w:eastAsiaTheme="minorEastAsia"/>
                <w:sz w:val="20"/>
              </w:rPr>
              <w:t xml:space="preserve"> </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4</w:t>
            </w:r>
            <w:r>
              <w:rPr>
                <w:rFonts w:hint="eastAsia" w:asciiTheme="minorEastAsia" w:hAnsiTheme="minorEastAsia" w:eastAsiaTheme="minorEastAsia"/>
                <w:sz w:val="20"/>
              </w:rPr>
              <w:t>人</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令和３年度末の就労継続支援Ａ型事業所の移行者数</w:t>
            </w:r>
            <w:r>
              <w:rPr>
                <w:rFonts w:hint="default" w:asciiTheme="minorEastAsia" w:hAnsiTheme="minorEastAsia" w:eastAsiaTheme="minorEastAsia"/>
                <w:spacing w:val="-4"/>
                <w:sz w:val="20"/>
              </w:rPr>
              <w:t xml:space="preserve"> </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目標年度</w:t>
            </w:r>
            <w:r>
              <w:rPr>
                <w:rFonts w:hint="default" w:asciiTheme="minorEastAsia" w:hAnsiTheme="minorEastAsia" w:eastAsiaTheme="minorEastAsia"/>
                <w:sz w:val="20"/>
              </w:rPr>
              <w:t>(</w:t>
            </w:r>
            <w:r>
              <w:rPr>
                <w:rFonts w:hint="default" w:asciiTheme="minorEastAsia" w:hAnsiTheme="minorEastAsia" w:eastAsiaTheme="minorEastAsia"/>
                <w:sz w:val="20"/>
              </w:rPr>
              <w:t>令和８年度末）における一般就労への移行者数</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4</w:t>
            </w:r>
            <w:r>
              <w:rPr>
                <w:rFonts w:hint="eastAsia" w:asciiTheme="minorEastAsia" w:hAnsiTheme="minorEastAsia" w:eastAsiaTheme="minorEastAsia"/>
                <w:sz w:val="20"/>
              </w:rPr>
              <w:t>人</w:t>
            </w:r>
          </w:p>
          <w:p>
            <w:pPr>
              <w:pStyle w:val="0"/>
              <w:autoSpaceDE w:val="0"/>
              <w:autoSpaceDN w:val="0"/>
              <w:spacing w:line="0" w:lineRule="atLeast"/>
              <w:jc w:val="right"/>
              <w:rPr>
                <w:rFonts w:hint="default" w:asciiTheme="minorEastAsia" w:hAnsiTheme="minorEastAsia" w:eastAsiaTheme="minorEastAsia"/>
                <w:sz w:val="20"/>
              </w:rPr>
            </w:pPr>
            <w:r>
              <w:rPr>
                <w:rFonts w:hint="default" w:asciiTheme="minorEastAsia" w:hAnsiTheme="minorEastAsia" w:eastAsiaTheme="minorEastAsia"/>
                <w:sz w:val="20"/>
              </w:rPr>
              <w:t>1.00</w:t>
            </w:r>
            <w:r>
              <w:rPr>
                <w:rFonts w:hint="default" w:asciiTheme="minorEastAsia" w:hAnsiTheme="minorEastAsia" w:eastAsiaTheme="minorEastAsia"/>
                <w:sz w:val="20"/>
              </w:rPr>
              <w:t>倍</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令和８年度末の一般就労への移行実績（国指針：令和３年度末の</w:t>
            </w:r>
            <w:r>
              <w:rPr>
                <w:rFonts w:hint="default" w:asciiTheme="minorEastAsia" w:hAnsiTheme="minorEastAsia" w:eastAsiaTheme="minorEastAsia"/>
                <w:spacing w:val="-2"/>
                <w:sz w:val="20"/>
              </w:rPr>
              <w:t>1.29</w:t>
            </w:r>
            <w:r>
              <w:rPr>
                <w:rFonts w:hint="default" w:asciiTheme="minorEastAsia" w:hAnsiTheme="minorEastAsia" w:eastAsiaTheme="minorEastAsia"/>
                <w:spacing w:val="-2"/>
                <w:sz w:val="20"/>
              </w:rPr>
              <w:t>倍以上</w:t>
            </w:r>
            <w:r>
              <w:rPr>
                <w:rFonts w:hint="default" w:asciiTheme="minorEastAsia" w:hAnsiTheme="minorEastAsia" w:eastAsiaTheme="minorEastAsia"/>
                <w:spacing w:val="-2"/>
                <w:sz w:val="20"/>
              </w:rPr>
              <w:t>(29</w:t>
            </w:r>
            <w:r>
              <w:rPr>
                <w:rFonts w:hint="default" w:asciiTheme="minorEastAsia" w:hAnsiTheme="minorEastAsia" w:eastAsiaTheme="minorEastAsia"/>
                <w:spacing w:val="-2"/>
                <w:sz w:val="20"/>
              </w:rPr>
              <w:t>％以上</w:t>
            </w:r>
            <w:r>
              <w:rPr>
                <w:rFonts w:hint="default" w:asciiTheme="minorEastAsia" w:hAnsiTheme="minorEastAsia" w:eastAsiaTheme="minorEastAsia"/>
                <w:spacing w:val="-2"/>
                <w:sz w:val="20"/>
              </w:rPr>
              <w:t>)</w:t>
            </w:r>
            <w:r>
              <w:rPr>
                <w:rFonts w:hint="default" w:asciiTheme="minorEastAsia" w:hAnsiTheme="minorEastAsia" w:eastAsiaTheme="minorEastAsia"/>
                <w:spacing w:val="-2"/>
                <w:sz w:val="20"/>
              </w:rPr>
              <w:t>の増加）</w:t>
            </w:r>
          </w:p>
        </w:tc>
      </w:tr>
    </w:tbl>
    <w:p>
      <w:pPr>
        <w:pStyle w:val="0"/>
        <w:ind w:left="560" w:leftChars="250" w:firstLine="214" w:firstLineChars="100"/>
        <w:rPr>
          <w:rFonts w:hint="default" w:asciiTheme="minorEastAsia" w:hAnsiTheme="minorEastAsia" w:eastAsiaTheme="minorEastAsia"/>
          <w:sz w:val="21"/>
        </w:rPr>
      </w:pPr>
    </w:p>
    <w:p>
      <w:pPr>
        <w:pStyle w:val="82"/>
        <w:ind w:left="784" w:hanging="336"/>
        <w:rPr>
          <w:rFonts w:hint="default"/>
        </w:rPr>
      </w:pPr>
      <w:r>
        <w:rPr>
          <w:rFonts w:hint="eastAsia"/>
        </w:rPr>
        <w:t>⑤</w:t>
      </w:r>
      <w:r>
        <w:rPr>
          <w:rFonts w:hint="eastAsia"/>
        </w:rPr>
        <w:t xml:space="preserve"> </w:t>
      </w:r>
      <w:r>
        <w:rPr>
          <w:rFonts w:hint="eastAsia"/>
        </w:rPr>
        <w:t>令和８年度末における就労継続支援Ｂ型</w:t>
      </w:r>
      <w:r>
        <w:rPr>
          <w:rFonts w:hint="default"/>
        </w:rPr>
        <w:t>事業の移行者数</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402"/>
        <w:gridCol w:w="851"/>
        <w:gridCol w:w="4677"/>
      </w:tblGrid>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851"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数値</w:t>
            </w:r>
          </w:p>
        </w:tc>
        <w:tc>
          <w:tcPr>
            <w:tcW w:w="467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令和３年度末の就労継続支援Ｂ</w:t>
            </w:r>
            <w:r>
              <w:rPr>
                <w:rFonts w:hint="default" w:asciiTheme="minorEastAsia" w:hAnsiTheme="minorEastAsia" w:eastAsiaTheme="minorEastAsia"/>
                <w:sz w:val="20"/>
              </w:rPr>
              <w:t>型事業所の移行者数</w:t>
            </w:r>
            <w:r>
              <w:rPr>
                <w:rFonts w:hint="default" w:asciiTheme="minorEastAsia" w:hAnsiTheme="minorEastAsia" w:eastAsiaTheme="minorEastAsia"/>
                <w:sz w:val="20"/>
              </w:rPr>
              <w:t xml:space="preserve"> </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default" w:asciiTheme="minorEastAsia" w:hAnsiTheme="minorEastAsia" w:eastAsiaTheme="minorEastAsia"/>
                <w:sz w:val="20"/>
              </w:rPr>
              <w:t>2</w:t>
            </w:r>
            <w:r>
              <w:rPr>
                <w:rFonts w:hint="eastAsia" w:asciiTheme="minorEastAsia" w:hAnsiTheme="minorEastAsia" w:eastAsiaTheme="minorEastAsia"/>
                <w:sz w:val="20"/>
              </w:rPr>
              <w:t>人</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令和３年度末の就労継続支援Ｂ型事業所の移行者数</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目標年度</w:t>
            </w:r>
            <w:r>
              <w:rPr>
                <w:rFonts w:hint="default" w:asciiTheme="minorEastAsia" w:hAnsiTheme="minorEastAsia" w:eastAsiaTheme="minorEastAsia"/>
                <w:sz w:val="20"/>
              </w:rPr>
              <w:t>(</w:t>
            </w:r>
            <w:r>
              <w:rPr>
                <w:rFonts w:hint="default" w:asciiTheme="minorEastAsia" w:hAnsiTheme="minorEastAsia" w:eastAsiaTheme="minorEastAsia"/>
                <w:sz w:val="20"/>
              </w:rPr>
              <w:t>令和８年度末）における一般就労への移行者数</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2</w:t>
            </w:r>
            <w:r>
              <w:rPr>
                <w:rFonts w:hint="eastAsia" w:asciiTheme="minorEastAsia" w:hAnsiTheme="minorEastAsia" w:eastAsiaTheme="minorEastAsia"/>
                <w:sz w:val="20"/>
              </w:rPr>
              <w:t>人</w:t>
            </w:r>
          </w:p>
          <w:p>
            <w:pPr>
              <w:pStyle w:val="0"/>
              <w:autoSpaceDE w:val="0"/>
              <w:autoSpaceDN w:val="0"/>
              <w:spacing w:line="0" w:lineRule="atLeast"/>
              <w:jc w:val="right"/>
              <w:rPr>
                <w:rFonts w:hint="default" w:asciiTheme="minorEastAsia" w:hAnsiTheme="minorEastAsia" w:eastAsiaTheme="minorEastAsia"/>
                <w:sz w:val="20"/>
              </w:rPr>
            </w:pPr>
            <w:r>
              <w:rPr>
                <w:rFonts w:hint="default" w:asciiTheme="minorEastAsia" w:hAnsiTheme="minorEastAsia" w:eastAsiaTheme="minorEastAsia"/>
                <w:sz w:val="20"/>
              </w:rPr>
              <w:t>1.</w:t>
            </w:r>
            <w:r>
              <w:rPr>
                <w:rFonts w:hint="eastAsia" w:asciiTheme="minorEastAsia" w:hAnsiTheme="minorEastAsia" w:eastAsiaTheme="minorEastAsia"/>
                <w:sz w:val="20"/>
              </w:rPr>
              <w:t>0</w:t>
            </w:r>
            <w:r>
              <w:rPr>
                <w:rFonts w:hint="default" w:asciiTheme="minorEastAsia" w:hAnsiTheme="minorEastAsia" w:eastAsiaTheme="minorEastAsia"/>
                <w:sz w:val="20"/>
              </w:rPr>
              <w:t>0</w:t>
            </w:r>
            <w:r>
              <w:rPr>
                <w:rFonts w:hint="default" w:asciiTheme="minorEastAsia" w:hAnsiTheme="minorEastAsia" w:eastAsiaTheme="minorEastAsia"/>
                <w:sz w:val="20"/>
              </w:rPr>
              <w:t>倍</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令和８年度末の一般就労への移行実績（国指針：令和３年度末の</w:t>
            </w:r>
            <w:r>
              <w:rPr>
                <w:rFonts w:hint="default" w:asciiTheme="minorEastAsia" w:hAnsiTheme="minorEastAsia" w:eastAsiaTheme="minorEastAsia"/>
                <w:spacing w:val="-2"/>
                <w:sz w:val="20"/>
              </w:rPr>
              <w:t>1.28</w:t>
            </w:r>
            <w:r>
              <w:rPr>
                <w:rFonts w:hint="default" w:asciiTheme="minorEastAsia" w:hAnsiTheme="minorEastAsia" w:eastAsiaTheme="minorEastAsia"/>
                <w:spacing w:val="-2"/>
                <w:sz w:val="20"/>
              </w:rPr>
              <w:t>倍以上</w:t>
            </w:r>
            <w:r>
              <w:rPr>
                <w:rFonts w:hint="default" w:asciiTheme="minorEastAsia" w:hAnsiTheme="minorEastAsia" w:eastAsiaTheme="minorEastAsia"/>
                <w:spacing w:val="-2"/>
                <w:sz w:val="20"/>
              </w:rPr>
              <w:t>(28</w:t>
            </w:r>
            <w:r>
              <w:rPr>
                <w:rFonts w:hint="default" w:asciiTheme="minorEastAsia" w:hAnsiTheme="minorEastAsia" w:eastAsiaTheme="minorEastAsia"/>
                <w:spacing w:val="-2"/>
                <w:sz w:val="20"/>
              </w:rPr>
              <w:t>％以上</w:t>
            </w:r>
            <w:r>
              <w:rPr>
                <w:rFonts w:hint="default" w:asciiTheme="minorEastAsia" w:hAnsiTheme="minorEastAsia" w:eastAsiaTheme="minorEastAsia"/>
                <w:spacing w:val="-2"/>
                <w:sz w:val="20"/>
              </w:rPr>
              <w:t>)</w:t>
            </w:r>
            <w:r>
              <w:rPr>
                <w:rFonts w:hint="default" w:asciiTheme="minorEastAsia" w:hAnsiTheme="minorEastAsia" w:eastAsiaTheme="minorEastAsia"/>
                <w:spacing w:val="-2"/>
                <w:sz w:val="20"/>
              </w:rPr>
              <w:t>の増加</w:t>
            </w:r>
            <w:r>
              <w:rPr>
                <w:rFonts w:hint="eastAsia" w:asciiTheme="minorEastAsia" w:hAnsiTheme="minorEastAsia" w:eastAsiaTheme="minorEastAsia"/>
                <w:spacing w:val="-2"/>
                <w:sz w:val="20"/>
              </w:rPr>
              <w:t>）</w:t>
            </w:r>
          </w:p>
        </w:tc>
      </w:tr>
    </w:tbl>
    <w:p>
      <w:pPr>
        <w:pStyle w:val="0"/>
        <w:ind w:left="560" w:leftChars="250" w:firstLine="214" w:firstLineChars="100"/>
        <w:rPr>
          <w:rFonts w:hint="default" w:asciiTheme="minorEastAsia" w:hAnsiTheme="minorEastAsia" w:eastAsiaTheme="minorEastAsia"/>
          <w:sz w:val="21"/>
        </w:rPr>
      </w:pPr>
    </w:p>
    <w:p>
      <w:pPr>
        <w:pStyle w:val="82"/>
        <w:ind w:left="784" w:hanging="336"/>
        <w:rPr>
          <w:rFonts w:hint="default"/>
        </w:rPr>
      </w:pPr>
      <w:r>
        <w:rPr>
          <w:rFonts w:hint="eastAsia"/>
        </w:rPr>
        <w:t>⑥</w:t>
      </w:r>
      <w:r>
        <w:rPr>
          <w:rFonts w:hint="eastAsia"/>
        </w:rPr>
        <w:t xml:space="preserve"> </w:t>
      </w:r>
      <w:r>
        <w:rPr>
          <w:rFonts w:hint="eastAsia"/>
        </w:rPr>
        <w:t>就労定着支援事業の利用者数及び就労定着率</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267"/>
        <w:gridCol w:w="844"/>
        <w:gridCol w:w="4819"/>
      </w:tblGrid>
      <w:tr>
        <w:trPr/>
        <w:tc>
          <w:tcPr>
            <w:tcW w:w="326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844"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数値</w:t>
            </w:r>
          </w:p>
        </w:tc>
        <w:tc>
          <w:tcPr>
            <w:tcW w:w="4819"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326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令和３年度における就労定着支援事業の利用者数</w:t>
            </w:r>
          </w:p>
        </w:tc>
        <w:tc>
          <w:tcPr>
            <w:tcW w:w="844" w:type="dxa"/>
            <w:shd w:val="clear" w:color="auto" w:fill="auto"/>
            <w:tcMar>
              <w:top w:w="57" w:type="dxa"/>
              <w:left w:w="108"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2</w:t>
            </w:r>
            <w:r>
              <w:rPr>
                <w:rFonts w:hint="eastAsia" w:asciiTheme="minorEastAsia" w:hAnsiTheme="minorEastAsia" w:eastAsiaTheme="minorEastAsia"/>
                <w:sz w:val="20"/>
              </w:rPr>
              <w:t>人</w:t>
            </w:r>
          </w:p>
        </w:tc>
        <w:tc>
          <w:tcPr>
            <w:tcW w:w="4819"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令和３年度における就労定着支援事業の利用者数</w:t>
            </w:r>
          </w:p>
        </w:tc>
      </w:tr>
      <w:tr>
        <w:trPr/>
        <w:tc>
          <w:tcPr>
            <w:tcW w:w="326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令和８年度における就労定着支援事業の利用者数</w:t>
            </w:r>
          </w:p>
        </w:tc>
        <w:tc>
          <w:tcPr>
            <w:tcW w:w="844" w:type="dxa"/>
            <w:shd w:val="clear" w:color="auto" w:fill="auto"/>
            <w:tcMar>
              <w:top w:w="57" w:type="dxa"/>
              <w:left w:w="108"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3</w:t>
            </w:r>
            <w:r>
              <w:rPr>
                <w:rFonts w:hint="eastAsia" w:asciiTheme="minorEastAsia" w:hAnsiTheme="minorEastAsia" w:eastAsiaTheme="minorEastAsia"/>
                <w:sz w:val="20"/>
              </w:rPr>
              <w:t>人</w:t>
            </w:r>
          </w:p>
        </w:tc>
        <w:tc>
          <w:tcPr>
            <w:tcW w:w="4819"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国指針：就労定着支援事業の利用者数については、令和３年度実績の</w:t>
            </w:r>
            <w:r>
              <w:rPr>
                <w:rFonts w:hint="default" w:asciiTheme="minorEastAsia" w:hAnsiTheme="minorEastAsia" w:eastAsiaTheme="minorEastAsia"/>
                <w:sz w:val="20"/>
              </w:rPr>
              <w:t>1.41</w:t>
            </w:r>
            <w:r>
              <w:rPr>
                <w:rFonts w:hint="default" w:asciiTheme="minorEastAsia" w:hAnsiTheme="minorEastAsia" w:eastAsiaTheme="minorEastAsia"/>
                <w:sz w:val="20"/>
              </w:rPr>
              <w:t>倍以上</w:t>
            </w:r>
            <w:r>
              <w:rPr>
                <w:rFonts w:hint="default" w:asciiTheme="minorEastAsia" w:hAnsiTheme="minorEastAsia" w:eastAsiaTheme="minorEastAsia"/>
                <w:sz w:val="20"/>
              </w:rPr>
              <w:t>(41</w:t>
            </w:r>
            <w:r>
              <w:rPr>
                <w:rFonts w:hint="default" w:asciiTheme="minorEastAsia" w:hAnsiTheme="minorEastAsia" w:eastAsiaTheme="minorEastAsia"/>
                <w:sz w:val="20"/>
              </w:rPr>
              <w:t>％以上</w:t>
            </w:r>
            <w:r>
              <w:rPr>
                <w:rFonts w:hint="default" w:asciiTheme="minorEastAsia" w:hAnsiTheme="minorEastAsia" w:eastAsiaTheme="minorEastAsia"/>
                <w:sz w:val="20"/>
              </w:rPr>
              <w:t>)</w:t>
            </w:r>
            <w:r>
              <w:rPr>
                <w:rFonts w:hint="default" w:asciiTheme="minorEastAsia" w:hAnsiTheme="minorEastAsia" w:eastAsiaTheme="minorEastAsia"/>
                <w:sz w:val="20"/>
              </w:rPr>
              <w:t>とすることを基本とする。</w:t>
            </w:r>
          </w:p>
        </w:tc>
      </w:tr>
      <w:tr>
        <w:trPr/>
        <w:tc>
          <w:tcPr>
            <w:tcW w:w="326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令和８年度末の管内就労定着支援事業所数（見込み）</w:t>
            </w:r>
          </w:p>
        </w:tc>
        <w:tc>
          <w:tcPr>
            <w:tcW w:w="844" w:type="dxa"/>
            <w:shd w:val="clear" w:color="auto" w:fill="auto"/>
            <w:tcMar>
              <w:top w:w="57" w:type="dxa"/>
              <w:left w:w="108"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２か所</w:t>
            </w:r>
          </w:p>
        </w:tc>
        <w:tc>
          <w:tcPr>
            <w:tcW w:w="4819"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令和８年度末の就労移行支援事業所の管内事業所数</w:t>
            </w:r>
          </w:p>
          <w:p>
            <w:pPr>
              <w:pStyle w:val="0"/>
              <w:autoSpaceDE w:val="0"/>
              <w:autoSpaceDN w:val="0"/>
              <w:spacing w:line="0" w:lineRule="atLeast"/>
              <w:ind w:left="204" w:hanging="204" w:hangingChars="100"/>
              <w:rPr>
                <w:rFonts w:hint="default" w:asciiTheme="minorEastAsia" w:hAnsiTheme="minorEastAsia" w:eastAsiaTheme="minorEastAsia"/>
                <w:sz w:val="20"/>
              </w:rPr>
            </w:pPr>
            <w:r>
              <w:rPr>
                <w:rFonts w:hint="eastAsia" w:asciiTheme="minorEastAsia" w:hAnsiTheme="minorEastAsia" w:eastAsiaTheme="minorEastAsia"/>
                <w:sz w:val="20"/>
              </w:rPr>
              <w:t>・増加の見込みがある場合、令和３年度末の事業所数に加えて記載すること。</w:t>
            </w:r>
          </w:p>
          <w:p>
            <w:pPr>
              <w:pStyle w:val="0"/>
              <w:autoSpaceDE w:val="0"/>
              <w:autoSpaceDN w:val="0"/>
              <w:spacing w:line="0" w:lineRule="atLeast"/>
              <w:ind w:left="204" w:hanging="204" w:hangingChars="100"/>
              <w:rPr>
                <w:rFonts w:hint="default" w:asciiTheme="minorEastAsia" w:hAnsiTheme="minorEastAsia" w:eastAsiaTheme="minorEastAsia"/>
                <w:sz w:val="20"/>
              </w:rPr>
            </w:pPr>
            <w:r>
              <w:rPr>
                <w:rFonts w:hint="eastAsia" w:asciiTheme="minorEastAsia" w:hAnsiTheme="minorEastAsia" w:eastAsiaTheme="minorEastAsia"/>
                <w:sz w:val="20"/>
              </w:rPr>
              <w:t>・増加するか見込めない場合は、令和３年度末の事業所数を暫定的に記載すること。</w:t>
            </w:r>
          </w:p>
          <w:p>
            <w:pPr>
              <w:pStyle w:val="0"/>
              <w:autoSpaceDE w:val="0"/>
              <w:autoSpaceDN w:val="0"/>
              <w:spacing w:line="0" w:lineRule="atLeast"/>
              <w:ind w:left="184" w:hanging="184" w:hangingChars="100"/>
              <w:rPr>
                <w:rFonts w:hint="default" w:asciiTheme="minorEastAsia" w:hAnsiTheme="minorEastAsia" w:eastAsiaTheme="minorEastAsia"/>
                <w:sz w:val="18"/>
              </w:rPr>
            </w:pPr>
            <w:r>
              <w:rPr>
                <w:rFonts w:hint="eastAsia" w:asciiTheme="minorEastAsia" w:hAnsiTheme="minorEastAsia" w:eastAsiaTheme="minorEastAsia"/>
                <w:sz w:val="18"/>
              </w:rPr>
              <w:t>※過去六年間において就労定着支援の利用を終了した者のうち、雇用された通常の事業所に四十二月以上七十八月未満の期間継続して就労している者又は就労していた者の占める割合</w:t>
            </w:r>
          </w:p>
        </w:tc>
      </w:tr>
      <w:tr>
        <w:trPr/>
        <w:tc>
          <w:tcPr>
            <w:tcW w:w="326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令和８年度末における就労定着率が７割以上の就労支援事業所の数</w:t>
            </w:r>
          </w:p>
        </w:tc>
        <w:tc>
          <w:tcPr>
            <w:tcW w:w="844" w:type="dxa"/>
            <w:shd w:val="clear" w:color="auto" w:fill="auto"/>
            <w:tcMar>
              <w:top w:w="57" w:type="dxa"/>
              <w:left w:w="108"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１か所</w:t>
            </w:r>
          </w:p>
        </w:tc>
        <w:tc>
          <w:tcPr>
            <w:tcW w:w="4819"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国指針：就労定着支援事業所のうち、就労定着率が７割以上の事業所を全体の２割５分以上</w:t>
            </w:r>
          </w:p>
        </w:tc>
      </w:tr>
    </w:tbl>
    <w:p>
      <w:pPr>
        <w:pStyle w:val="83"/>
        <w:spacing w:line="0" w:lineRule="atLeast"/>
        <w:ind w:left="672" w:firstLine="204"/>
        <w:rPr>
          <w:rFonts w:hint="default"/>
          <w:sz w:val="20"/>
        </w:rPr>
      </w:pPr>
    </w:p>
    <w:tbl>
      <w:tblPr>
        <w:tblStyle w:val="11"/>
        <w:tblW w:w="8930" w:type="dxa"/>
        <w:tblInd w:w="704"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Look w:firstRow="1" w:lastRow="0" w:firstColumn="1" w:lastColumn="0" w:noHBand="0" w:noVBand="1" w:val="04A0"/>
      </w:tblPr>
      <w:tblGrid>
        <w:gridCol w:w="8930"/>
      </w:tblGrid>
      <w:tr>
        <w:trPr/>
        <w:tc>
          <w:tcPr>
            <w:tcW w:w="8930" w:type="dxa"/>
            <w:shd w:val="clear" w:color="auto" w:fill="auto"/>
            <w:tcMar>
              <w:top w:w="57" w:type="dxa"/>
              <w:bottom w:w="57" w:type="dxa"/>
            </w:tcMar>
            <w:vAlign w:val="top"/>
          </w:tcPr>
          <w:p>
            <w:pPr>
              <w:pStyle w:val="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就労移行率及び職場定着率の充実に係る方策</w:t>
            </w:r>
          </w:p>
          <w:p>
            <w:pPr>
              <w:pStyle w:val="0"/>
              <w:ind w:left="448" w:leftChars="100" w:hanging="224" w:hangingChars="100"/>
              <w:rPr>
                <w:rFonts w:hint="default" w:asciiTheme="minorEastAsia" w:hAnsiTheme="minorEastAsia" w:eastAsiaTheme="minorEastAsia"/>
              </w:rPr>
            </w:pPr>
            <w:r>
              <w:rPr>
                <w:rFonts w:hint="eastAsia" w:asciiTheme="minorEastAsia" w:hAnsiTheme="minorEastAsia" w:eastAsiaTheme="minorEastAsia"/>
              </w:rPr>
              <w:t>・就労移行支援事業所等や計画相談支援事業所、ハローワークや障害者職業センター、障害者就業・生活支援センター等の関係機関と連携を図ります。</w:t>
            </w:r>
          </w:p>
          <w:p>
            <w:pPr>
              <w:pStyle w:val="0"/>
              <w:ind w:left="448" w:leftChars="100" w:hanging="224" w:hangingChars="100"/>
              <w:rPr>
                <w:rFonts w:hint="default" w:asciiTheme="minorEastAsia" w:hAnsiTheme="minorEastAsia" w:eastAsiaTheme="minorEastAsia"/>
              </w:rPr>
            </w:pPr>
            <w:r>
              <w:rPr>
                <w:rFonts w:hint="eastAsia" w:asciiTheme="minorEastAsia" w:hAnsiTheme="minorEastAsia" w:eastAsiaTheme="minorEastAsia"/>
              </w:rPr>
              <w:t>・就労移行支援事業所等から一般就労につながった利用者について、就労定着支援を活用することにより、就労の継続を支援します。</w:t>
            </w:r>
          </w:p>
        </w:tc>
      </w:tr>
    </w:tbl>
    <w:p>
      <w:pPr>
        <w:pStyle w:val="83"/>
        <w:spacing w:line="0" w:lineRule="atLeast"/>
        <w:ind w:left="672" w:firstLine="64"/>
        <w:rPr>
          <w:rFonts w:hint="default"/>
          <w:sz w:val="6"/>
        </w:rPr>
      </w:pPr>
    </w:p>
    <w:p>
      <w:pPr>
        <w:pStyle w:val="83"/>
        <w:spacing w:line="0" w:lineRule="atLeast"/>
        <w:ind w:left="672" w:firstLine="64"/>
        <w:rPr>
          <w:rFonts w:hint="default"/>
          <w:sz w:val="6"/>
        </w:rPr>
      </w:pPr>
    </w:p>
    <w:p>
      <w:pPr>
        <w:pStyle w:val="83"/>
        <w:spacing w:line="0" w:lineRule="atLeast"/>
        <w:ind w:left="672" w:firstLine="204"/>
        <w:rPr>
          <w:rFonts w:hint="default"/>
          <w:sz w:val="20"/>
        </w:rPr>
      </w:pPr>
    </w:p>
    <w:p>
      <w:pPr>
        <w:pStyle w:val="0"/>
        <w:rPr>
          <w:rFonts w:hint="default"/>
          <w:sz w:val="20"/>
        </w:rPr>
      </w:pPr>
      <w:r>
        <w:rPr>
          <w:rFonts w:hint="default"/>
          <w:sz w:val="20"/>
        </w:rPr>
        <w:br w:type="page"/>
      </w:r>
    </w:p>
    <w:p>
      <w:pPr>
        <w:pStyle w:val="81"/>
        <w:spacing w:after="37" w:afterLines="0" w:afterAutospacing="0"/>
        <w:ind w:left="224"/>
        <w:rPr>
          <w:rFonts w:hint="default"/>
        </w:rPr>
      </w:pPr>
      <w:bookmarkStart w:id="179" w:name="_Toc67040246"/>
      <w:r>
        <w:rPr>
          <w:rFonts w:hint="default"/>
        </w:rPr>
        <w:t>(</w:t>
      </w:r>
      <w:r>
        <w:rPr>
          <w:rFonts w:hint="eastAsia"/>
        </w:rPr>
        <w:t>５</w:t>
      </w:r>
      <w:r>
        <w:rPr>
          <w:rFonts w:hint="default"/>
        </w:rPr>
        <w:t>)</w:t>
      </w:r>
      <w:r>
        <w:rPr>
          <w:rFonts w:hint="eastAsia"/>
        </w:rPr>
        <w:t>相談支援体制の充実・強化等</w:t>
      </w:r>
      <w:bookmarkEnd w:id="179"/>
    </w:p>
    <w:p>
      <w:pPr>
        <w:pStyle w:val="83"/>
        <w:spacing w:line="0" w:lineRule="atLeast"/>
        <w:ind w:left="672" w:firstLine="164"/>
        <w:rPr>
          <w:rFonts w:hint="default"/>
          <w:sz w:val="16"/>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693"/>
        <w:gridCol w:w="898"/>
        <w:gridCol w:w="47"/>
        <w:gridCol w:w="851"/>
        <w:gridCol w:w="94"/>
        <w:gridCol w:w="945"/>
        <w:gridCol w:w="3402"/>
      </w:tblGrid>
      <w:tr>
        <w:trPr/>
        <w:tc>
          <w:tcPr>
            <w:tcW w:w="2693"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2835" w:type="dxa"/>
            <w:gridSpan w:val="5"/>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実施時期</w:t>
            </w:r>
          </w:p>
        </w:tc>
        <w:tc>
          <w:tcPr>
            <w:tcW w:w="3402"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備考</w:t>
            </w:r>
          </w:p>
        </w:tc>
      </w:tr>
      <w:tr>
        <w:trPr/>
        <w:tc>
          <w:tcPr>
            <w:tcW w:w="2693" w:type="dxa"/>
            <w:vMerge w:val="continue"/>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898" w:type="dxa"/>
            <w:shd w:val="clear" w:color="auto" w:themeFill="background1" w:themeFillTint="FF" w:themeFillShade="D9"/>
            <w:tcMar>
              <w:top w:w="57" w:type="dxa"/>
              <w:bottom w:w="57" w:type="dxa"/>
            </w:tcMar>
            <w:vAlign w:val="center"/>
          </w:tcPr>
          <w:p>
            <w:pPr>
              <w:pStyle w:val="0"/>
              <w:autoSpaceDE w:val="0"/>
              <w:autoSpaceDN w:val="0"/>
              <w:spacing w:line="0" w:lineRule="atLeast"/>
              <w:ind w:left="-112" w:leftChars="-50" w:right="-112" w:rightChars="-50"/>
              <w:jc w:val="center"/>
              <w:rPr>
                <w:rFonts w:hint="default" w:asciiTheme="minorEastAsia" w:hAnsiTheme="minorEastAsia" w:eastAsiaTheme="minorEastAsia"/>
                <w:spacing w:val="-8"/>
                <w:w w:val="90"/>
                <w:sz w:val="20"/>
              </w:rPr>
            </w:pPr>
            <w:r>
              <w:rPr>
                <w:rFonts w:hint="eastAsia" w:asciiTheme="minorEastAsia" w:hAnsiTheme="minorEastAsia" w:eastAsiaTheme="minorEastAsia"/>
                <w:spacing w:val="-8"/>
                <w:w w:val="90"/>
                <w:sz w:val="20"/>
              </w:rPr>
              <w:t>令和６年</w:t>
            </w:r>
          </w:p>
        </w:tc>
        <w:tc>
          <w:tcPr>
            <w:tcW w:w="898" w:type="dxa"/>
            <w:gridSpan w:val="2"/>
            <w:shd w:val="clear" w:color="auto" w:themeFill="background1" w:themeFillTint="FF" w:themeFillShade="D9"/>
            <w:vAlign w:val="center"/>
          </w:tcPr>
          <w:p>
            <w:pPr>
              <w:pStyle w:val="0"/>
              <w:autoSpaceDE w:val="0"/>
              <w:autoSpaceDN w:val="0"/>
              <w:spacing w:line="0" w:lineRule="atLeast"/>
              <w:ind w:left="-112" w:leftChars="-50" w:right="-112" w:rightChars="-50"/>
              <w:jc w:val="center"/>
              <w:rPr>
                <w:rFonts w:hint="default" w:asciiTheme="minorEastAsia" w:hAnsiTheme="minorEastAsia" w:eastAsiaTheme="minorEastAsia"/>
                <w:spacing w:val="-8"/>
                <w:w w:val="90"/>
                <w:sz w:val="20"/>
              </w:rPr>
            </w:pPr>
            <w:r>
              <w:rPr>
                <w:rFonts w:hint="eastAsia" w:asciiTheme="minorEastAsia" w:hAnsiTheme="minorEastAsia" w:eastAsiaTheme="minorEastAsia"/>
                <w:spacing w:val="-8"/>
                <w:w w:val="90"/>
                <w:sz w:val="20"/>
              </w:rPr>
              <w:t>令和７年</w:t>
            </w:r>
          </w:p>
        </w:tc>
        <w:tc>
          <w:tcPr>
            <w:tcW w:w="1039" w:type="dxa"/>
            <w:gridSpan w:val="2"/>
            <w:shd w:val="clear" w:color="auto" w:themeFill="background1" w:themeFillTint="FF" w:themeFillShade="D9"/>
            <w:vAlign w:val="center"/>
          </w:tcPr>
          <w:p>
            <w:pPr>
              <w:pStyle w:val="0"/>
              <w:autoSpaceDE w:val="0"/>
              <w:autoSpaceDN w:val="0"/>
              <w:spacing w:line="0" w:lineRule="atLeast"/>
              <w:ind w:left="-112" w:leftChars="-50" w:right="-112" w:rightChars="-50"/>
              <w:jc w:val="center"/>
              <w:rPr>
                <w:rFonts w:hint="default" w:asciiTheme="minorEastAsia" w:hAnsiTheme="minorEastAsia" w:eastAsiaTheme="minorEastAsia"/>
                <w:spacing w:val="-8"/>
                <w:w w:val="90"/>
                <w:sz w:val="20"/>
              </w:rPr>
            </w:pPr>
            <w:r>
              <w:rPr>
                <w:rFonts w:hint="eastAsia" w:asciiTheme="minorEastAsia" w:hAnsiTheme="minorEastAsia" w:eastAsiaTheme="minorEastAsia"/>
                <w:spacing w:val="-8"/>
                <w:w w:val="90"/>
                <w:sz w:val="20"/>
              </w:rPr>
              <w:t>令和８年</w:t>
            </w:r>
          </w:p>
        </w:tc>
        <w:tc>
          <w:tcPr>
            <w:tcW w:w="3402" w:type="dxa"/>
            <w:vMerge w:val="continue"/>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p>
        </w:tc>
      </w:tr>
      <w:tr>
        <w:trPr/>
        <w:tc>
          <w:tcPr>
            <w:tcW w:w="5528" w:type="dxa"/>
            <w:gridSpan w:val="6"/>
            <w:shd w:val="clear" w:color="auto" w:themeFill="background1" w:themeFillTint="FF" w:themeFillShade="D9"/>
            <w:tcMar>
              <w:top w:w="57" w:type="dxa"/>
              <w:bottom w:w="57" w:type="dxa"/>
            </w:tcMar>
            <w:vAlign w:val="center"/>
          </w:tcPr>
          <w:p>
            <w:pPr>
              <w:pStyle w:val="0"/>
              <w:autoSpaceDE w:val="0"/>
              <w:autoSpaceDN w:val="0"/>
              <w:spacing w:line="0" w:lineRule="atLeast"/>
              <w:ind w:left="408" w:hanging="408" w:hangingChars="200"/>
              <w:rPr>
                <w:rFonts w:hint="default" w:asciiTheme="minorEastAsia" w:hAnsiTheme="minorEastAsia" w:eastAsiaTheme="minorEastAsia"/>
                <w:sz w:val="20"/>
              </w:rPr>
            </w:pPr>
            <w:r>
              <w:rPr>
                <w:rFonts w:hint="eastAsia" w:asciiTheme="minorEastAsia" w:hAnsiTheme="minorEastAsia" w:eastAsiaTheme="minorEastAsia"/>
                <w:sz w:val="20"/>
              </w:rPr>
              <w:t>ア　基幹相談支援センターの設置</w:t>
            </w:r>
          </w:p>
        </w:tc>
        <w:tc>
          <w:tcPr>
            <w:tcW w:w="3402" w:type="dxa"/>
            <w:vMerge w:val="restart"/>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国指針：令和８年度末までに、各市町村において、総合的な相談支援、地域の相談支援体制の強化及び関係機関等の連携の緊密化を通じた地域づくりの役割を担う基幹相談支援センターを設置（複数市町村による共同設置を含む。）するとともに、基幹相談支援センターが地域の相談支援体制の強化を図る体制を確保することを基本とする。</w:t>
            </w:r>
          </w:p>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なお、基幹相談支援センターを設置するまでの間においても、各市町村において地域の相談支援体制の強化に努める。</w:t>
            </w:r>
          </w:p>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また、地域づくりに向けた協議会の機能をより実効性のあるものとするため、協議会において、個別事例の検討を通じた地域サービス基盤の開発・改善等を行う取組を行うとともに、これらの取組を行うために必要な協議会の体制を確保することを基本とする。</w:t>
            </w: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設置方法</w:t>
            </w:r>
            <w:r>
              <w:rPr>
                <w:rFonts w:hint="default" w:asciiTheme="minorEastAsia" w:hAnsiTheme="minorEastAsia" w:eastAsiaTheme="minorEastAsia"/>
                <w:sz w:val="20"/>
              </w:rPr>
              <w:tab/>
            </w:r>
            <w:r>
              <w:rPr>
                <w:rFonts w:hint="eastAsia" w:asciiTheme="minorEastAsia" w:hAnsiTheme="minorEastAsia" w:eastAsiaTheme="minorEastAsia"/>
                <w:sz w:val="20"/>
              </w:rPr>
              <w:t>：単独設置</w:t>
            </w:r>
          </w:p>
        </w:tc>
        <w:tc>
          <w:tcPr>
            <w:tcW w:w="945" w:type="dxa"/>
            <w:gridSpan w:val="2"/>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w:t>
            </w:r>
          </w:p>
        </w:tc>
        <w:tc>
          <w:tcPr>
            <w:tcW w:w="945" w:type="dxa"/>
            <w:gridSpan w:val="2"/>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w:t>
            </w:r>
          </w:p>
        </w:tc>
        <w:tc>
          <w:tcPr>
            <w:tcW w:w="945" w:type="dxa"/>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5528" w:type="dxa"/>
            <w:gridSpan w:val="6"/>
            <w:shd w:val="clear" w:color="auto" w:themeFill="background1" w:themeFillTint="FF" w:themeFillShade="D9"/>
            <w:tcMar>
              <w:top w:w="57" w:type="dxa"/>
              <w:bottom w:w="57" w:type="dxa"/>
            </w:tcMar>
            <w:vAlign w:val="center"/>
          </w:tcPr>
          <w:p>
            <w:pPr>
              <w:pStyle w:val="0"/>
              <w:autoSpaceDE w:val="0"/>
              <w:autoSpaceDN w:val="0"/>
              <w:spacing w:line="0" w:lineRule="atLeast"/>
              <w:ind w:left="408" w:hanging="408" w:hangingChars="200"/>
              <w:rPr>
                <w:rFonts w:hint="default" w:asciiTheme="minorEastAsia" w:hAnsiTheme="minorEastAsia" w:eastAsiaTheme="minorEastAsia"/>
                <w:sz w:val="20"/>
              </w:rPr>
            </w:pPr>
            <w:r>
              <w:rPr>
                <w:rFonts w:hint="eastAsia" w:asciiTheme="minorEastAsia" w:hAnsiTheme="minorEastAsia" w:eastAsiaTheme="minorEastAsia"/>
                <w:sz w:val="20"/>
              </w:rPr>
              <w:t>イ　地域の相談支援体制の強化</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基幹相談支援センターによる地域の相談支援事業所に対する訪問等による専門的な指導・助言の件数</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地域の相談支援事業所の人材育成の支援件数</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地域の相談機関との連携強化の取組の実施回数</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個別事例の支援内容の検証の実施回数</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基幹相談支援センターにおける主任相談支援専門員の配置数</w:t>
            </w:r>
          </w:p>
        </w:tc>
        <w:tc>
          <w:tcPr>
            <w:tcW w:w="945" w:type="dxa"/>
            <w:gridSpan w:val="2"/>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945" w:type="dxa"/>
            <w:gridSpan w:val="2"/>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945"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5528" w:type="dxa"/>
            <w:gridSpan w:val="6"/>
            <w:shd w:val="clear" w:color="auto" w:themeFill="background1" w:themeFillTint="FF" w:themeFillShade="D9"/>
            <w:tcMar>
              <w:top w:w="57" w:type="dxa"/>
              <w:bottom w:w="57" w:type="dxa"/>
            </w:tcMar>
            <w:vAlign w:val="center"/>
          </w:tcPr>
          <w:p>
            <w:pPr>
              <w:pStyle w:val="0"/>
              <w:autoSpaceDE w:val="0"/>
              <w:autoSpaceDN w:val="0"/>
              <w:spacing w:line="0" w:lineRule="atLeast"/>
              <w:ind w:left="408" w:hanging="408" w:hangingChars="200"/>
              <w:rPr>
                <w:rFonts w:hint="default" w:asciiTheme="minorEastAsia" w:hAnsiTheme="minorEastAsia" w:eastAsiaTheme="minorEastAsia"/>
                <w:sz w:val="20"/>
              </w:rPr>
            </w:pPr>
            <w:r>
              <w:rPr>
                <w:rFonts w:hint="eastAsia" w:asciiTheme="minorEastAsia" w:hAnsiTheme="minorEastAsia" w:eastAsiaTheme="minorEastAsia"/>
                <w:sz w:val="20"/>
              </w:rPr>
              <w:t>ウ　協議会における個別事例の検討を通じた地域のサービス基盤の開発・改善</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協議会における相談支援事業所の参画による事例検討実施回数（頻度）</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参加事業者・機関数</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協議会の専門部会の設置数</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協議会の専門部会の実施回数（頻度）</w:t>
            </w:r>
          </w:p>
        </w:tc>
        <w:tc>
          <w:tcPr>
            <w:tcW w:w="945" w:type="dxa"/>
            <w:gridSpan w:val="2"/>
            <w:shd w:val="clear" w:color="auto" w:fill="auto"/>
            <w:tcMar>
              <w:top w:w="57" w:type="dxa"/>
              <w:bottom w:w="57" w:type="dxa"/>
            </w:tcMar>
            <w:vAlign w:val="center"/>
          </w:tcPr>
          <w:p>
            <w:pPr>
              <w:pStyle w:val="0"/>
              <w:autoSpaceDE w:val="0"/>
              <w:autoSpaceDN w:val="0"/>
              <w:spacing w:line="0" w:lineRule="atLeast"/>
              <w:ind w:left="-45" w:leftChars="-20" w:right="-45" w:rightChars="-20"/>
              <w:jc w:val="center"/>
              <w:rPr>
                <w:rFonts w:hint="default" w:asciiTheme="minorEastAsia" w:hAnsiTheme="minorEastAsia" w:eastAsiaTheme="minorEastAsia"/>
                <w:spacing w:val="-8"/>
                <w:w w:val="79"/>
                <w:sz w:val="20"/>
              </w:rPr>
            </w:pPr>
            <w:r>
              <w:rPr>
                <w:rFonts w:hint="eastAsia" w:asciiTheme="minorEastAsia" w:hAnsiTheme="minorEastAsia" w:eastAsiaTheme="minorEastAsia"/>
                <w:spacing w:val="-8"/>
                <w:w w:val="79"/>
                <w:sz w:val="20"/>
              </w:rPr>
              <w:t>相談</w:t>
            </w:r>
            <w:r>
              <w:rPr>
                <w:rFonts w:hint="default" w:asciiTheme="minorEastAsia" w:hAnsiTheme="minorEastAsia" w:eastAsiaTheme="minorEastAsia"/>
                <w:spacing w:val="-8"/>
                <w:w w:val="79"/>
                <w:sz w:val="20"/>
              </w:rPr>
              <w:t>12</w:t>
            </w:r>
            <w:r>
              <w:rPr>
                <w:rFonts w:hint="default" w:asciiTheme="minorEastAsia" w:hAnsiTheme="minorEastAsia" w:eastAsiaTheme="minorEastAsia"/>
                <w:spacing w:val="-8"/>
                <w:w w:val="79"/>
                <w:sz w:val="20"/>
              </w:rPr>
              <w:t>回</w:t>
            </w:r>
            <w:r>
              <w:rPr>
                <w:rFonts w:hint="default" w:asciiTheme="minorEastAsia" w:hAnsiTheme="minorEastAsia" w:eastAsiaTheme="minorEastAsia"/>
                <w:spacing w:val="-8"/>
                <w:w w:val="79"/>
                <w:sz w:val="20"/>
              </w:rPr>
              <w:t>/</w:t>
            </w:r>
            <w:r>
              <w:rPr>
                <w:rFonts w:hint="default" w:asciiTheme="minorEastAsia" w:hAnsiTheme="minorEastAsia" w:eastAsiaTheme="minorEastAsia"/>
                <w:spacing w:val="-8"/>
                <w:w w:val="79"/>
                <w:sz w:val="20"/>
              </w:rPr>
              <w:t>年</w:t>
            </w:r>
          </w:p>
          <w:p>
            <w:pPr>
              <w:pStyle w:val="0"/>
              <w:autoSpaceDE w:val="0"/>
              <w:autoSpaceDN w:val="0"/>
              <w:spacing w:line="0" w:lineRule="atLeast"/>
              <w:ind w:left="-45" w:leftChars="-20" w:right="-45" w:rightChars="-20"/>
              <w:jc w:val="center"/>
              <w:rPr>
                <w:rFonts w:hint="default" w:asciiTheme="minorEastAsia" w:hAnsiTheme="minorEastAsia" w:eastAsiaTheme="minorEastAsia"/>
                <w:spacing w:val="-8"/>
                <w:w w:val="79"/>
                <w:sz w:val="20"/>
              </w:rPr>
            </w:pPr>
            <w:r>
              <w:rPr>
                <w:rFonts w:hint="eastAsia" w:asciiTheme="minorEastAsia" w:hAnsiTheme="minorEastAsia" w:eastAsiaTheme="minorEastAsia"/>
                <w:spacing w:val="-8"/>
                <w:w w:val="79"/>
                <w:sz w:val="20"/>
              </w:rPr>
              <w:t>拠点</w:t>
            </w:r>
            <w:r>
              <w:rPr>
                <w:rFonts w:hint="default" w:asciiTheme="minorEastAsia" w:hAnsiTheme="minorEastAsia" w:eastAsiaTheme="minorEastAsia"/>
                <w:spacing w:val="-8"/>
                <w:w w:val="79"/>
                <w:sz w:val="20"/>
              </w:rPr>
              <w:t>4</w:t>
            </w:r>
            <w:r>
              <w:rPr>
                <w:rFonts w:hint="default" w:asciiTheme="minorEastAsia" w:hAnsiTheme="minorEastAsia" w:eastAsiaTheme="minorEastAsia"/>
                <w:spacing w:val="-8"/>
                <w:w w:val="79"/>
                <w:sz w:val="20"/>
              </w:rPr>
              <w:t>回</w:t>
            </w:r>
            <w:r>
              <w:rPr>
                <w:rFonts w:hint="default" w:asciiTheme="minorEastAsia" w:hAnsiTheme="minorEastAsia" w:eastAsiaTheme="minorEastAsia"/>
                <w:spacing w:val="-8"/>
                <w:w w:val="79"/>
                <w:sz w:val="20"/>
              </w:rPr>
              <w:t>/</w:t>
            </w:r>
            <w:r>
              <w:rPr>
                <w:rFonts w:hint="default" w:asciiTheme="minorEastAsia" w:hAnsiTheme="minorEastAsia" w:eastAsiaTheme="minorEastAsia"/>
                <w:spacing w:val="-8"/>
                <w:w w:val="79"/>
                <w:sz w:val="20"/>
              </w:rPr>
              <w:t>年</w:t>
            </w:r>
          </w:p>
        </w:tc>
        <w:tc>
          <w:tcPr>
            <w:tcW w:w="945" w:type="dxa"/>
            <w:gridSpan w:val="2"/>
            <w:shd w:val="clear" w:color="auto" w:fill="auto"/>
            <w:vAlign w:val="center"/>
          </w:tcPr>
          <w:p>
            <w:pPr>
              <w:pStyle w:val="0"/>
              <w:autoSpaceDE w:val="0"/>
              <w:autoSpaceDN w:val="0"/>
              <w:spacing w:line="0" w:lineRule="atLeast"/>
              <w:ind w:left="-45" w:leftChars="-20" w:right="-45" w:rightChars="-20"/>
              <w:jc w:val="center"/>
              <w:rPr>
                <w:rFonts w:hint="default" w:asciiTheme="minorEastAsia" w:hAnsiTheme="minorEastAsia" w:eastAsiaTheme="minorEastAsia"/>
                <w:spacing w:val="-8"/>
                <w:w w:val="79"/>
                <w:sz w:val="20"/>
              </w:rPr>
            </w:pPr>
            <w:r>
              <w:rPr>
                <w:rFonts w:hint="eastAsia" w:asciiTheme="minorEastAsia" w:hAnsiTheme="minorEastAsia" w:eastAsiaTheme="minorEastAsia"/>
                <w:spacing w:val="-8"/>
                <w:w w:val="79"/>
                <w:sz w:val="20"/>
              </w:rPr>
              <w:t>相談</w:t>
            </w:r>
            <w:r>
              <w:rPr>
                <w:rFonts w:hint="default" w:asciiTheme="minorEastAsia" w:hAnsiTheme="minorEastAsia" w:eastAsiaTheme="minorEastAsia"/>
                <w:spacing w:val="-8"/>
                <w:w w:val="79"/>
                <w:sz w:val="20"/>
              </w:rPr>
              <w:t>12</w:t>
            </w:r>
            <w:r>
              <w:rPr>
                <w:rFonts w:hint="default" w:asciiTheme="minorEastAsia" w:hAnsiTheme="minorEastAsia" w:eastAsiaTheme="minorEastAsia"/>
                <w:spacing w:val="-8"/>
                <w:w w:val="79"/>
                <w:sz w:val="20"/>
              </w:rPr>
              <w:t>回</w:t>
            </w:r>
            <w:r>
              <w:rPr>
                <w:rFonts w:hint="default" w:asciiTheme="minorEastAsia" w:hAnsiTheme="minorEastAsia" w:eastAsiaTheme="minorEastAsia"/>
                <w:spacing w:val="-8"/>
                <w:w w:val="79"/>
                <w:sz w:val="20"/>
              </w:rPr>
              <w:t>/</w:t>
            </w:r>
            <w:r>
              <w:rPr>
                <w:rFonts w:hint="default" w:asciiTheme="minorEastAsia" w:hAnsiTheme="minorEastAsia" w:eastAsiaTheme="minorEastAsia"/>
                <w:spacing w:val="-8"/>
                <w:w w:val="79"/>
                <w:sz w:val="20"/>
              </w:rPr>
              <w:t>年</w:t>
            </w:r>
          </w:p>
          <w:p>
            <w:pPr>
              <w:pStyle w:val="0"/>
              <w:autoSpaceDE w:val="0"/>
              <w:autoSpaceDN w:val="0"/>
              <w:spacing w:line="0" w:lineRule="atLeast"/>
              <w:ind w:left="-45" w:leftChars="-20" w:right="-45" w:rightChars="-20"/>
              <w:jc w:val="center"/>
              <w:rPr>
                <w:rFonts w:hint="default" w:asciiTheme="minorEastAsia" w:hAnsiTheme="minorEastAsia" w:eastAsiaTheme="minorEastAsia"/>
                <w:spacing w:val="-8"/>
                <w:w w:val="79"/>
                <w:sz w:val="20"/>
              </w:rPr>
            </w:pPr>
            <w:r>
              <w:rPr>
                <w:rFonts w:hint="eastAsia" w:asciiTheme="minorEastAsia" w:hAnsiTheme="minorEastAsia" w:eastAsiaTheme="minorEastAsia"/>
                <w:spacing w:val="-8"/>
                <w:w w:val="79"/>
                <w:sz w:val="20"/>
              </w:rPr>
              <w:t>拠点</w:t>
            </w:r>
            <w:r>
              <w:rPr>
                <w:rFonts w:hint="default" w:asciiTheme="minorEastAsia" w:hAnsiTheme="minorEastAsia" w:eastAsiaTheme="minorEastAsia"/>
                <w:spacing w:val="-8"/>
                <w:w w:val="79"/>
                <w:sz w:val="20"/>
              </w:rPr>
              <w:t>4</w:t>
            </w:r>
            <w:r>
              <w:rPr>
                <w:rFonts w:hint="default" w:asciiTheme="minorEastAsia" w:hAnsiTheme="minorEastAsia" w:eastAsiaTheme="minorEastAsia"/>
                <w:spacing w:val="-8"/>
                <w:w w:val="79"/>
                <w:sz w:val="20"/>
              </w:rPr>
              <w:t>回</w:t>
            </w:r>
            <w:r>
              <w:rPr>
                <w:rFonts w:hint="default" w:asciiTheme="minorEastAsia" w:hAnsiTheme="minorEastAsia" w:eastAsiaTheme="minorEastAsia"/>
                <w:spacing w:val="-8"/>
                <w:w w:val="79"/>
                <w:sz w:val="20"/>
              </w:rPr>
              <w:t>/</w:t>
            </w:r>
            <w:r>
              <w:rPr>
                <w:rFonts w:hint="default" w:asciiTheme="minorEastAsia" w:hAnsiTheme="minorEastAsia" w:eastAsiaTheme="minorEastAsia"/>
                <w:spacing w:val="-8"/>
                <w:w w:val="79"/>
                <w:sz w:val="20"/>
              </w:rPr>
              <w:t>年</w:t>
            </w:r>
          </w:p>
        </w:tc>
        <w:tc>
          <w:tcPr>
            <w:tcW w:w="945" w:type="dxa"/>
            <w:shd w:val="clear" w:color="auto" w:fill="auto"/>
            <w:vAlign w:val="center"/>
          </w:tcPr>
          <w:p>
            <w:pPr>
              <w:pStyle w:val="0"/>
              <w:autoSpaceDE w:val="0"/>
              <w:autoSpaceDN w:val="0"/>
              <w:spacing w:line="0" w:lineRule="atLeast"/>
              <w:ind w:left="-45" w:leftChars="-20" w:right="-45" w:rightChars="-20"/>
              <w:jc w:val="center"/>
              <w:rPr>
                <w:rFonts w:hint="default" w:asciiTheme="minorEastAsia" w:hAnsiTheme="minorEastAsia" w:eastAsiaTheme="minorEastAsia"/>
                <w:spacing w:val="-8"/>
                <w:w w:val="79"/>
                <w:sz w:val="20"/>
              </w:rPr>
            </w:pPr>
            <w:r>
              <w:rPr>
                <w:rFonts w:hint="eastAsia" w:asciiTheme="minorEastAsia" w:hAnsiTheme="minorEastAsia" w:eastAsiaTheme="minorEastAsia"/>
                <w:spacing w:val="-8"/>
                <w:w w:val="79"/>
                <w:sz w:val="20"/>
              </w:rPr>
              <w:t>相談</w:t>
            </w:r>
            <w:r>
              <w:rPr>
                <w:rFonts w:hint="default" w:asciiTheme="minorEastAsia" w:hAnsiTheme="minorEastAsia" w:eastAsiaTheme="minorEastAsia"/>
                <w:spacing w:val="-8"/>
                <w:w w:val="79"/>
                <w:sz w:val="20"/>
              </w:rPr>
              <w:t>12</w:t>
            </w:r>
            <w:r>
              <w:rPr>
                <w:rFonts w:hint="default" w:asciiTheme="minorEastAsia" w:hAnsiTheme="minorEastAsia" w:eastAsiaTheme="minorEastAsia"/>
                <w:spacing w:val="-8"/>
                <w:w w:val="79"/>
                <w:sz w:val="20"/>
              </w:rPr>
              <w:t>回</w:t>
            </w:r>
            <w:r>
              <w:rPr>
                <w:rFonts w:hint="default" w:asciiTheme="minorEastAsia" w:hAnsiTheme="minorEastAsia" w:eastAsiaTheme="minorEastAsia"/>
                <w:spacing w:val="-8"/>
                <w:w w:val="79"/>
                <w:sz w:val="20"/>
              </w:rPr>
              <w:t>/</w:t>
            </w:r>
            <w:r>
              <w:rPr>
                <w:rFonts w:hint="default" w:asciiTheme="minorEastAsia" w:hAnsiTheme="minorEastAsia" w:eastAsiaTheme="minorEastAsia"/>
                <w:spacing w:val="-8"/>
                <w:w w:val="79"/>
                <w:sz w:val="20"/>
              </w:rPr>
              <w:t>年</w:t>
            </w:r>
          </w:p>
          <w:p>
            <w:pPr>
              <w:pStyle w:val="0"/>
              <w:autoSpaceDE w:val="0"/>
              <w:autoSpaceDN w:val="0"/>
              <w:spacing w:line="0" w:lineRule="atLeast"/>
              <w:ind w:left="-45" w:leftChars="-20" w:right="-45" w:rightChars="-20"/>
              <w:jc w:val="center"/>
              <w:rPr>
                <w:rFonts w:hint="default" w:asciiTheme="minorEastAsia" w:hAnsiTheme="minorEastAsia" w:eastAsiaTheme="minorEastAsia"/>
                <w:spacing w:val="-8"/>
                <w:w w:val="79"/>
                <w:sz w:val="20"/>
              </w:rPr>
            </w:pPr>
            <w:r>
              <w:rPr>
                <w:rFonts w:hint="eastAsia" w:asciiTheme="minorEastAsia" w:hAnsiTheme="minorEastAsia" w:eastAsiaTheme="minorEastAsia"/>
                <w:spacing w:val="-8"/>
                <w:w w:val="79"/>
                <w:sz w:val="20"/>
              </w:rPr>
              <w:t>拠点</w:t>
            </w:r>
            <w:r>
              <w:rPr>
                <w:rFonts w:hint="default" w:asciiTheme="minorEastAsia" w:hAnsiTheme="minorEastAsia" w:eastAsiaTheme="minorEastAsia"/>
                <w:spacing w:val="-8"/>
                <w:w w:val="79"/>
                <w:sz w:val="20"/>
              </w:rPr>
              <w:t>4</w:t>
            </w:r>
            <w:r>
              <w:rPr>
                <w:rFonts w:hint="default" w:asciiTheme="minorEastAsia" w:hAnsiTheme="minorEastAsia" w:eastAsiaTheme="minorEastAsia"/>
                <w:spacing w:val="-8"/>
                <w:w w:val="79"/>
                <w:sz w:val="20"/>
              </w:rPr>
              <w:t>回</w:t>
            </w:r>
            <w:r>
              <w:rPr>
                <w:rFonts w:hint="default" w:asciiTheme="minorEastAsia" w:hAnsiTheme="minorEastAsia" w:eastAsiaTheme="minorEastAsia"/>
                <w:spacing w:val="-8"/>
                <w:w w:val="79"/>
                <w:sz w:val="20"/>
              </w:rPr>
              <w:t>/</w:t>
            </w:r>
            <w:r>
              <w:rPr>
                <w:rFonts w:hint="default" w:asciiTheme="minorEastAsia" w:hAnsiTheme="minorEastAsia" w:eastAsiaTheme="minorEastAsia"/>
                <w:spacing w:val="-8"/>
                <w:w w:val="79"/>
                <w:sz w:val="20"/>
              </w:rPr>
              <w:t>年</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bl>
    <w:p>
      <w:pPr>
        <w:pStyle w:val="83"/>
        <w:spacing w:line="0" w:lineRule="atLeast"/>
        <w:ind w:left="672" w:firstLine="204"/>
        <w:rPr>
          <w:rFonts w:hint="default"/>
          <w:sz w:val="20"/>
        </w:rPr>
      </w:pPr>
    </w:p>
    <w:tbl>
      <w:tblPr>
        <w:tblStyle w:val="11"/>
        <w:tblW w:w="8930" w:type="dxa"/>
        <w:tblInd w:w="704"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Look w:firstRow="1" w:lastRow="0" w:firstColumn="1" w:lastColumn="0" w:noHBand="0" w:noVBand="1" w:val="04A0"/>
      </w:tblPr>
      <w:tblGrid>
        <w:gridCol w:w="8930"/>
      </w:tblGrid>
      <w:tr>
        <w:trPr/>
        <w:tc>
          <w:tcPr>
            <w:tcW w:w="8930" w:type="dxa"/>
            <w:shd w:val="clear" w:color="auto" w:fill="auto"/>
            <w:tcMar>
              <w:top w:w="57" w:type="dxa"/>
              <w:bottom w:w="57" w:type="dxa"/>
            </w:tcMar>
            <w:vAlign w:val="top"/>
          </w:tcPr>
          <w:p>
            <w:pPr>
              <w:pStyle w:val="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相談支援体制の充実・強化に向けた具体的な方法</w:t>
            </w:r>
          </w:p>
          <w:p>
            <w:pPr>
              <w:pStyle w:val="0"/>
              <w:ind w:left="428" w:leftChars="100" w:hanging="204" w:hangingChars="100"/>
              <w:rPr>
                <w:rFonts w:hint="default" w:asciiTheme="minorEastAsia" w:hAnsiTheme="minorEastAsia" w:eastAsiaTheme="minorEastAsia"/>
                <w:sz w:val="20"/>
              </w:rPr>
            </w:pPr>
            <w:r>
              <w:rPr>
                <w:rFonts w:hint="eastAsia" w:asciiTheme="minorEastAsia" w:hAnsiTheme="minorEastAsia" w:eastAsiaTheme="minorEastAsia"/>
                <w:sz w:val="20"/>
              </w:rPr>
              <w:t>・地域の相談支援を支える計画相談支援事業所、委託相談支援事業所、基幹相談支援センターが相談支援部会等を通して連携し相談できる体制づくりを行います。</w:t>
            </w:r>
          </w:p>
          <w:p>
            <w:pPr>
              <w:pStyle w:val="0"/>
              <w:ind w:left="428" w:leftChars="100" w:hanging="204" w:hangingChars="100"/>
              <w:rPr>
                <w:rFonts w:hint="default" w:asciiTheme="minorEastAsia" w:hAnsiTheme="minorEastAsia" w:eastAsiaTheme="minorEastAsia"/>
              </w:rPr>
            </w:pPr>
            <w:r>
              <w:rPr>
                <w:rFonts w:hint="eastAsia" w:asciiTheme="minorEastAsia" w:hAnsiTheme="minorEastAsia" w:eastAsiaTheme="minorEastAsia"/>
                <w:sz w:val="20"/>
              </w:rPr>
              <w:t>・研修会や勉強会等を通した相談支援従事者の質的向上等に向けた取り組みを行います。</w:t>
            </w:r>
          </w:p>
        </w:tc>
      </w:tr>
    </w:tbl>
    <w:p>
      <w:pPr>
        <w:pStyle w:val="83"/>
        <w:spacing w:line="0" w:lineRule="atLeast"/>
        <w:ind w:left="672" w:firstLine="204"/>
        <w:rPr>
          <w:rFonts w:hint="default"/>
          <w:sz w:val="20"/>
        </w:rPr>
      </w:pPr>
    </w:p>
    <w:p>
      <w:pPr>
        <w:pStyle w:val="83"/>
        <w:spacing w:line="0" w:lineRule="atLeast"/>
        <w:ind w:left="672" w:firstLine="204"/>
        <w:rPr>
          <w:rFonts w:hint="default"/>
          <w:sz w:val="20"/>
        </w:rPr>
      </w:pPr>
    </w:p>
    <w:p>
      <w:pPr>
        <w:pStyle w:val="0"/>
        <w:rPr>
          <w:rFonts w:hint="default"/>
          <w:sz w:val="20"/>
        </w:rPr>
      </w:pPr>
      <w:r>
        <w:rPr>
          <w:rFonts w:hint="default"/>
          <w:sz w:val="20"/>
        </w:rPr>
        <w:br w:type="page"/>
      </w:r>
    </w:p>
    <w:p>
      <w:pPr>
        <w:pStyle w:val="81"/>
        <w:spacing w:after="37" w:afterLines="0" w:afterAutospacing="0"/>
        <w:ind w:left="224"/>
        <w:rPr>
          <w:rFonts w:hint="default"/>
        </w:rPr>
      </w:pPr>
      <w:bookmarkStart w:id="180" w:name="_Toc67040247"/>
      <w:r>
        <w:rPr>
          <w:rFonts w:hint="default"/>
        </w:rPr>
        <w:t>(</w:t>
      </w:r>
      <w:r>
        <w:rPr>
          <w:rFonts w:hint="eastAsia"/>
        </w:rPr>
        <w:t>６</w:t>
      </w:r>
      <w:r>
        <w:rPr>
          <w:rFonts w:hint="default"/>
        </w:rPr>
        <w:t>)</w:t>
      </w:r>
      <w:r>
        <w:rPr>
          <w:rFonts w:hint="eastAsia"/>
        </w:rPr>
        <w:t>障害福祉サービスの質を向上させるための取組</w:t>
      </w:r>
      <w:bookmarkEnd w:id="180"/>
    </w:p>
    <w:p>
      <w:pPr>
        <w:pStyle w:val="83"/>
        <w:spacing w:line="0" w:lineRule="atLeast"/>
        <w:ind w:left="672" w:firstLine="204"/>
        <w:rPr>
          <w:rFonts w:hint="default"/>
          <w:sz w:val="20"/>
        </w:rPr>
      </w:pPr>
    </w:p>
    <w:p>
      <w:pPr>
        <w:pStyle w:val="82"/>
        <w:ind w:left="784" w:hanging="336"/>
        <w:rPr>
          <w:rFonts w:hint="default"/>
        </w:rPr>
      </w:pPr>
      <w:r>
        <w:rPr>
          <w:rFonts w:hint="eastAsia"/>
        </w:rPr>
        <w:t>①</w:t>
      </w:r>
      <w:r>
        <w:rPr>
          <w:rFonts w:hint="eastAsia"/>
        </w:rPr>
        <w:t xml:space="preserve"> </w:t>
      </w:r>
      <w:r>
        <w:rPr>
          <w:rFonts w:hint="eastAsia"/>
        </w:rPr>
        <w:t>質の向上に向けた研修への参加人数の見込み</w:t>
      </w:r>
    </w:p>
    <w:p>
      <w:pPr>
        <w:pStyle w:val="83"/>
        <w:spacing w:line="0" w:lineRule="atLeast"/>
        <w:ind w:left="672" w:firstLine="164"/>
        <w:rPr>
          <w:rFonts w:hint="default"/>
          <w:sz w:val="16"/>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119"/>
        <w:gridCol w:w="931"/>
        <w:gridCol w:w="931"/>
        <w:gridCol w:w="931"/>
        <w:gridCol w:w="3018"/>
      </w:tblGrid>
      <w:tr>
        <w:trPr/>
        <w:tc>
          <w:tcPr>
            <w:tcW w:w="3119"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2793" w:type="dxa"/>
            <w:gridSpan w:val="3"/>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参加時期及び人数</w:t>
            </w:r>
          </w:p>
        </w:tc>
        <w:tc>
          <w:tcPr>
            <w:tcW w:w="3018"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備考</w:t>
            </w:r>
          </w:p>
        </w:tc>
      </w:tr>
      <w:tr>
        <w:trPr/>
        <w:tc>
          <w:tcPr>
            <w:tcW w:w="3119" w:type="dxa"/>
            <w:vMerge w:val="continue"/>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93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令和６年</w:t>
            </w:r>
          </w:p>
        </w:tc>
        <w:tc>
          <w:tcPr>
            <w:tcW w:w="93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令和７年</w:t>
            </w:r>
          </w:p>
        </w:tc>
        <w:tc>
          <w:tcPr>
            <w:tcW w:w="93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令和８年</w:t>
            </w:r>
          </w:p>
        </w:tc>
        <w:tc>
          <w:tcPr>
            <w:tcW w:w="3018" w:type="dxa"/>
            <w:vMerge w:val="continue"/>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p>
        </w:tc>
      </w:tr>
      <w:tr>
        <w:trPr/>
        <w:tc>
          <w:tcPr>
            <w:tcW w:w="3119"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都道府県が実施する障害福祉サービス等に係る研修その他の研修への市町村職員の参加人数</w:t>
            </w:r>
          </w:p>
        </w:tc>
        <w:tc>
          <w:tcPr>
            <w:tcW w:w="931"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931"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931"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3018"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国指針：都道府県が実施する障害福祉サービス等に係る研修その他の研修への市町村職員の参加人数の見込みを設定する。</w:t>
            </w:r>
          </w:p>
        </w:tc>
      </w:tr>
    </w:tbl>
    <w:p>
      <w:pPr>
        <w:pStyle w:val="83"/>
        <w:ind w:left="672" w:firstLine="224"/>
        <w:rPr>
          <w:rFonts w:hint="default"/>
        </w:rPr>
      </w:pPr>
    </w:p>
    <w:p>
      <w:pPr>
        <w:pStyle w:val="82"/>
        <w:ind w:left="784" w:hanging="336"/>
        <w:rPr>
          <w:rFonts w:hint="default"/>
        </w:rPr>
      </w:pPr>
      <w:r>
        <w:rPr>
          <w:rFonts w:hint="eastAsia"/>
        </w:rPr>
        <w:t>②</w:t>
      </w:r>
      <w:r>
        <w:rPr>
          <w:rFonts w:hint="eastAsia"/>
        </w:rPr>
        <w:t xml:space="preserve"> </w:t>
      </w:r>
      <w:r>
        <w:rPr>
          <w:rFonts w:hint="eastAsia"/>
        </w:rPr>
        <w:t>障害者自立支援審査支払等システムによる審査結果の共有</w:t>
      </w:r>
    </w:p>
    <w:p>
      <w:pPr>
        <w:pStyle w:val="83"/>
        <w:spacing w:line="0" w:lineRule="atLeast"/>
        <w:ind w:left="672" w:firstLine="164"/>
        <w:rPr>
          <w:rFonts w:hint="default"/>
          <w:sz w:val="16"/>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402"/>
        <w:gridCol w:w="1134"/>
        <w:gridCol w:w="4394"/>
      </w:tblGrid>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134"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構築時期</w:t>
            </w:r>
          </w:p>
        </w:tc>
        <w:tc>
          <w:tcPr>
            <w:tcW w:w="4394"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障害者自立支援審査支払等システム等による審査結果を分析してその結果を活用し、事業所や関係自治体等と共有する体制の構築</w:t>
            </w:r>
          </w:p>
        </w:tc>
        <w:tc>
          <w:tcPr>
            <w:tcW w:w="1134"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令和７年</w:t>
            </w:r>
          </w:p>
        </w:tc>
        <w:tc>
          <w:tcPr>
            <w:tcW w:w="4394"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国指針：障害福祉サービス等の質を向上させるための取組に関する事項を実施する体制を構築することを基本とする。</w:t>
            </w:r>
          </w:p>
        </w:tc>
      </w:tr>
    </w:tbl>
    <w:p>
      <w:pPr>
        <w:pStyle w:val="83"/>
        <w:spacing w:line="0" w:lineRule="atLeast"/>
        <w:ind w:left="672" w:firstLine="204"/>
        <w:rPr>
          <w:rFonts w:hint="default"/>
          <w:sz w:val="20"/>
        </w:rPr>
      </w:pPr>
    </w:p>
    <w:tbl>
      <w:tblPr>
        <w:tblStyle w:val="11"/>
        <w:tblW w:w="8930" w:type="dxa"/>
        <w:tblInd w:w="704"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Look w:firstRow="1" w:lastRow="0" w:firstColumn="1" w:lastColumn="0" w:noHBand="0" w:noVBand="1" w:val="04A0"/>
      </w:tblPr>
      <w:tblGrid>
        <w:gridCol w:w="8930"/>
      </w:tblGrid>
      <w:tr>
        <w:trPr/>
        <w:tc>
          <w:tcPr>
            <w:tcW w:w="8930" w:type="dxa"/>
            <w:shd w:val="clear" w:color="auto" w:fill="auto"/>
            <w:tcMar>
              <w:top w:w="57" w:type="dxa"/>
              <w:bottom w:w="57" w:type="dxa"/>
            </w:tcMar>
            <w:vAlign w:val="top"/>
          </w:tcPr>
          <w:p>
            <w:pPr>
              <w:pStyle w:val="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具体的な構築方法</w:t>
            </w:r>
          </w:p>
          <w:p>
            <w:pPr>
              <w:pStyle w:val="0"/>
              <w:ind w:left="224" w:leftChars="100"/>
              <w:rPr>
                <w:rFonts w:hint="default" w:asciiTheme="minorEastAsia" w:hAnsiTheme="minorEastAsia" w:eastAsiaTheme="minorEastAsia"/>
              </w:rPr>
            </w:pPr>
            <w:r>
              <w:rPr>
                <w:rFonts w:hint="eastAsia" w:asciiTheme="minorEastAsia" w:hAnsiTheme="minorEastAsia" w:eastAsiaTheme="minorEastAsia"/>
                <w:sz w:val="20"/>
              </w:rPr>
              <w:t>町内の障害福祉サービス事業所を対象に、情報提供する場をつくります。</w:t>
            </w:r>
          </w:p>
        </w:tc>
      </w:tr>
    </w:tbl>
    <w:p>
      <w:pPr>
        <w:pStyle w:val="83"/>
        <w:ind w:left="672" w:firstLine="224"/>
        <w:rPr>
          <w:rFonts w:hint="default"/>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835"/>
        <w:gridCol w:w="992"/>
        <w:gridCol w:w="992"/>
        <w:gridCol w:w="993"/>
        <w:gridCol w:w="3118"/>
      </w:tblGrid>
      <w:tr>
        <w:trPr/>
        <w:tc>
          <w:tcPr>
            <w:tcW w:w="2835"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2977" w:type="dxa"/>
            <w:gridSpan w:val="3"/>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回数</w:t>
            </w:r>
          </w:p>
        </w:tc>
        <w:tc>
          <w:tcPr>
            <w:tcW w:w="3118"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備考</w:t>
            </w:r>
          </w:p>
        </w:tc>
      </w:tr>
      <w:tr>
        <w:trPr/>
        <w:tc>
          <w:tcPr>
            <w:tcW w:w="2835" w:type="dxa"/>
            <w:vMerge w:val="continue"/>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992"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令和６年</w:t>
            </w:r>
          </w:p>
        </w:tc>
        <w:tc>
          <w:tcPr>
            <w:tcW w:w="992"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令和７年</w:t>
            </w:r>
          </w:p>
        </w:tc>
        <w:tc>
          <w:tcPr>
            <w:tcW w:w="993"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令和８年</w:t>
            </w:r>
          </w:p>
        </w:tc>
        <w:tc>
          <w:tcPr>
            <w:tcW w:w="3118" w:type="dxa"/>
            <w:vMerge w:val="continue"/>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p>
        </w:tc>
      </w:tr>
      <w:tr>
        <w:trPr/>
        <w:tc>
          <w:tcPr>
            <w:tcW w:w="2835"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障害者自立支援審査支払等システム等による審査結果を分析してその結果を活用し、事業所や関係自治体等との共有実施回数（年間回数）</w:t>
            </w:r>
          </w:p>
        </w:tc>
        <w:tc>
          <w:tcPr>
            <w:tcW w:w="992"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p>
        </w:tc>
        <w:tc>
          <w:tcPr>
            <w:tcW w:w="992"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93" w:type="dxa"/>
            <w:vAlign w:val="center"/>
          </w:tcPr>
          <w:p>
            <w:pPr>
              <w:pStyle w:val="0"/>
              <w:autoSpaceDE w:val="0"/>
              <w:autoSpaceDN w:val="0"/>
              <w:spacing w:line="0" w:lineRule="atLeast"/>
              <w:jc w:val="center"/>
              <w:rPr>
                <w:rFonts w:hint="default" w:asciiTheme="minorEastAsia" w:hAnsiTheme="minorEastAsia" w:eastAsiaTheme="minorEastAsia"/>
                <w:sz w:val="20"/>
              </w:rPr>
            </w:pPr>
          </w:p>
        </w:tc>
        <w:tc>
          <w:tcPr>
            <w:tcW w:w="3118"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国指針：自立支援審査支払等システム等を活用し、請求の過誤を無くすための取組や適正な運営を行っている事業所を確保することが必要</w:t>
            </w:r>
          </w:p>
        </w:tc>
      </w:tr>
    </w:tbl>
    <w:p>
      <w:pPr>
        <w:pStyle w:val="83"/>
        <w:spacing w:line="0" w:lineRule="atLeast"/>
        <w:ind w:left="672" w:firstLine="204"/>
        <w:rPr>
          <w:rFonts w:hint="default"/>
          <w:sz w:val="20"/>
        </w:rPr>
      </w:pPr>
    </w:p>
    <w:p>
      <w:pPr>
        <w:pStyle w:val="0"/>
        <w:rPr>
          <w:rFonts w:hint="default"/>
          <w:sz w:val="20"/>
        </w:rPr>
      </w:pPr>
      <w:r>
        <w:rPr>
          <w:rFonts w:hint="default"/>
          <w:sz w:val="20"/>
        </w:rPr>
        <w:br w:type="page"/>
      </w:r>
    </w:p>
    <w:p>
      <w:pPr>
        <w:pStyle w:val="80"/>
        <w:spacing w:after="92" w:afterLines="0" w:afterAutospacing="0"/>
        <w:rPr>
          <w:rFonts w:hint="default"/>
        </w:rPr>
      </w:pPr>
      <w:bookmarkStart w:id="181" w:name="_Toc162263680"/>
      <w:bookmarkStart w:id="182" w:name="_Toc67040248"/>
      <w:r>
        <w:rPr>
          <w:rFonts w:hint="eastAsia"/>
        </w:rPr>
        <w:t>２．第７期のサービス別見込量</w:t>
      </w:r>
      <w:bookmarkEnd w:id="181"/>
      <w:bookmarkEnd w:id="182"/>
    </w:p>
    <w:p>
      <w:pPr>
        <w:pStyle w:val="81"/>
        <w:spacing w:after="37" w:afterLines="0" w:afterAutospacing="0"/>
        <w:ind w:left="224"/>
        <w:rPr>
          <w:rFonts w:hint="default"/>
        </w:rPr>
      </w:pPr>
      <w:bookmarkStart w:id="183" w:name="_Toc314505296"/>
      <w:bookmarkStart w:id="184" w:name="_Toc314578845"/>
      <w:bookmarkStart w:id="185" w:name="_Toc318449538"/>
      <w:bookmarkStart w:id="186" w:name="_Toc59549969"/>
      <w:bookmarkStart w:id="187" w:name="_Toc67040249"/>
      <w:r>
        <w:rPr>
          <w:rFonts w:hint="default"/>
        </w:rPr>
        <w:t>(</w:t>
      </w:r>
      <w:r>
        <w:rPr>
          <w:rFonts w:hint="eastAsia"/>
        </w:rPr>
        <w:t>１</w:t>
      </w:r>
      <w:r>
        <w:rPr>
          <w:rFonts w:hint="default"/>
        </w:rPr>
        <w:t>)</w:t>
      </w:r>
      <w:r>
        <w:rPr>
          <w:rFonts w:hint="eastAsia"/>
        </w:rPr>
        <w:t>障害福祉サービス</w:t>
      </w:r>
      <w:bookmarkEnd w:id="183"/>
      <w:bookmarkEnd w:id="184"/>
      <w:bookmarkEnd w:id="185"/>
      <w:bookmarkEnd w:id="186"/>
      <w:bookmarkEnd w:id="187"/>
    </w:p>
    <w:p>
      <w:pPr>
        <w:pStyle w:val="82"/>
        <w:ind w:left="784" w:hanging="336"/>
        <w:rPr>
          <w:rFonts w:hint="default"/>
        </w:rPr>
      </w:pPr>
      <w:bookmarkStart w:id="188" w:name="_Toc314505297"/>
      <w:bookmarkStart w:id="189" w:name="_Toc314578846"/>
      <w:bookmarkStart w:id="190" w:name="_Toc318449539"/>
      <w:bookmarkStart w:id="191" w:name="_Toc59549970"/>
      <w:r>
        <w:rPr>
          <w:rFonts w:hint="eastAsia"/>
        </w:rPr>
        <w:t>①訪問系サービス</w:t>
      </w:r>
      <w:bookmarkEnd w:id="188"/>
      <w:bookmarkEnd w:id="189"/>
      <w:bookmarkEnd w:id="190"/>
      <w:bookmarkEnd w:id="191"/>
    </w:p>
    <w:p>
      <w:pPr>
        <w:pStyle w:val="84"/>
        <w:ind w:left="672"/>
        <w:rPr>
          <w:rFonts w:hint="default"/>
        </w:rPr>
      </w:pPr>
      <w:bookmarkStart w:id="192" w:name="_Toc318449540"/>
      <w:bookmarkStart w:id="193" w:name="_Toc314505298"/>
      <w:r>
        <w:rPr>
          <w:rFonts w:hint="eastAsia"/>
        </w:rPr>
        <w:t>●</w:t>
      </w:r>
      <w:r>
        <w:rPr>
          <w:rFonts w:hint="eastAsia"/>
        </w:rPr>
        <w:t xml:space="preserve"> </w:t>
      </w:r>
      <w:r>
        <w:rPr>
          <w:rFonts w:hint="eastAsia"/>
        </w:rPr>
        <w:t>訪問系サービス</w:t>
      </w:r>
      <w:bookmarkEnd w:id="192"/>
      <w:r>
        <w:rPr>
          <w:rFonts w:hint="eastAsia"/>
        </w:rPr>
        <w:t>全体（居宅介護・重度訪問介護・行動援護・同行援護）</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194" w:name="訪問系サービス"/>
            <w:r>
              <w:rPr>
                <w:rFonts w:hint="eastAsia"/>
              </w:rPr>
              <w:t>利用者数</w:t>
            </w:r>
            <w:bookmarkEnd w:id="194"/>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88"/>
              <w:spacing w:before="5" w:beforeLines="0" w:beforeAutospacing="0" w:after="5" w:afterLines="0" w:afterAutospacing="0"/>
              <w:rPr>
                <w:rFonts w:hint="default"/>
              </w:rPr>
            </w:pPr>
            <w:r>
              <w:rPr>
                <w:rFonts w:hint="default"/>
                <w:sz w:val="22"/>
              </w:rPr>
              <w:t>106</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88"/>
              <w:spacing w:before="5" w:beforeLines="0" w:beforeAutospacing="0" w:after="5" w:afterLines="0" w:afterAutospacing="0"/>
              <w:rPr>
                <w:rFonts w:hint="default"/>
              </w:rPr>
            </w:pPr>
            <w:r>
              <w:rPr>
                <w:rFonts w:hint="default"/>
                <w:sz w:val="22"/>
              </w:rPr>
              <w:t>115</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top"/>
          </w:tcPr>
          <w:p>
            <w:pPr>
              <w:pStyle w:val="88"/>
              <w:spacing w:before="5" w:beforeLines="0" w:beforeAutospacing="0" w:after="5" w:afterLines="0" w:afterAutospacing="0"/>
              <w:rPr>
                <w:rFonts w:hint="default"/>
              </w:rPr>
            </w:pPr>
            <w:r>
              <w:rPr>
                <w:rFonts w:hint="default"/>
                <w:sz w:val="22"/>
              </w:rPr>
              <w:t>124</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88"/>
              <w:spacing w:before="5" w:beforeLines="0" w:beforeAutospacing="0" w:after="5" w:afterLines="0" w:afterAutospacing="0"/>
              <w:rPr>
                <w:rFonts w:hint="default"/>
              </w:rPr>
            </w:pPr>
            <w:r>
              <w:rPr>
                <w:rFonts w:hint="default"/>
                <w:sz w:val="22"/>
              </w:rPr>
              <w:t>113</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88"/>
              <w:spacing w:before="5" w:beforeLines="0" w:beforeAutospacing="0" w:after="5" w:afterLines="0" w:afterAutospacing="0"/>
              <w:rPr>
                <w:rFonts w:hint="default"/>
              </w:rPr>
            </w:pPr>
            <w:r>
              <w:rPr>
                <w:rFonts w:hint="default"/>
                <w:sz w:val="22"/>
              </w:rPr>
              <w:t>121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88"/>
              <w:spacing w:before="5" w:beforeLines="0" w:beforeAutospacing="0" w:after="5" w:afterLines="0" w:afterAutospacing="0"/>
              <w:rPr>
                <w:rFonts w:hint="default"/>
              </w:rPr>
            </w:pPr>
            <w:r>
              <w:rPr>
                <w:rFonts w:hint="default"/>
                <w:sz w:val="22"/>
              </w:rPr>
              <w:t>129</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88"/>
              <w:spacing w:before="5" w:beforeLines="0" w:beforeAutospacing="0" w:after="5" w:afterLines="0" w:afterAutospacing="0"/>
              <w:rPr>
                <w:rFonts w:hint="default"/>
              </w:rPr>
            </w:pPr>
            <w:r>
              <w:rPr>
                <w:rFonts w:hint="default"/>
                <w:sz w:val="22"/>
              </w:rPr>
              <w:t>94</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88"/>
              <w:spacing w:before="5" w:beforeLines="0" w:beforeAutospacing="0" w:after="5" w:afterLines="0" w:afterAutospacing="0"/>
              <w:rPr>
                <w:rFonts w:hint="default"/>
              </w:rPr>
            </w:pPr>
            <w:r>
              <w:rPr>
                <w:rFonts w:hint="default"/>
                <w:sz w:val="22"/>
              </w:rPr>
              <w:t>97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88"/>
              <w:spacing w:before="5" w:beforeLines="0" w:beforeAutospacing="0" w:after="5" w:afterLines="0" w:afterAutospacing="0"/>
              <w:rPr>
                <w:rFonts w:hint="default"/>
              </w:rPr>
            </w:pPr>
            <w:r>
              <w:rPr>
                <w:rFonts w:hint="default"/>
                <w:sz w:val="22"/>
              </w:rPr>
              <w:t>105</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88"/>
              <w:spacing w:before="5" w:beforeLines="0" w:beforeAutospacing="0" w:after="5" w:afterLines="0" w:afterAutospacing="0"/>
              <w:rPr>
                <w:rFonts w:hint="default"/>
              </w:rPr>
            </w:pPr>
            <w:r>
              <w:rPr>
                <w:rFonts w:hint="eastAsia"/>
                <w:sz w:val="22"/>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88"/>
              <w:spacing w:before="5" w:beforeLines="0" w:beforeAutospacing="0" w:after="5" w:afterLines="0" w:afterAutospacing="0"/>
              <w:rPr>
                <w:rFonts w:hint="default"/>
              </w:rPr>
            </w:pPr>
            <w:r>
              <w:rPr>
                <w:rFonts w:hint="eastAsia"/>
                <w:sz w:val="22"/>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88"/>
              <w:spacing w:before="5" w:beforeLines="0" w:beforeAutospacing="0" w:after="5" w:afterLines="0" w:afterAutospacing="0"/>
              <w:rPr>
                <w:rFonts w:hint="default"/>
              </w:rPr>
            </w:pPr>
            <w:r>
              <w:rPr>
                <w:rFonts w:hint="eastAsia"/>
                <w:sz w:val="22"/>
              </w:rPr>
              <w:t>－</w:t>
            </w:r>
          </w:p>
        </w:tc>
      </w:tr>
      <w:tr>
        <w:trPr>
          <w:trHeight w:val="53" w:hRule="atLeast"/>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r>
              <w:rPr>
                <w:rFonts w:hint="default"/>
              </w:rPr>
              <w:t>12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r>
              <w:rPr>
                <w:rFonts w:hint="default"/>
              </w:rPr>
              <w:t>18</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r>
              <w:rPr>
                <w:rFonts w:hint="default"/>
              </w:rPr>
              <w:t>19</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9041" w:type="dxa"/>
        <w:tblInd w:w="717" w:type="dxa"/>
        <w:tblLayout w:type="fixed"/>
        <w:tblCellMar>
          <w:left w:w="57" w:type="dxa"/>
          <w:right w:w="57" w:type="dxa"/>
        </w:tblCellMar>
        <w:tblLook w:firstRow="0" w:lastRow="0" w:firstColumn="0" w:lastColumn="0" w:noHBand="0" w:noVBand="0" w:val="0000"/>
      </w:tblPr>
      <w:tblGrid>
        <w:gridCol w:w="1258"/>
        <w:gridCol w:w="1059"/>
        <w:gridCol w:w="1116"/>
        <w:gridCol w:w="1117"/>
        <w:gridCol w:w="1117"/>
        <w:gridCol w:w="1124"/>
        <w:gridCol w:w="1125"/>
        <w:gridCol w:w="1125"/>
      </w:tblGrid>
      <w:tr>
        <w:trPr/>
        <w:tc>
          <w:tcPr>
            <w:tcW w:w="125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10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2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25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10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1,076</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1,163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1,250</w:t>
            </w:r>
          </w:p>
        </w:tc>
        <w:tc>
          <w:tcPr>
            <w:tcW w:w="112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2,283</w:t>
            </w:r>
          </w:p>
        </w:tc>
        <w:tc>
          <w:tcPr>
            <w:tcW w:w="11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2,398</w:t>
            </w:r>
          </w:p>
        </w:tc>
        <w:tc>
          <w:tcPr>
            <w:tcW w:w="11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2,513</w:t>
            </w:r>
          </w:p>
        </w:tc>
      </w:tr>
      <w:tr>
        <w:trPr/>
        <w:tc>
          <w:tcPr>
            <w:tcW w:w="1258"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105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1,723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1,782</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2,171</w:t>
            </w:r>
          </w:p>
        </w:tc>
        <w:tc>
          <w:tcPr>
            <w:tcW w:w="112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647</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619</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921</w:t>
            </w:r>
          </w:p>
        </w:tc>
        <w:tc>
          <w:tcPr>
            <w:tcW w:w="112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rPr>
            </w:pPr>
          </w:p>
        </w:tc>
        <w:tc>
          <w:tcPr>
            <w:tcW w:w="1125"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5"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r>
        <w:trPr/>
        <w:tc>
          <w:tcPr>
            <w:tcW w:w="9041"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・令和５年度は、見込みの数値。ｱ</w:t>
            </w:r>
            <w:r>
              <w:rPr>
                <w:rFonts w:hint="eastAsia"/>
              </w:rPr>
              <w:t>)</w:t>
            </w:r>
            <w:r>
              <w:rPr>
                <w:rFonts w:hint="eastAsia"/>
              </w:rPr>
              <w:t>～ｵ</w:t>
            </w:r>
            <w:r>
              <w:rPr>
                <w:rFonts w:hint="eastAsia"/>
              </w:rPr>
              <w:t>)</w:t>
            </w:r>
            <w:r>
              <w:rPr>
                <w:rFonts w:hint="eastAsia"/>
              </w:rPr>
              <w:t>の合算値</w:t>
            </w:r>
          </w:p>
        </w:tc>
      </w:tr>
    </w:tbl>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84"/>
        <w:ind w:left="672"/>
        <w:rPr>
          <w:rFonts w:hint="default"/>
        </w:rPr>
      </w:pPr>
      <w:bookmarkStart w:id="195" w:name="_Toc314578847"/>
      <w:bookmarkStart w:id="196" w:name="_Toc318449541"/>
      <w:r>
        <w:rPr>
          <w:rFonts w:hint="default" w:ascii="ＭＳ 明朝" w:hAnsi="ＭＳ 明朝"/>
        </w:rPr>
        <w:t>ｱ</w:t>
      </w:r>
      <w:r>
        <w:rPr>
          <w:rFonts w:hint="default"/>
        </w:rPr>
        <w:t>)</w:t>
      </w:r>
      <w:r>
        <w:rPr>
          <w:rFonts w:hint="eastAsia"/>
        </w:rPr>
        <w:t>居宅介護（ホームヘルプ）</w:t>
      </w:r>
      <w:bookmarkEnd w:id="193"/>
      <w:bookmarkEnd w:id="195"/>
      <w:bookmarkEnd w:id="196"/>
    </w:p>
    <w:p>
      <w:pPr>
        <w:pStyle w:val="89"/>
        <w:ind w:left="897" w:leftChars="400" w:firstLine="214"/>
        <w:rPr>
          <w:rFonts w:hint="default"/>
          <w:spacing w:val="0"/>
        </w:rPr>
      </w:pPr>
      <w:r>
        <w:rPr>
          <w:rFonts w:hint="eastAsia"/>
          <w:spacing w:val="0"/>
        </w:rPr>
        <w:t>障がい者の自宅へヘルパーを派遣し、入浴・排せつ・食事等の身体介護、洗濯・掃除等の家事援助及び通院介助を行います。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利用者数については今後も利用ニーズが高まることを見込んで毎年度</w:t>
      </w:r>
      <w:r>
        <w:rPr>
          <w:rFonts w:hint="default"/>
          <w:spacing w:val="0"/>
        </w:rPr>
        <w:t>6</w:t>
      </w:r>
      <w:r>
        <w:rPr>
          <w:rFonts w:hint="default"/>
          <w:spacing w:val="0"/>
        </w:rPr>
        <w:t>名</w:t>
      </w:r>
      <w:r>
        <w:rPr>
          <w:rFonts w:hint="eastAsia"/>
          <w:spacing w:val="0"/>
        </w:rPr>
        <w:t>ずつ</w:t>
      </w:r>
      <w:r>
        <w:rPr>
          <w:rFonts w:hint="default"/>
          <w:spacing w:val="0"/>
        </w:rPr>
        <w:t>増加すると見込みます。また、利用量についても増加傾向にあると考え</w:t>
      </w:r>
      <w:r>
        <w:rPr>
          <w:rFonts w:hint="eastAsia"/>
          <w:spacing w:val="0"/>
        </w:rPr>
        <w:t>、</w:t>
      </w:r>
      <w:r>
        <w:rPr>
          <w:rFonts w:hint="default"/>
          <w:spacing w:val="0"/>
        </w:rPr>
        <w:t>各年度一人当たり</w:t>
      </w:r>
      <w:r>
        <w:rPr>
          <w:rFonts w:hint="default"/>
          <w:spacing w:val="0"/>
        </w:rPr>
        <w:t>10.5</w:t>
      </w:r>
      <w:r>
        <w:rPr>
          <w:rFonts w:hint="default"/>
          <w:spacing w:val="0"/>
        </w:rPr>
        <w:t>時間を利用すると見込ます。</w:t>
      </w:r>
    </w:p>
    <w:p>
      <w:pPr>
        <w:pStyle w:val="0"/>
        <w:spacing w:line="0" w:lineRule="atLeast"/>
        <w:ind w:left="438" w:firstLine="159"/>
        <w:rPr>
          <w:rFonts w:hint="default"/>
          <w:sz w:val="16"/>
        </w:rPr>
      </w:pPr>
      <w:bookmarkStart w:id="197" w:name="_Toc314505299"/>
      <w:bookmarkStart w:id="198" w:name="_Toc314578848"/>
      <w:bookmarkStart w:id="199" w:name="_Toc318449542"/>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00" w:name="居宅介護（ホームヘルプ）"/>
            <w:r>
              <w:rPr>
                <w:rFonts w:hint="eastAsia"/>
              </w:rPr>
              <w:t>利用者数</w:t>
            </w:r>
            <w:bookmarkEnd w:id="200"/>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89</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97</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92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66</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68</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74</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15</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21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23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753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828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902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840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903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966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807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786</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778</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54</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42</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124</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default"/>
        </w:rPr>
        <w:br w:type="page"/>
      </w:r>
    </w:p>
    <w:p>
      <w:pPr>
        <w:pStyle w:val="84"/>
        <w:ind w:left="672"/>
        <w:rPr>
          <w:rFonts w:hint="default"/>
        </w:rPr>
      </w:pPr>
      <w:bookmarkEnd w:id="197"/>
      <w:bookmarkEnd w:id="198"/>
      <w:bookmarkEnd w:id="199"/>
      <w:r>
        <w:rPr>
          <w:rFonts w:hint="eastAsia"/>
        </w:rPr>
        <w:t>ｲ</w:t>
      </w:r>
      <w:r>
        <w:rPr>
          <w:rFonts w:hint="eastAsia"/>
        </w:rPr>
        <w:t>)</w:t>
      </w:r>
      <w:r>
        <w:rPr>
          <w:rFonts w:hint="eastAsia"/>
        </w:rPr>
        <w:t>重度訪問介護</w:t>
      </w:r>
    </w:p>
    <w:p>
      <w:pPr>
        <w:pStyle w:val="89"/>
        <w:ind w:left="897" w:leftChars="400" w:firstLine="214"/>
        <w:rPr>
          <w:rFonts w:hint="default"/>
          <w:spacing w:val="0"/>
        </w:rPr>
      </w:pPr>
      <w:bookmarkStart w:id="201" w:name="_Toc314505300"/>
      <w:bookmarkStart w:id="202" w:name="_Toc314578849"/>
      <w:r>
        <w:rPr>
          <w:rFonts w:hint="eastAsia"/>
          <w:spacing w:val="0"/>
        </w:rPr>
        <w:t>常時介護を必要とする重度障がいの肢体不自由者に対して、居宅における入浴・排せつ・食事などの介護に加え、外出時における移動支援等を総合的に行います。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令和５年度実績見込の利用者数が今後も利用するとして利用者数と利用量は同数を見込</w:t>
      </w:r>
      <w:r>
        <w:rPr>
          <w:rFonts w:hint="eastAsia"/>
          <w:spacing w:val="0"/>
        </w:rPr>
        <w:t>み</w:t>
      </w:r>
      <w:r>
        <w:rPr>
          <w:rFonts w:hint="default"/>
          <w:spacing w:val="0"/>
        </w:rPr>
        <w:t>ます。</w:t>
      </w:r>
    </w:p>
    <w:p>
      <w:pPr>
        <w:pStyle w:val="0"/>
        <w:spacing w:line="0" w:lineRule="atLeast"/>
        <w:ind w:left="438" w:firstLine="159"/>
        <w:rPr>
          <w:rFonts w:hint="default"/>
          <w:sz w:val="16"/>
        </w:rPr>
      </w:pPr>
      <w:bookmarkStart w:id="203" w:name="_Toc318449543"/>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04" w:name="重度訪問介護"/>
            <w:r>
              <w:rPr>
                <w:rFonts w:hint="eastAsia"/>
              </w:rPr>
              <w:t>利用者数</w:t>
            </w:r>
            <w:bookmarkEnd w:id="204"/>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46</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46</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46</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710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710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710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323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337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710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277</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291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664</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p>
    <w:p>
      <w:pPr>
        <w:pStyle w:val="0"/>
        <w:ind w:left="438" w:firstLine="205"/>
        <w:rPr>
          <w:rFonts w:hint="default"/>
        </w:rPr>
      </w:pPr>
    </w:p>
    <w:p>
      <w:pPr>
        <w:pStyle w:val="84"/>
        <w:ind w:left="672"/>
        <w:rPr>
          <w:rFonts w:hint="default"/>
        </w:rPr>
      </w:pPr>
      <w:r>
        <w:rPr>
          <w:rFonts w:hint="eastAsia"/>
        </w:rPr>
        <w:t>ｳ</w:t>
      </w:r>
      <w:r>
        <w:rPr>
          <w:rFonts w:hint="eastAsia"/>
        </w:rPr>
        <w:t>)</w:t>
      </w:r>
      <w:r>
        <w:rPr>
          <w:rFonts w:hint="eastAsia"/>
        </w:rPr>
        <w:t>行動援護</w:t>
      </w:r>
      <w:bookmarkEnd w:id="201"/>
      <w:bookmarkEnd w:id="202"/>
      <w:bookmarkEnd w:id="203"/>
    </w:p>
    <w:p>
      <w:pPr>
        <w:pStyle w:val="89"/>
        <w:ind w:left="897" w:leftChars="400" w:firstLine="214"/>
        <w:rPr>
          <w:rFonts w:hint="default"/>
          <w:spacing w:val="0"/>
        </w:rPr>
      </w:pPr>
      <w:bookmarkStart w:id="205" w:name="_Toc314505301"/>
      <w:bookmarkStart w:id="206" w:name="_Toc314578850"/>
      <w:r>
        <w:rPr>
          <w:rFonts w:hint="eastAsia"/>
          <w:spacing w:val="0"/>
        </w:rPr>
        <w:t>知的障がいや精神障がい等により自己判断能力が制限されている方が行動する際に生じうる危険を回避するために必要な援護、外出支援を行います。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令和２年度～令和４年度実績と令和５年度実績見込みより、利用者数については一定数の利用者数を見込</w:t>
      </w:r>
      <w:r>
        <w:rPr>
          <w:rFonts w:hint="eastAsia"/>
          <w:spacing w:val="0"/>
        </w:rPr>
        <w:t>み</w:t>
      </w:r>
      <w:r>
        <w:rPr>
          <w:rFonts w:hint="default"/>
          <w:spacing w:val="0"/>
        </w:rPr>
        <w:t>ます。利用量については増加傾向にあると考え令和５年度見込の利用量を各年度見込</w:t>
      </w:r>
      <w:r>
        <w:rPr>
          <w:rFonts w:hint="eastAsia"/>
          <w:spacing w:val="0"/>
        </w:rPr>
        <w:t>み</w:t>
      </w:r>
      <w:r>
        <w:rPr>
          <w:rFonts w:hint="default"/>
          <w:spacing w:val="0"/>
        </w:rPr>
        <w:t>ます。</w:t>
      </w:r>
    </w:p>
    <w:p>
      <w:pPr>
        <w:pStyle w:val="0"/>
        <w:spacing w:line="0" w:lineRule="atLeast"/>
        <w:ind w:left="438" w:firstLine="159"/>
        <w:rPr>
          <w:rFonts w:hint="default"/>
          <w:sz w:val="16"/>
        </w:rPr>
      </w:pPr>
      <w:bookmarkStart w:id="207" w:name="_Toc318449544"/>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08" w:name="行動援護"/>
            <w:r>
              <w:rPr>
                <w:rFonts w:hint="eastAsia"/>
              </w:rPr>
              <w:t>利用者数</w:t>
            </w:r>
            <w:bookmarkEnd w:id="208"/>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10</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15</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7</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rPr>
          <w:rFonts w:hint="default"/>
          <w:spacing w:val="-2"/>
          <w:sz w:val="21"/>
        </w:rPr>
      </w:pPr>
      <w:r>
        <w:rPr>
          <w:rFonts w:hint="default"/>
        </w:rPr>
        <w:br w:type="page"/>
      </w:r>
    </w:p>
    <w:p>
      <w:pPr>
        <w:pStyle w:val="84"/>
        <w:ind w:left="672"/>
        <w:rPr>
          <w:rFonts w:hint="default"/>
        </w:rPr>
      </w:pPr>
      <w:r>
        <w:rPr>
          <w:rFonts w:hint="eastAsia"/>
        </w:rPr>
        <w:t>ｴ</w:t>
      </w:r>
      <w:r>
        <w:rPr>
          <w:rFonts w:hint="eastAsia"/>
        </w:rPr>
        <w:t>)</w:t>
      </w:r>
      <w:r>
        <w:rPr>
          <w:rFonts w:hint="eastAsia"/>
        </w:rPr>
        <w:t>同行援護</w:t>
      </w:r>
      <w:bookmarkEnd w:id="205"/>
      <w:bookmarkEnd w:id="206"/>
      <w:bookmarkEnd w:id="207"/>
    </w:p>
    <w:p>
      <w:pPr>
        <w:pStyle w:val="89"/>
        <w:ind w:left="897" w:leftChars="400" w:firstLine="214"/>
        <w:rPr>
          <w:rFonts w:hint="default"/>
          <w:spacing w:val="0"/>
        </w:rPr>
      </w:pPr>
      <w:bookmarkStart w:id="209" w:name="_Toc314505302"/>
      <w:bookmarkStart w:id="210" w:name="_Toc314578851"/>
      <w:r>
        <w:rPr>
          <w:rFonts w:hint="eastAsia"/>
          <w:spacing w:val="0"/>
        </w:rPr>
        <w:t>視覚障がいにより移動に著しい困難を有する障がい者等の外出時に同行し、移動の援護を行います。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令和２年度～令和４年度実績と令和５年度実績見込より利用者数は年々増加傾向になっています。利用者数は毎年度</w:t>
      </w:r>
      <w:r>
        <w:rPr>
          <w:rFonts w:hint="eastAsia"/>
          <w:spacing w:val="0"/>
        </w:rPr>
        <w:t>２</w:t>
      </w:r>
      <w:r>
        <w:rPr>
          <w:rFonts w:hint="default"/>
          <w:spacing w:val="0"/>
        </w:rPr>
        <w:t>人増加すると見込</w:t>
      </w:r>
      <w:r>
        <w:rPr>
          <w:rFonts w:hint="eastAsia"/>
          <w:spacing w:val="0"/>
        </w:rPr>
        <w:t>み</w:t>
      </w:r>
      <w:r>
        <w:rPr>
          <w:rFonts w:hint="default"/>
          <w:spacing w:val="0"/>
        </w:rPr>
        <w:t>、利用量は一人当たり</w:t>
      </w:r>
      <w:r>
        <w:rPr>
          <w:rFonts w:hint="default"/>
          <w:spacing w:val="0"/>
        </w:rPr>
        <w:t>26</w:t>
      </w:r>
      <w:r>
        <w:rPr>
          <w:rFonts w:hint="default"/>
          <w:spacing w:val="0"/>
        </w:rPr>
        <w:t>時間と見込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11" w:name="同行援護"/>
            <w:r>
              <w:rPr>
                <w:rFonts w:hint="eastAsia"/>
              </w:rPr>
              <w:t>利用者数</w:t>
            </w:r>
            <w:bookmarkEnd w:id="211"/>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27</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29</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25</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25</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267</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279</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292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702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754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806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576</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644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652</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309</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365</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360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84"/>
        <w:ind w:left="672"/>
        <w:rPr>
          <w:rFonts w:hint="default"/>
        </w:rPr>
      </w:pPr>
      <w:r>
        <w:rPr>
          <w:rFonts w:hint="eastAsia"/>
        </w:rPr>
        <w:t>ｵ</w:t>
      </w:r>
      <w:r>
        <w:rPr>
          <w:rFonts w:hint="eastAsia"/>
        </w:rPr>
        <w:t>)</w:t>
      </w:r>
      <w:r>
        <w:rPr>
          <w:rFonts w:hint="eastAsia"/>
        </w:rPr>
        <w:t>重度障害者等包括支援</w:t>
      </w:r>
    </w:p>
    <w:p>
      <w:pPr>
        <w:pStyle w:val="89"/>
        <w:ind w:left="897" w:leftChars="400" w:firstLine="214"/>
        <w:rPr>
          <w:rFonts w:hint="default"/>
          <w:spacing w:val="0"/>
        </w:rPr>
      </w:pPr>
      <w:r>
        <w:rPr>
          <w:rFonts w:hint="eastAsia"/>
          <w:spacing w:val="0"/>
        </w:rPr>
        <w:t>常時介護を必要とする重度障がい者に対し、居宅介護をはじめとする複数のサービスを包括的に行います。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eastAsia"/>
          <w:spacing w:val="0"/>
        </w:rPr>
        <w:t>今後も利用の見込みはなしと判断します。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12" w:name="重度障害者等包括支援"/>
            <w:r>
              <w:rPr>
                <w:rFonts w:hint="eastAsia"/>
              </w:rPr>
              <w:t>利用者数</w:t>
            </w:r>
            <w:bookmarkEnd w:id="212"/>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0</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5"/>
        <w:rPr>
          <w:rFonts w:hint="default" w:ascii="ＭＳ ゴシック" w:hAnsi="ＭＳ ゴシック" w:eastAsia="ＭＳ ゴシック"/>
        </w:rPr>
      </w:pPr>
    </w:p>
    <w:p>
      <w:pPr>
        <w:pStyle w:val="89"/>
        <w:ind w:left="448" w:firstLine="210"/>
        <w:rPr>
          <w:rFonts w:hint="default" w:ascii="ＭＳ ゴシック" w:hAnsi="ＭＳ ゴシック" w:eastAsia="ＭＳ ゴシック"/>
        </w:rPr>
      </w:pPr>
    </w:p>
    <w:p>
      <w:pPr>
        <w:pStyle w:val="89"/>
        <w:ind w:left="448" w:firstLine="210"/>
        <w:rPr>
          <w:rFonts w:hint="default"/>
        </w:rPr>
      </w:pPr>
    </w:p>
    <w:p>
      <w:pPr>
        <w:pStyle w:val="82"/>
        <w:ind w:left="784" w:hanging="336"/>
        <w:rPr>
          <w:rFonts w:hint="default"/>
        </w:rPr>
      </w:pPr>
      <w:bookmarkEnd w:id="209"/>
      <w:bookmarkEnd w:id="210"/>
      <w:r>
        <w:rPr>
          <w:rFonts w:hint="default"/>
        </w:rPr>
        <w:br w:type="page"/>
      </w:r>
      <w:bookmarkStart w:id="213" w:name="_Toc314505303"/>
      <w:bookmarkStart w:id="214" w:name="_Toc314578852"/>
      <w:bookmarkStart w:id="215" w:name="_Toc318449546"/>
      <w:bookmarkStart w:id="216" w:name="_Toc59549971"/>
      <w:r>
        <w:rPr>
          <w:rFonts w:hint="eastAsia"/>
        </w:rPr>
        <w:t>②日中活動系サービス</w:t>
      </w:r>
      <w:bookmarkEnd w:id="213"/>
      <w:bookmarkEnd w:id="214"/>
      <w:bookmarkEnd w:id="215"/>
      <w:bookmarkEnd w:id="216"/>
    </w:p>
    <w:p>
      <w:pPr>
        <w:pStyle w:val="84"/>
        <w:ind w:left="672"/>
        <w:rPr>
          <w:rFonts w:hint="default"/>
        </w:rPr>
      </w:pPr>
      <w:bookmarkStart w:id="217" w:name="_Toc314505304"/>
      <w:bookmarkStart w:id="218" w:name="_Toc314578853"/>
      <w:bookmarkStart w:id="219" w:name="_Toc318449547"/>
      <w:r>
        <w:rPr>
          <w:rFonts w:hint="eastAsia"/>
        </w:rPr>
        <w:t>ｱ</w:t>
      </w:r>
      <w:r>
        <w:rPr>
          <w:rFonts w:hint="eastAsia"/>
        </w:rPr>
        <w:t>)</w:t>
      </w:r>
      <w:r>
        <w:rPr>
          <w:rFonts w:hint="eastAsia"/>
        </w:rPr>
        <w:t>生活介護</w:t>
      </w:r>
      <w:bookmarkEnd w:id="217"/>
      <w:bookmarkEnd w:id="218"/>
      <w:bookmarkEnd w:id="219"/>
    </w:p>
    <w:p>
      <w:pPr>
        <w:pStyle w:val="89"/>
        <w:ind w:left="897" w:leftChars="400" w:firstLine="214"/>
        <w:rPr>
          <w:rFonts w:hint="default"/>
          <w:spacing w:val="0"/>
        </w:rPr>
      </w:pPr>
      <w:bookmarkStart w:id="220" w:name="_Toc314505305"/>
      <w:bookmarkStart w:id="221" w:name="_Toc314578854"/>
      <w:r>
        <w:rPr>
          <w:rFonts w:hint="eastAsia"/>
          <w:spacing w:val="0"/>
        </w:rPr>
        <w:t>常時介護が必要な障がい者に対して、昼間、施設において、入浴・排せつ・食事等の介護を行うとともに、創作活動や生産活動の機会を提供します。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令和２年度～令和４年度実績より利用者数は多少の増減はあるものの一定数の利用が見込まれます。利用量については</w:t>
      </w:r>
      <w:r>
        <w:rPr>
          <w:rFonts w:hint="eastAsia"/>
          <w:spacing w:val="0"/>
        </w:rPr>
        <w:t>、</w:t>
      </w:r>
      <w:r>
        <w:rPr>
          <w:rFonts w:hint="default"/>
          <w:spacing w:val="0"/>
        </w:rPr>
        <w:t>令和５年度の実績見込の数値を見込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22" w:name="生活介護"/>
            <w:r>
              <w:rPr>
                <w:rFonts w:hint="eastAsia"/>
              </w:rPr>
              <w:t>利用者数</w:t>
            </w:r>
            <w:bookmarkEnd w:id="222"/>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98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100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102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99</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99</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99</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100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96</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99</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4</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2,058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2,100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2,142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2,015</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2,015</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2,015</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1,990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1,932</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2,015</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68</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r>
              <w:rPr>
                <w:rFonts w:hint="default"/>
              </w:rPr>
              <w:t>168</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r>
              <w:rPr>
                <w:rFonts w:hint="default"/>
              </w:rPr>
              <w:t>127</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84"/>
        <w:ind w:left="672"/>
        <w:rPr>
          <w:rFonts w:hint="default"/>
        </w:rPr>
      </w:pPr>
      <w:r>
        <w:rPr>
          <w:rFonts w:hint="eastAsia"/>
        </w:rPr>
        <w:t>ｲ</w:t>
      </w:r>
      <w:r>
        <w:rPr>
          <w:rFonts w:hint="eastAsia"/>
        </w:rPr>
        <w:t>)-1</w:t>
      </w:r>
      <w:r>
        <w:rPr>
          <w:rFonts w:hint="default"/>
        </w:rPr>
        <w:t xml:space="preserve"> </w:t>
      </w:r>
      <w:r>
        <w:rPr>
          <w:rFonts w:hint="eastAsia"/>
        </w:rPr>
        <w:t>自立訓練（機能訓練）</w:t>
      </w:r>
    </w:p>
    <w:p>
      <w:pPr>
        <w:pStyle w:val="89"/>
        <w:ind w:left="897" w:leftChars="400" w:firstLine="214"/>
        <w:rPr>
          <w:rFonts w:hint="default"/>
          <w:spacing w:val="0"/>
        </w:rPr>
      </w:pPr>
      <w:r>
        <w:rPr>
          <w:rFonts w:hint="eastAsia"/>
          <w:spacing w:val="0"/>
        </w:rPr>
        <w:t>地域において自立した生活が送れるよう、理学療法や作業療法等の身体機能のリハビリテーション、歩行訓練、コミュニケーションや家事等の訓練を行います。利用者数が少ないこともあり、利用は年度によって増減があり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令和２年度～令和４年度実績と令和５年度実績見込に変動があるため、令和５年度実績見込の利用者数と利用量を見込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23" w:name="自立訓練（機能訓練）"/>
            <w:r>
              <w:rPr>
                <w:rFonts w:hint="eastAsia"/>
              </w:rPr>
              <w:t>利用者数</w:t>
            </w:r>
            <w:bookmarkEnd w:id="223"/>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24</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24</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23</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33</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24</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9</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89"/>
        <w:ind w:left="448" w:firstLine="210"/>
        <w:rPr>
          <w:rFonts w:hint="default" w:ascii="ＭＳ ゴシック" w:hAnsi="ＭＳ ゴシック" w:eastAsia="ＭＳ ゴシック"/>
        </w:rPr>
      </w:pPr>
    </w:p>
    <w:p>
      <w:pPr>
        <w:pStyle w:val="84"/>
        <w:ind w:left="672"/>
        <w:rPr>
          <w:rFonts w:hint="default"/>
        </w:rPr>
      </w:pPr>
      <w:bookmarkStart w:id="224" w:name="_Toc318449548"/>
      <w:r>
        <w:rPr>
          <w:rFonts w:hint="default"/>
        </w:rPr>
        <w:br w:type="page"/>
      </w:r>
      <w:r>
        <w:rPr>
          <w:rFonts w:hint="default"/>
        </w:rPr>
        <w:t>ｲ</w:t>
      </w:r>
      <w:r>
        <w:rPr>
          <w:rFonts w:hint="default"/>
        </w:rPr>
        <w:t>)</w:t>
      </w:r>
      <w:bookmarkEnd w:id="220"/>
      <w:bookmarkEnd w:id="221"/>
      <w:bookmarkEnd w:id="224"/>
      <w:bookmarkStart w:id="225" w:name="_Toc314505306"/>
      <w:bookmarkStart w:id="226" w:name="_Toc314578855"/>
      <w:bookmarkStart w:id="227" w:name="_Toc318449549"/>
      <w:r>
        <w:rPr>
          <w:rFonts w:hint="eastAsia"/>
        </w:rPr>
        <w:t>-2</w:t>
      </w:r>
      <w:r>
        <w:rPr>
          <w:rFonts w:hint="default"/>
        </w:rPr>
        <w:t xml:space="preserve"> </w:t>
      </w:r>
      <w:r>
        <w:rPr>
          <w:rFonts w:hint="eastAsia"/>
        </w:rPr>
        <w:t>自立訓練（生活訓練）</w:t>
      </w:r>
      <w:bookmarkEnd w:id="225"/>
      <w:bookmarkEnd w:id="226"/>
      <w:bookmarkEnd w:id="227"/>
    </w:p>
    <w:p>
      <w:pPr>
        <w:pStyle w:val="89"/>
        <w:ind w:left="897" w:leftChars="400" w:firstLine="214"/>
        <w:rPr>
          <w:rFonts w:hint="default"/>
          <w:spacing w:val="0"/>
        </w:rPr>
      </w:pPr>
      <w:bookmarkStart w:id="228" w:name="_Toc314505307"/>
      <w:bookmarkStart w:id="229" w:name="_Toc314578856"/>
      <w:r>
        <w:rPr>
          <w:rFonts w:hint="eastAsia"/>
          <w:spacing w:val="0"/>
        </w:rPr>
        <w:t>自立した地域生活を営むことができるよう、食事や家事等、日常生活能力を向上するための支援を行います。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令和２年度～令和４年度実績平均と令和５年度実績見込から判断して令和５年度実績見込の数値で見込みました。</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30" w:name="自立訓練（生活訓練）"/>
            <w:r>
              <w:rPr>
                <w:rFonts w:hint="eastAsia"/>
              </w:rPr>
              <w:t>利用者数</w:t>
            </w:r>
            <w:bookmarkEnd w:id="230"/>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5</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35</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35</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35</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48</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43</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13</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8</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26</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84"/>
        <w:ind w:left="672"/>
        <w:rPr>
          <w:rFonts w:hint="default"/>
        </w:rPr>
      </w:pPr>
      <w:bookmarkStart w:id="231" w:name="_Toc318449550"/>
      <w:r>
        <w:rPr>
          <w:rFonts w:hint="eastAsia"/>
        </w:rPr>
        <w:t>ｳ</w:t>
      </w:r>
      <w:r>
        <w:rPr>
          <w:rFonts w:hint="eastAsia"/>
        </w:rPr>
        <w:t>)</w:t>
      </w:r>
      <w:r>
        <w:rPr>
          <w:rFonts w:hint="eastAsia"/>
        </w:rPr>
        <w:t>就労選択支援</w:t>
      </w:r>
    </w:p>
    <w:p>
      <w:pPr>
        <w:pStyle w:val="89"/>
        <w:ind w:left="897" w:leftChars="400" w:firstLine="214"/>
        <w:rPr>
          <w:rFonts w:hint="default"/>
          <w:spacing w:val="0"/>
        </w:rPr>
      </w:pPr>
      <w:r>
        <w:rPr>
          <w:rFonts w:hint="eastAsia"/>
          <w:spacing w:val="0"/>
        </w:rPr>
        <w:t>就労選択支援は、令和</w:t>
      </w:r>
      <w:r>
        <w:rPr>
          <w:rFonts w:hint="eastAsia"/>
          <w:spacing w:val="0"/>
        </w:rPr>
        <w:t>6</w:t>
      </w:r>
      <w:r>
        <w:rPr>
          <w:rFonts w:hint="eastAsia"/>
          <w:spacing w:val="0"/>
        </w:rPr>
        <w:t>年</w:t>
      </w:r>
      <w:r>
        <w:rPr>
          <w:rFonts w:hint="eastAsia"/>
          <w:spacing w:val="0"/>
        </w:rPr>
        <w:t>4</w:t>
      </w:r>
      <w:r>
        <w:rPr>
          <w:rFonts w:hint="eastAsia"/>
          <w:spacing w:val="0"/>
        </w:rPr>
        <w:t>月より新しく導入されたサービスです。障がいを持つ人の希望や能力に合う仕事探しを支援し、関係機関との橋渡しを担います。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eastAsia"/>
          <w:spacing w:val="0"/>
        </w:rPr>
        <w:t>令和６年度に制度開始のためサービスに対するニーズが不明なため各年度１人を見込みます。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32" w:name="就労選択支援"/>
            <w:r>
              <w:rPr>
                <w:rFonts w:hint="eastAsia"/>
              </w:rPr>
              <w:t>利用者数</w:t>
            </w:r>
            <w:bookmarkEnd w:id="232"/>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84"/>
        <w:ind w:left="672"/>
        <w:rPr>
          <w:rFonts w:hint="default"/>
        </w:rPr>
      </w:pPr>
      <w:r>
        <w:rPr>
          <w:rFonts w:hint="default"/>
        </w:rPr>
        <w:br w:type="page"/>
      </w:r>
      <w:r>
        <w:rPr>
          <w:rFonts w:hint="eastAsia"/>
        </w:rPr>
        <w:t>ｴ</w:t>
      </w:r>
      <w:r>
        <w:rPr>
          <w:rFonts w:hint="eastAsia"/>
        </w:rPr>
        <w:t>)</w:t>
      </w:r>
      <w:r>
        <w:rPr>
          <w:rFonts w:hint="eastAsia"/>
        </w:rPr>
        <w:t>就労移行支援</w:t>
      </w:r>
      <w:bookmarkEnd w:id="228"/>
      <w:bookmarkEnd w:id="229"/>
      <w:bookmarkEnd w:id="231"/>
    </w:p>
    <w:p>
      <w:pPr>
        <w:pStyle w:val="89"/>
        <w:ind w:left="897" w:leftChars="400" w:firstLine="214"/>
        <w:rPr>
          <w:rFonts w:hint="default"/>
          <w:spacing w:val="0"/>
        </w:rPr>
      </w:pPr>
      <w:bookmarkStart w:id="233" w:name="_Toc314505308"/>
      <w:bookmarkStart w:id="234" w:name="_Toc314578857"/>
      <w:r>
        <w:rPr>
          <w:rFonts w:hint="eastAsia"/>
          <w:spacing w:val="0"/>
        </w:rPr>
        <w:t>一般企業への就労を希望する障がい者に対して、一定期間、事業所における生産活動及び企業における実習等を通じて、就労のための訓練を行います。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令和２年度～令和４年度実績と令和５年度実績見込より判断して利用者数と利用量それぞれ令和５年度実績見込の数値で推移していくと見込みま</w:t>
      </w:r>
      <w:r>
        <w:rPr>
          <w:rFonts w:hint="eastAsia"/>
          <w:spacing w:val="0"/>
        </w:rPr>
        <w:t>す</w:t>
      </w:r>
      <w:r>
        <w:rPr>
          <w:rFonts w:hint="default"/>
          <w:spacing w:val="0"/>
        </w:rPr>
        <w:t>。</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35" w:name="就労移行支援"/>
            <w:r>
              <w:rPr>
                <w:rFonts w:hint="eastAsia"/>
              </w:rPr>
              <w:t>利用者数</w:t>
            </w:r>
            <w:bookmarkEnd w:id="235"/>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14</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9</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3</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4</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4</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216</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252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252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192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192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192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165</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173</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192</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51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r>
              <w:rPr>
                <w:rFonts w:hint="default"/>
              </w:rPr>
              <w:t>79</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r>
              <w:rPr>
                <w:rFonts w:hint="default"/>
              </w:rPr>
              <w:t>60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84"/>
        <w:ind w:left="672"/>
        <w:rPr>
          <w:rFonts w:hint="default"/>
        </w:rPr>
      </w:pPr>
      <w:bookmarkStart w:id="236" w:name="_Toc318449551"/>
      <w:r>
        <w:rPr>
          <w:rFonts w:hint="default"/>
        </w:rPr>
        <w:t>ｵ</w:t>
      </w:r>
      <w:r>
        <w:rPr>
          <w:rFonts w:hint="eastAsia"/>
        </w:rPr>
        <w:t xml:space="preserve">)-1 </w:t>
      </w:r>
      <w:bookmarkEnd w:id="233"/>
      <w:bookmarkEnd w:id="234"/>
      <w:bookmarkEnd w:id="236"/>
      <w:r>
        <w:rPr>
          <w:rFonts w:hint="eastAsia"/>
        </w:rPr>
        <w:t>就労継続支援Ａ型</w:t>
      </w:r>
    </w:p>
    <w:p>
      <w:pPr>
        <w:pStyle w:val="89"/>
        <w:ind w:left="897" w:leftChars="400" w:firstLine="214"/>
        <w:rPr>
          <w:rFonts w:hint="default"/>
          <w:spacing w:val="0"/>
        </w:rPr>
      </w:pPr>
      <w:bookmarkStart w:id="237" w:name="_Toc314505309"/>
      <w:bookmarkStart w:id="238" w:name="_Toc314578858"/>
      <w:r>
        <w:rPr>
          <w:rFonts w:hint="eastAsia"/>
          <w:spacing w:val="0"/>
        </w:rPr>
        <w:t>一般企業での就労が困難な方に雇用契約に基づく就労の機会を提供し、一般就労に必要な知識及び能力の向上のための訓練を行います。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令和２年度～令和５年度実績見込で利用者数と利用量に各年度</w:t>
      </w:r>
      <w:r>
        <w:rPr>
          <w:rFonts w:hint="eastAsia"/>
          <w:spacing w:val="0"/>
        </w:rPr>
        <w:t>ばら</w:t>
      </w:r>
      <w:r>
        <w:rPr>
          <w:rFonts w:hint="default"/>
          <w:spacing w:val="0"/>
        </w:rPr>
        <w:t>つきがありますが、利用者数については令和５年度実績見込の人数を見込</w:t>
      </w:r>
      <w:r>
        <w:rPr>
          <w:rFonts w:hint="eastAsia"/>
          <w:spacing w:val="0"/>
        </w:rPr>
        <w:t>み</w:t>
      </w:r>
      <w:r>
        <w:rPr>
          <w:rFonts w:hint="default"/>
          <w:spacing w:val="0"/>
        </w:rPr>
        <w:t>ます。また、利用量については令和２年度～令和５年度実績見込より一人当たり</w:t>
      </w:r>
      <w:r>
        <w:rPr>
          <w:rFonts w:hint="default"/>
          <w:spacing w:val="0"/>
        </w:rPr>
        <w:t>19</w:t>
      </w:r>
      <w:r>
        <w:rPr>
          <w:rFonts w:hint="default"/>
          <w:spacing w:val="0"/>
        </w:rPr>
        <w:t>日で見込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39" w:name="就労継続支援（Ａ型_雇用型）"/>
            <w:r>
              <w:rPr>
                <w:rFonts w:hint="eastAsia"/>
              </w:rPr>
              <w:t>利用者数</w:t>
            </w:r>
            <w:bookmarkEnd w:id="239"/>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27</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27</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27</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28</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27</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483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483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483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513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513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513</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515</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450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467</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r>
              <w:rPr>
                <w:rFonts w:hint="default"/>
              </w:rPr>
              <w:t>33</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r>
              <w:rPr>
                <w:rFonts w:hint="default"/>
              </w:rPr>
              <w:t>16</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rPr>
      </w:pPr>
    </w:p>
    <w:p>
      <w:pPr>
        <w:pStyle w:val="84"/>
        <w:ind w:left="672"/>
        <w:rPr>
          <w:rFonts w:hint="default"/>
        </w:rPr>
      </w:pPr>
      <w:r>
        <w:rPr>
          <w:rFonts w:hint="default"/>
        </w:rPr>
        <w:br w:type="page"/>
      </w:r>
      <w:bookmarkStart w:id="240" w:name="_Toc318449552"/>
      <w:r>
        <w:rPr>
          <w:rFonts w:hint="default"/>
        </w:rPr>
        <w:t>ｵ</w:t>
      </w:r>
      <w:r>
        <w:rPr>
          <w:rFonts w:hint="eastAsia"/>
        </w:rPr>
        <w:t xml:space="preserve">)-2 </w:t>
      </w:r>
      <w:bookmarkEnd w:id="237"/>
      <w:bookmarkEnd w:id="238"/>
      <w:bookmarkEnd w:id="240"/>
      <w:r>
        <w:rPr>
          <w:rFonts w:hint="eastAsia"/>
        </w:rPr>
        <w:t>就労継続支援Ｂ型</w:t>
      </w:r>
    </w:p>
    <w:p>
      <w:pPr>
        <w:pStyle w:val="89"/>
        <w:ind w:left="897" w:leftChars="400" w:firstLine="214"/>
        <w:rPr>
          <w:rFonts w:hint="default"/>
          <w:spacing w:val="0"/>
        </w:rPr>
      </w:pPr>
      <w:bookmarkStart w:id="241" w:name="_Toc314505310"/>
      <w:bookmarkStart w:id="242" w:name="_Toc314578859"/>
      <w:r>
        <w:rPr>
          <w:rFonts w:hint="eastAsia"/>
          <w:spacing w:val="0"/>
        </w:rPr>
        <w:t>一般企業での就労が困難な方に対し、雇用契約を結ばない形ではあるが、就労の機会を提供し、一般雇用への移行に必要な知識及び能力の向上のための訓練を行います。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令和２年度～令和４年度実績と令和５年度実績見込より利用者数は年々増加傾向になっています。利用者数は毎年度</w:t>
      </w:r>
      <w:r>
        <w:rPr>
          <w:rFonts w:hint="default"/>
          <w:spacing w:val="0"/>
        </w:rPr>
        <w:t>5</w:t>
      </w:r>
      <w:r>
        <w:rPr>
          <w:rFonts w:hint="default"/>
          <w:spacing w:val="0"/>
        </w:rPr>
        <w:t>人増加すると見込</w:t>
      </w:r>
      <w:r>
        <w:rPr>
          <w:rFonts w:hint="eastAsia"/>
          <w:spacing w:val="0"/>
        </w:rPr>
        <w:t>み、</w:t>
      </w:r>
      <w:r>
        <w:rPr>
          <w:rFonts w:hint="default"/>
          <w:spacing w:val="0"/>
        </w:rPr>
        <w:t>利用量は一人当たり</w:t>
      </w:r>
      <w:r>
        <w:rPr>
          <w:rFonts w:hint="default"/>
          <w:spacing w:val="0"/>
        </w:rPr>
        <w:t>18</w:t>
      </w:r>
      <w:r>
        <w:rPr>
          <w:rFonts w:hint="default"/>
          <w:spacing w:val="0"/>
        </w:rPr>
        <w:t>日と見込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43" w:name="就労継続支援（Ｂ型_非雇用型）"/>
            <w:r>
              <w:rPr>
                <w:rFonts w:hint="eastAsia"/>
              </w:rPr>
              <w:t>利用者数</w:t>
            </w:r>
            <w:bookmarkEnd w:id="243"/>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156</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161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166</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182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187</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192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149</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160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177</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7</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2,808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2,898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2,988</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3,276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3,366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3,456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2,765</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2,886</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3,233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43</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r>
              <w:rPr>
                <w:rFonts w:hint="default"/>
              </w:rPr>
              <w:t>12</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245</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84"/>
        <w:ind w:left="672"/>
        <w:rPr>
          <w:rFonts w:hint="default"/>
        </w:rPr>
      </w:pPr>
      <w:bookmarkStart w:id="244" w:name="_Toc318449553"/>
      <w:r>
        <w:rPr>
          <w:rFonts w:hint="default"/>
        </w:rPr>
        <w:t>ｶ</w:t>
      </w:r>
      <w:r>
        <w:rPr>
          <w:rFonts w:hint="default"/>
        </w:rPr>
        <w:t>)</w:t>
      </w:r>
      <w:bookmarkEnd w:id="241"/>
      <w:bookmarkEnd w:id="242"/>
      <w:bookmarkEnd w:id="244"/>
      <w:bookmarkStart w:id="245" w:name="_Toc314505311"/>
      <w:bookmarkStart w:id="246" w:name="_Toc314578860"/>
      <w:bookmarkStart w:id="247" w:name="_Toc318449554"/>
      <w:r>
        <w:rPr>
          <w:rFonts w:hint="eastAsia"/>
        </w:rPr>
        <w:t>就労定着支援</w:t>
      </w:r>
    </w:p>
    <w:p>
      <w:pPr>
        <w:pStyle w:val="89"/>
        <w:ind w:left="897" w:leftChars="400" w:firstLine="214"/>
        <w:rPr>
          <w:rFonts w:hint="default"/>
          <w:spacing w:val="0"/>
        </w:rPr>
      </w:pPr>
      <w:r>
        <w:rPr>
          <w:rFonts w:hint="eastAsia"/>
          <w:spacing w:val="0"/>
        </w:rPr>
        <w:t>一般就労に移行した障がい者について、就労に伴う生活面の課題に対し、就労の継続を図るために企業・自宅等への訪問等により、必要な連絡調整や指導・助言等を行います。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令和４年度実績と令和５年度実績見込より</w:t>
      </w:r>
      <w:r>
        <w:rPr>
          <w:rFonts w:hint="eastAsia"/>
          <w:spacing w:val="0"/>
        </w:rPr>
        <w:t>令和６年度は令和５年度実績見込と同数で見込みます。令和</w:t>
      </w:r>
      <w:r>
        <w:rPr>
          <w:rFonts w:hint="default"/>
          <w:spacing w:val="0"/>
        </w:rPr>
        <w:t>7</w:t>
      </w:r>
      <w:r>
        <w:rPr>
          <w:rFonts w:hint="default"/>
          <w:spacing w:val="0"/>
        </w:rPr>
        <w:t>年度以降は</w:t>
      </w:r>
      <w:r>
        <w:rPr>
          <w:rFonts w:hint="eastAsia"/>
          <w:spacing w:val="0"/>
        </w:rPr>
        <w:t>、一般就労に移行した方が利用することを見込み、</w:t>
      </w:r>
      <w:r>
        <w:rPr>
          <w:rFonts w:hint="default"/>
          <w:spacing w:val="0"/>
        </w:rPr>
        <w:t>毎年度１人増を見込みます。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48" w:name="就労定着支援"/>
            <w:r>
              <w:rPr>
                <w:rFonts w:hint="eastAsia"/>
              </w:rPr>
              <w:t>利用者数</w:t>
            </w:r>
            <w:bookmarkEnd w:id="248"/>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2</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2</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rPr>
      </w:pPr>
    </w:p>
    <w:p>
      <w:pPr>
        <w:pStyle w:val="0"/>
        <w:rPr>
          <w:rFonts w:hint="default"/>
        </w:rPr>
      </w:pPr>
      <w:r>
        <w:rPr>
          <w:rFonts w:hint="default"/>
        </w:rPr>
        <w:br w:type="page"/>
      </w:r>
    </w:p>
    <w:p>
      <w:pPr>
        <w:pStyle w:val="84"/>
        <w:ind w:left="672"/>
        <w:rPr>
          <w:rFonts w:hint="default"/>
        </w:rPr>
      </w:pPr>
      <w:r>
        <w:rPr>
          <w:rFonts w:hint="eastAsia"/>
        </w:rPr>
        <w:t>ｷ</w:t>
      </w:r>
      <w:r>
        <w:rPr>
          <w:rFonts w:hint="default"/>
        </w:rPr>
        <w:t>)</w:t>
      </w:r>
      <w:bookmarkEnd w:id="245"/>
      <w:bookmarkEnd w:id="246"/>
      <w:bookmarkEnd w:id="247"/>
      <w:bookmarkStart w:id="249" w:name="_Toc314505312"/>
      <w:bookmarkStart w:id="250" w:name="_Toc314578861"/>
      <w:bookmarkStart w:id="251" w:name="_Toc318449555"/>
      <w:r>
        <w:rPr>
          <w:rFonts w:hint="eastAsia"/>
        </w:rPr>
        <w:t>療養介護</w:t>
      </w:r>
    </w:p>
    <w:p>
      <w:pPr>
        <w:pStyle w:val="89"/>
        <w:ind w:left="897" w:leftChars="400" w:firstLine="214"/>
        <w:rPr>
          <w:rFonts w:hint="default"/>
          <w:spacing w:val="0"/>
        </w:rPr>
      </w:pPr>
      <w:r>
        <w:rPr>
          <w:rFonts w:hint="eastAsia"/>
          <w:spacing w:val="0"/>
        </w:rPr>
        <w:t>医療と常時介護を必要とする方に、医療機関において、機能訓練やレクリエーション活動、療養上の管理、看護、介護等を行い、身体能力及び日常生活能力の維持、向上を目指します。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令和５年度実績見込の利用者数が今後も利用するとして同数を見込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52" w:name="療養介護"/>
            <w:r>
              <w:rPr>
                <w:rFonts w:hint="eastAsia"/>
              </w:rPr>
              <w:t>利用者数</w:t>
            </w:r>
            <w:bookmarkEnd w:id="252"/>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8</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9</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9</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9</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9</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84"/>
        <w:ind w:left="672"/>
        <w:rPr>
          <w:rFonts w:hint="default"/>
        </w:rPr>
      </w:pPr>
      <w:r>
        <w:rPr>
          <w:rFonts w:hint="eastAsia"/>
        </w:rPr>
        <w:t>●</w:t>
      </w:r>
      <w:r>
        <w:rPr>
          <w:rFonts w:hint="eastAsia"/>
        </w:rPr>
        <w:t xml:space="preserve"> </w:t>
      </w:r>
      <w:r>
        <w:rPr>
          <w:rFonts w:hint="eastAsia"/>
        </w:rPr>
        <w:t>短期入所（ショートステイ）合計</w:t>
      </w:r>
      <w:r>
        <w:rPr>
          <w:rFonts w:hint="eastAsia"/>
        </w:rPr>
        <w:t>(</w:t>
      </w:r>
      <w:r>
        <w:rPr>
          <w:rFonts w:hint="eastAsia"/>
        </w:rPr>
        <w:t>福祉型・医療型</w:t>
      </w:r>
      <w:r>
        <w:rPr>
          <w:rFonts w:hint="eastAsia"/>
        </w:rPr>
        <w:t>)</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53" w:name="短期入所（ショートステイ）"/>
            <w:r>
              <w:rPr>
                <w:rFonts w:hint="eastAsia"/>
              </w:rPr>
              <w:t>利用者数</w:t>
            </w:r>
            <w:bookmarkEnd w:id="253"/>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25</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25</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28</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8</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2</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70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76</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76</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142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154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166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82</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120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18</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44</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89"/>
        <w:ind w:left="448" w:firstLine="210"/>
        <w:rPr>
          <w:rFonts w:hint="default"/>
        </w:rPr>
      </w:pPr>
    </w:p>
    <w:p>
      <w:pPr>
        <w:pStyle w:val="89"/>
        <w:ind w:left="448" w:firstLine="210"/>
        <w:rPr>
          <w:rFonts w:hint="default"/>
        </w:rPr>
      </w:pPr>
    </w:p>
    <w:p>
      <w:pPr>
        <w:pStyle w:val="89"/>
        <w:ind w:left="448" w:firstLine="210"/>
        <w:rPr>
          <w:rFonts w:hint="default"/>
        </w:rPr>
      </w:pPr>
    </w:p>
    <w:p>
      <w:pPr>
        <w:pStyle w:val="0"/>
        <w:ind w:left="438" w:firstLine="205"/>
        <w:rPr>
          <w:rFonts w:hint="default"/>
        </w:rPr>
      </w:pPr>
      <w:bookmarkEnd w:id="249"/>
      <w:bookmarkEnd w:id="250"/>
      <w:bookmarkEnd w:id="251"/>
      <w:bookmarkStart w:id="254" w:name="_Toc314505313"/>
      <w:bookmarkStart w:id="255" w:name="_Toc314578862"/>
      <w:bookmarkStart w:id="256" w:name="_Toc318449556"/>
    </w:p>
    <w:p>
      <w:pPr>
        <w:pStyle w:val="84"/>
        <w:ind w:left="672"/>
        <w:rPr>
          <w:rFonts w:hint="default"/>
        </w:rPr>
      </w:pPr>
      <w:r>
        <w:rPr>
          <w:rFonts w:hint="default"/>
        </w:rPr>
        <w:br w:type="page"/>
      </w:r>
      <w:r>
        <w:rPr>
          <w:rFonts w:hint="eastAsia"/>
        </w:rPr>
        <w:t>ｸ</w:t>
      </w:r>
      <w:r>
        <w:rPr>
          <w:rFonts w:hint="eastAsia"/>
        </w:rPr>
        <w:t>)-1</w:t>
      </w:r>
      <w:r>
        <w:rPr>
          <w:rFonts w:hint="eastAsia"/>
        </w:rPr>
        <w:t>短期入所（福祉型）</w:t>
      </w:r>
    </w:p>
    <w:p>
      <w:pPr>
        <w:pStyle w:val="89"/>
        <w:ind w:left="897" w:leftChars="400" w:firstLine="214"/>
        <w:rPr>
          <w:rFonts w:hint="default"/>
          <w:spacing w:val="0"/>
        </w:rPr>
      </w:pPr>
      <w:r>
        <w:rPr>
          <w:rFonts w:hint="eastAsia"/>
          <w:spacing w:val="0"/>
        </w:rPr>
        <w:t>自宅で介護する方が病気等により一時的に自宅での介護が困難になった場合に、短期間、夜間も含め、施設において入浴、排せつ、食事等の介護を行います。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令和２年度～令和４年度については新型コロナウイルス流行の影響で利用者数と利用量は停滞してい</w:t>
      </w:r>
      <w:r>
        <w:rPr>
          <w:rFonts w:hint="eastAsia"/>
          <w:spacing w:val="0"/>
        </w:rPr>
        <w:t>まし</w:t>
      </w:r>
      <w:r>
        <w:rPr>
          <w:rFonts w:hint="default"/>
          <w:spacing w:val="0"/>
        </w:rPr>
        <w:t>たが、令和５年度</w:t>
      </w:r>
      <w:r>
        <w:rPr>
          <w:rFonts w:hint="eastAsia"/>
          <w:spacing w:val="0"/>
        </w:rPr>
        <w:t>以降は</w:t>
      </w:r>
      <w:r>
        <w:rPr>
          <w:rFonts w:hint="default"/>
          <w:spacing w:val="0"/>
        </w:rPr>
        <w:t>利用数</w:t>
      </w:r>
      <w:r>
        <w:rPr>
          <w:rFonts w:hint="eastAsia"/>
          <w:spacing w:val="0"/>
        </w:rPr>
        <w:t>と</w:t>
      </w:r>
      <w:r>
        <w:rPr>
          <w:rFonts w:hint="default"/>
          <w:spacing w:val="0"/>
        </w:rPr>
        <w:t>利用量</w:t>
      </w:r>
      <w:r>
        <w:rPr>
          <w:rFonts w:hint="eastAsia"/>
          <w:spacing w:val="0"/>
        </w:rPr>
        <w:t>とも</w:t>
      </w:r>
      <w:r>
        <w:rPr>
          <w:rFonts w:hint="default"/>
          <w:spacing w:val="0"/>
        </w:rPr>
        <w:t>に増加</w:t>
      </w:r>
      <w:r>
        <w:rPr>
          <w:rFonts w:hint="eastAsia"/>
          <w:spacing w:val="0"/>
        </w:rPr>
        <w:t>することを想定し、</w:t>
      </w:r>
      <w:r>
        <w:rPr>
          <w:rFonts w:hint="default"/>
          <w:spacing w:val="0"/>
        </w:rPr>
        <w:t>利用者数については毎年度</w:t>
      </w:r>
      <w:r>
        <w:rPr>
          <w:rFonts w:hint="default"/>
          <w:spacing w:val="0"/>
        </w:rPr>
        <w:t>2</w:t>
      </w:r>
      <w:r>
        <w:rPr>
          <w:rFonts w:hint="default"/>
          <w:spacing w:val="0"/>
        </w:rPr>
        <w:t>人増、利用量については</w:t>
      </w:r>
      <w:r>
        <w:rPr>
          <w:rFonts w:hint="default"/>
          <w:spacing w:val="0"/>
        </w:rPr>
        <w:t>1</w:t>
      </w:r>
      <w:r>
        <w:rPr>
          <w:rFonts w:hint="default"/>
          <w:spacing w:val="0"/>
        </w:rPr>
        <w:t>人あたり</w:t>
      </w:r>
      <w:r>
        <w:rPr>
          <w:rFonts w:hint="default"/>
          <w:spacing w:val="0"/>
        </w:rPr>
        <w:t>6</w:t>
      </w:r>
      <w:r>
        <w:rPr>
          <w:rFonts w:hint="default"/>
          <w:spacing w:val="0"/>
        </w:rPr>
        <w:t>日利用で見込</w:t>
      </w:r>
      <w:r>
        <w:rPr>
          <w:rFonts w:hint="eastAsia"/>
          <w:spacing w:val="0"/>
        </w:rPr>
        <w:t>みます。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57" w:name="短期入所（福祉型）"/>
            <w:r>
              <w:rPr>
                <w:rFonts w:hint="eastAsia"/>
              </w:rPr>
              <w:t>利用者数</w:t>
            </w:r>
            <w:bookmarkEnd w:id="257"/>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13</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20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13</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9</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2</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62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68</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132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144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156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74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111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20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43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9"/>
        <w:rPr>
          <w:rFonts w:hint="default" w:ascii="ＭＳ ゴシック" w:hAnsi="ＭＳ ゴシック" w:eastAsia="ＭＳ ゴシック"/>
        </w:rPr>
      </w:pPr>
    </w:p>
    <w:p>
      <w:pPr>
        <w:pStyle w:val="84"/>
        <w:ind w:left="672"/>
        <w:rPr>
          <w:rFonts w:hint="default"/>
        </w:rPr>
      </w:pPr>
      <w:r>
        <w:rPr>
          <w:rFonts w:hint="eastAsia"/>
        </w:rPr>
        <w:t>ｸ</w:t>
      </w:r>
      <w:r>
        <w:rPr>
          <w:rFonts w:hint="eastAsia"/>
        </w:rPr>
        <w:t>)-2</w:t>
      </w:r>
      <w:r>
        <w:rPr>
          <w:rFonts w:hint="eastAsia"/>
        </w:rPr>
        <w:t>短期入所（医療型）</w:t>
      </w:r>
    </w:p>
    <w:p>
      <w:pPr>
        <w:pStyle w:val="89"/>
        <w:ind w:left="897" w:leftChars="400" w:firstLine="214"/>
        <w:rPr>
          <w:rFonts w:hint="default"/>
          <w:spacing w:val="0"/>
        </w:rPr>
      </w:pPr>
      <w:r>
        <w:rPr>
          <w:rFonts w:hint="eastAsia"/>
          <w:spacing w:val="0"/>
        </w:rPr>
        <w:t>自宅で介護する方が病気等により一時的に自宅での介護が困難になった場合に、短期間受け入れる医療型の施設です。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令和２年度～令和４年度実績と令和５年度実績見込の平均から利用者数は各年度</w:t>
      </w:r>
      <w:r>
        <w:rPr>
          <w:rFonts w:hint="default"/>
          <w:spacing w:val="0"/>
        </w:rPr>
        <w:t>4</w:t>
      </w:r>
      <w:r>
        <w:rPr>
          <w:rFonts w:hint="default"/>
          <w:spacing w:val="0"/>
        </w:rPr>
        <w:t>人、利用量は各年度</w:t>
      </w:r>
      <w:r>
        <w:rPr>
          <w:rFonts w:hint="default"/>
          <w:spacing w:val="0"/>
        </w:rPr>
        <w:t>10</w:t>
      </w:r>
      <w:r>
        <w:rPr>
          <w:rFonts w:hint="default"/>
          <w:spacing w:val="0"/>
        </w:rPr>
        <w:t>日として見込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58" w:name="短期入所（医療型）"/>
            <w:r>
              <w:rPr>
                <w:rFonts w:hint="eastAsia"/>
              </w:rPr>
              <w:t>利用者数</w:t>
            </w:r>
            <w:bookmarkEnd w:id="258"/>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8</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8</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9</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5"/>
        <w:rPr>
          <w:rFonts w:hint="default" w:ascii="ＭＳ ゴシック" w:hAnsi="ＭＳ ゴシック" w:eastAsia="ＭＳ ゴシック"/>
        </w:rPr>
      </w:pPr>
    </w:p>
    <w:p>
      <w:pPr>
        <w:pStyle w:val="89"/>
        <w:ind w:left="448" w:firstLine="210"/>
        <w:rPr>
          <w:rFonts w:hint="default"/>
        </w:rPr>
      </w:pPr>
    </w:p>
    <w:p>
      <w:pPr>
        <w:pStyle w:val="82"/>
        <w:ind w:left="784" w:hanging="336"/>
        <w:rPr>
          <w:rFonts w:hint="default"/>
        </w:rPr>
      </w:pPr>
      <w:r>
        <w:rPr>
          <w:rFonts w:hint="default"/>
        </w:rPr>
        <w:br w:type="page"/>
      </w:r>
      <w:bookmarkStart w:id="259" w:name="_Toc59549972"/>
      <w:r>
        <w:rPr>
          <w:rFonts w:hint="eastAsia"/>
        </w:rPr>
        <w:t>③居住系サービス</w:t>
      </w:r>
      <w:bookmarkEnd w:id="254"/>
      <w:bookmarkEnd w:id="255"/>
      <w:bookmarkEnd w:id="256"/>
      <w:bookmarkEnd w:id="259"/>
    </w:p>
    <w:p>
      <w:pPr>
        <w:pStyle w:val="84"/>
        <w:ind w:left="672"/>
        <w:rPr>
          <w:rFonts w:hint="default"/>
        </w:rPr>
      </w:pPr>
      <w:bookmarkStart w:id="260" w:name="_Toc314505314"/>
      <w:bookmarkStart w:id="261" w:name="_Toc314578863"/>
      <w:bookmarkStart w:id="262" w:name="_Toc318449557"/>
      <w:bookmarkStart w:id="263" w:name="_Toc318449558"/>
      <w:bookmarkStart w:id="264" w:name="_Toc314505315"/>
      <w:bookmarkStart w:id="265" w:name="_Toc314578864"/>
      <w:r>
        <w:rPr>
          <w:rFonts w:hint="eastAsia"/>
        </w:rPr>
        <w:t>ｱ</w:t>
      </w:r>
      <w:r>
        <w:rPr>
          <w:rFonts w:hint="eastAsia"/>
        </w:rPr>
        <w:t>)</w:t>
      </w:r>
      <w:r>
        <w:rPr>
          <w:rFonts w:hint="eastAsia"/>
        </w:rPr>
        <w:t>自立生活援助</w:t>
      </w:r>
    </w:p>
    <w:p>
      <w:pPr>
        <w:pStyle w:val="89"/>
        <w:ind w:left="897" w:leftChars="400" w:firstLine="214"/>
        <w:rPr>
          <w:rFonts w:hint="default"/>
          <w:spacing w:val="0"/>
        </w:rPr>
      </w:pPr>
      <w:r>
        <w:rPr>
          <w:rFonts w:hint="eastAsia"/>
          <w:spacing w:val="0"/>
        </w:rPr>
        <w:t>障がい者支援施設やグループホーム等から一人暮らしへの移行を希望する知的障がい者や精神障がい者等に対し、一定期間、定期的な巡回訪問・随時対応による必要な支援を行います。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eastAsia"/>
          <w:spacing w:val="0"/>
        </w:rPr>
        <w:t>これまでに利用実績はないが、今後施設やグループホーム等から一人暮らしへの移行希望者が利用すると想定し、</w:t>
      </w:r>
      <w:r>
        <w:rPr>
          <w:rFonts w:hint="default"/>
          <w:spacing w:val="0"/>
        </w:rPr>
        <w:t>令和８年度に</w:t>
      </w:r>
      <w:r>
        <w:rPr>
          <w:rFonts w:hint="default"/>
          <w:spacing w:val="0"/>
        </w:rPr>
        <w:t>1</w:t>
      </w:r>
      <w:r>
        <w:rPr>
          <w:rFonts w:hint="default"/>
          <w:spacing w:val="0"/>
        </w:rPr>
        <w:t>人見込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66" w:name="自立生活援助"/>
            <w:r>
              <w:rPr>
                <w:rFonts w:hint="eastAsia"/>
              </w:rPr>
              <w:t>利用者数</w:t>
            </w:r>
            <w:bookmarkEnd w:id="266"/>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88"/>
              <w:rPr>
                <w:rFonts w:hint="default"/>
              </w:rPr>
            </w:pPr>
            <w:r>
              <w:rPr>
                <w:rFonts w:hint="default"/>
                <w:sz w:val="22"/>
              </w:rPr>
              <w:t>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88"/>
              <w:rPr>
                <w:rFonts w:hint="default"/>
              </w:rPr>
            </w:pPr>
            <w:r>
              <w:rPr>
                <w:rFonts w:hint="default"/>
                <w:sz w:val="22"/>
              </w:rPr>
              <w:t>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top"/>
          </w:tcPr>
          <w:p>
            <w:pPr>
              <w:pStyle w:val="88"/>
              <w:rPr>
                <w:rFonts w:hint="default"/>
              </w:rPr>
            </w:pPr>
            <w:r>
              <w:rPr>
                <w:rFonts w:hint="default"/>
                <w:sz w:val="22"/>
              </w:rPr>
              <w:t>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88"/>
              <w:rPr>
                <w:rFonts w:hint="default"/>
              </w:rPr>
            </w:pPr>
            <w:r>
              <w:rPr>
                <w:rFonts w:hint="default"/>
                <w:sz w:val="22"/>
              </w:rPr>
              <w:t>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88"/>
              <w:rPr>
                <w:rFonts w:hint="default"/>
              </w:rPr>
            </w:pPr>
            <w:r>
              <w:rPr>
                <w:rFonts w:hint="default"/>
                <w:sz w:val="22"/>
              </w:rPr>
              <w:t>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88"/>
              <w:rPr>
                <w:rFonts w:hint="default"/>
              </w:rPr>
            </w:pPr>
            <w:r>
              <w:rPr>
                <w:rFonts w:hint="default"/>
                <w:sz w:val="22"/>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88"/>
              <w:rPr>
                <w:rFonts w:hint="default"/>
              </w:rPr>
            </w:pPr>
            <w:r>
              <w:rPr>
                <w:rFonts w:hint="default"/>
                <w:sz w:val="22"/>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88"/>
              <w:rPr>
                <w:rFonts w:hint="default"/>
              </w:rPr>
            </w:pPr>
            <w:r>
              <w:rPr>
                <w:rFonts w:hint="default"/>
                <w:sz w:val="22"/>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88"/>
              <w:rPr>
                <w:rFonts w:hint="default"/>
              </w:rPr>
            </w:pPr>
            <w:r>
              <w:rPr>
                <w:rFonts w:hint="default"/>
                <w:sz w:val="22"/>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88"/>
              <w:rPr>
                <w:rFonts w:hint="default"/>
              </w:rPr>
            </w:pPr>
            <w:r>
              <w:rPr>
                <w:rFonts w:hint="eastAsia"/>
                <w:sz w:val="22"/>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88"/>
              <w:rPr>
                <w:rFonts w:hint="default"/>
              </w:rPr>
            </w:pPr>
            <w:r>
              <w:rPr>
                <w:rFonts w:hint="eastAsia"/>
                <w:sz w:val="22"/>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88"/>
              <w:rPr>
                <w:rFonts w:hint="default"/>
              </w:rPr>
            </w:pPr>
            <w:r>
              <w:rPr>
                <w:rFonts w:hint="eastAsia"/>
                <w:sz w:val="22"/>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84"/>
        <w:ind w:left="672"/>
        <w:rPr>
          <w:rFonts w:hint="default"/>
        </w:rPr>
      </w:pPr>
      <w:r>
        <w:rPr>
          <w:rFonts w:hint="eastAsia"/>
        </w:rPr>
        <w:t>ｲ</w:t>
      </w:r>
      <w:r>
        <w:rPr>
          <w:rFonts w:hint="eastAsia"/>
        </w:rPr>
        <w:t>)</w:t>
      </w:r>
      <w:bookmarkEnd w:id="260"/>
      <w:bookmarkEnd w:id="261"/>
      <w:bookmarkEnd w:id="262"/>
      <w:bookmarkStart w:id="267" w:name="_Toc318449559"/>
      <w:r>
        <w:rPr>
          <w:rFonts w:hint="eastAsia"/>
        </w:rPr>
        <w:t>共同生活援助（グループホーム）</w:t>
      </w:r>
      <w:bookmarkEnd w:id="267"/>
    </w:p>
    <w:p>
      <w:pPr>
        <w:pStyle w:val="89"/>
        <w:ind w:left="897" w:leftChars="400" w:firstLine="214"/>
        <w:rPr>
          <w:rFonts w:hint="default"/>
          <w:spacing w:val="0"/>
        </w:rPr>
      </w:pPr>
      <w:r>
        <w:rPr>
          <w:rFonts w:hint="eastAsia"/>
          <w:spacing w:val="0"/>
        </w:rPr>
        <w:t>共同生活を行う住居において、相談支援や日常生活上の援助を行います。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令和２年度～令和４年度実績と令和５年度実績見込より利用者数は年々増加しており、今後も増加していくと見込</w:t>
      </w:r>
      <w:r>
        <w:rPr>
          <w:rFonts w:hint="eastAsia"/>
          <w:spacing w:val="0"/>
        </w:rPr>
        <w:t>み</w:t>
      </w:r>
      <w:r>
        <w:rPr>
          <w:rFonts w:hint="default"/>
          <w:spacing w:val="0"/>
        </w:rPr>
        <w:t>ます。令和４年度実績から令和５年度実績見込の増加者数</w:t>
      </w:r>
      <w:r>
        <w:rPr>
          <w:rFonts w:hint="default"/>
          <w:spacing w:val="0"/>
        </w:rPr>
        <w:t>4</w:t>
      </w:r>
      <w:r>
        <w:rPr>
          <w:rFonts w:hint="default"/>
          <w:spacing w:val="0"/>
        </w:rPr>
        <w:t>人が年度ごとに増えていくと見込</w:t>
      </w:r>
      <w:r>
        <w:rPr>
          <w:rFonts w:hint="eastAsia"/>
          <w:spacing w:val="0"/>
        </w:rPr>
        <w:t>み</w:t>
      </w:r>
      <w:r>
        <w:rPr>
          <w:rFonts w:hint="default"/>
          <w:spacing w:val="0"/>
        </w:rPr>
        <w:t>ます。</w:t>
      </w:r>
    </w:p>
    <w:p>
      <w:pPr>
        <w:pStyle w:val="0"/>
        <w:spacing w:line="100" w:lineRule="exact"/>
        <w:rPr>
          <w:rFonts w:hint="default"/>
        </w:rPr>
      </w:pPr>
      <w:bookmarkEnd w:id="263"/>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68" w:name="共同生活援助（グループホーム）"/>
            <w:r>
              <w:rPr>
                <w:rFonts w:hint="eastAsia"/>
              </w:rPr>
              <w:t>利用者数</w:t>
            </w:r>
            <w:bookmarkEnd w:id="268"/>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37</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39</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41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55</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59</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63</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51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p>
    <w:p>
      <w:pPr>
        <w:pStyle w:val="0"/>
        <w:ind w:left="438" w:firstLine="205"/>
        <w:rPr>
          <w:rFonts w:hint="default"/>
        </w:rPr>
      </w:pPr>
    </w:p>
    <w:p>
      <w:pPr>
        <w:pStyle w:val="89"/>
        <w:ind w:left="448" w:firstLine="210"/>
        <w:rPr>
          <w:rFonts w:hint="default"/>
        </w:rPr>
      </w:pPr>
      <w:bookmarkEnd w:id="264"/>
      <w:bookmarkEnd w:id="265"/>
      <w:bookmarkStart w:id="269" w:name="_Toc314505316"/>
      <w:bookmarkStart w:id="270" w:name="_Toc314578865"/>
    </w:p>
    <w:p>
      <w:pPr>
        <w:pStyle w:val="89"/>
        <w:ind w:left="448" w:firstLine="210"/>
        <w:rPr>
          <w:rFonts w:hint="default"/>
        </w:rPr>
      </w:pPr>
    </w:p>
    <w:p>
      <w:pPr>
        <w:pStyle w:val="0"/>
        <w:rPr>
          <w:rFonts w:hint="default"/>
          <w:sz w:val="16"/>
        </w:rPr>
      </w:pPr>
      <w:r>
        <w:rPr>
          <w:rFonts w:hint="default"/>
          <w:sz w:val="16"/>
        </w:rPr>
        <w:br w:type="page"/>
      </w:r>
    </w:p>
    <w:p>
      <w:pPr>
        <w:pStyle w:val="84"/>
        <w:ind w:left="672"/>
        <w:rPr>
          <w:rFonts w:hint="default"/>
        </w:rPr>
      </w:pPr>
      <w:bookmarkEnd w:id="269"/>
      <w:bookmarkEnd w:id="270"/>
      <w:r>
        <w:rPr>
          <w:rFonts w:hint="default"/>
        </w:rPr>
        <w:t>ｳ</w:t>
      </w:r>
      <w:r>
        <w:rPr>
          <w:rFonts w:hint="default"/>
        </w:rPr>
        <w:t>)</w:t>
      </w:r>
      <w:r>
        <w:rPr>
          <w:rFonts w:hint="eastAsia"/>
        </w:rPr>
        <w:t>施設入所支援</w:t>
      </w:r>
    </w:p>
    <w:p>
      <w:pPr>
        <w:pStyle w:val="89"/>
        <w:ind w:left="897" w:leftChars="400" w:firstLine="214"/>
        <w:rPr>
          <w:rFonts w:hint="default"/>
          <w:spacing w:val="0"/>
        </w:rPr>
      </w:pPr>
      <w:r>
        <w:rPr>
          <w:rFonts w:hint="eastAsia"/>
          <w:spacing w:val="0"/>
        </w:rPr>
        <w:t>施設に入所する方に、夜間や休日、入浴、排せつ、食事等の介護とともに、日常生活上の相談支援を行います。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令和２年度～令和４年度実績と令和５年度実績見込</w:t>
      </w:r>
      <w:r>
        <w:rPr>
          <w:rFonts w:hint="eastAsia"/>
          <w:spacing w:val="0"/>
        </w:rPr>
        <w:t>では</w:t>
      </w:r>
      <w:r>
        <w:rPr>
          <w:rFonts w:hint="default"/>
          <w:spacing w:val="0"/>
        </w:rPr>
        <w:t>微増しておりますが、地域生活への移行も考え</w:t>
      </w:r>
      <w:r>
        <w:rPr>
          <w:rFonts w:hint="eastAsia"/>
          <w:spacing w:val="0"/>
        </w:rPr>
        <w:t>、利用者数は令和６年度については令和５年度と同数を見込み、令和７年度以降は毎年度１人減を見込み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71" w:name="施設入所支援"/>
            <w:r>
              <w:rPr>
                <w:rFonts w:hint="eastAsia"/>
              </w:rPr>
              <w:t>利用者数</w:t>
            </w:r>
            <w:bookmarkEnd w:id="271"/>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57</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56</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61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60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59</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59</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61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61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5</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82"/>
        <w:ind w:left="784" w:hanging="336"/>
        <w:rPr>
          <w:rFonts w:hint="default"/>
        </w:rPr>
      </w:pPr>
      <w:bookmarkStart w:id="272" w:name="_Toc59549973"/>
      <w:r>
        <w:rPr>
          <w:rFonts w:hint="eastAsia"/>
        </w:rPr>
        <w:t>④相談支援</w:t>
      </w:r>
      <w:bookmarkEnd w:id="272"/>
    </w:p>
    <w:p>
      <w:pPr>
        <w:pStyle w:val="84"/>
        <w:ind w:left="672"/>
        <w:rPr>
          <w:rFonts w:hint="default"/>
        </w:rPr>
      </w:pPr>
      <w:r>
        <w:rPr>
          <w:rFonts w:hint="eastAsia"/>
        </w:rPr>
        <w:t>ｱ</w:t>
      </w:r>
      <w:r>
        <w:rPr>
          <w:rFonts w:hint="eastAsia"/>
        </w:rPr>
        <w:t>)</w:t>
      </w:r>
      <w:r>
        <w:rPr>
          <w:rFonts w:hint="eastAsia"/>
        </w:rPr>
        <w:t>計画相談支援</w:t>
      </w:r>
    </w:p>
    <w:p>
      <w:pPr>
        <w:pStyle w:val="89"/>
        <w:ind w:left="897" w:leftChars="400" w:firstLine="214"/>
        <w:rPr>
          <w:rFonts w:hint="default"/>
          <w:spacing w:val="0"/>
        </w:rPr>
      </w:pPr>
      <w:r>
        <w:rPr>
          <w:rFonts w:hint="eastAsia"/>
          <w:spacing w:val="0"/>
        </w:rPr>
        <w:t>障害福祉サービスの利用等について相談に応じ、助言や情報提供、「サービス等利用計画」の作成を行います。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令和２年度～令和４年度実績平均より毎年増加になることが想定されます。今後の障害福祉サービスの利用申請についても増加になると見込</w:t>
      </w:r>
      <w:r>
        <w:rPr>
          <w:rFonts w:hint="eastAsia"/>
          <w:spacing w:val="0"/>
        </w:rPr>
        <w:t>み、</w:t>
      </w:r>
      <w:r>
        <w:rPr>
          <w:rFonts w:hint="default"/>
          <w:spacing w:val="0"/>
        </w:rPr>
        <w:t>令和５年度実績見込から毎年度ごとに</w:t>
      </w:r>
      <w:r>
        <w:rPr>
          <w:rFonts w:hint="default"/>
          <w:spacing w:val="0"/>
        </w:rPr>
        <w:t>10</w:t>
      </w:r>
      <w:r>
        <w:rPr>
          <w:rFonts w:hint="default"/>
          <w:spacing w:val="0"/>
        </w:rPr>
        <w:t>名増加で見込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73" w:name="計画相談支援"/>
            <w:r>
              <w:rPr>
                <w:rFonts w:hint="eastAsia"/>
              </w:rPr>
              <w:t>利用者数</w:t>
            </w:r>
            <w:bookmarkEnd w:id="273"/>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94</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104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114</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121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131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141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92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95</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111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9</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89"/>
        <w:ind w:left="448" w:firstLine="210"/>
        <w:rPr>
          <w:rFonts w:hint="default" w:ascii="ＭＳ ゴシック" w:hAnsi="ＭＳ ゴシック" w:eastAsia="ＭＳ ゴシック"/>
        </w:rPr>
      </w:pPr>
    </w:p>
    <w:p>
      <w:pPr>
        <w:pStyle w:val="89"/>
        <w:ind w:left="448" w:firstLine="210"/>
        <w:rPr>
          <w:rFonts w:hint="default" w:ascii="ＭＳ ゴシック" w:hAnsi="ＭＳ ゴシック" w:eastAsia="ＭＳ ゴシック"/>
        </w:rPr>
      </w:pPr>
    </w:p>
    <w:p>
      <w:pPr>
        <w:pStyle w:val="84"/>
        <w:ind w:left="672"/>
        <w:rPr>
          <w:rFonts w:hint="default"/>
        </w:rPr>
      </w:pPr>
      <w:r>
        <w:rPr>
          <w:rFonts w:hint="default"/>
        </w:rPr>
        <w:br w:type="page"/>
      </w:r>
      <w:r>
        <w:rPr>
          <w:rFonts w:hint="default"/>
        </w:rPr>
        <w:t>ｲ</w:t>
      </w:r>
      <w:r>
        <w:rPr>
          <w:rFonts w:hint="default"/>
        </w:rPr>
        <w:t>)</w:t>
      </w:r>
      <w:r>
        <w:rPr>
          <w:rFonts w:hint="eastAsia"/>
        </w:rPr>
        <w:t>地域移行支援</w:t>
      </w:r>
    </w:p>
    <w:p>
      <w:pPr>
        <w:pStyle w:val="89"/>
        <w:ind w:left="897" w:leftChars="400" w:firstLine="214"/>
        <w:rPr>
          <w:rFonts w:hint="default"/>
          <w:spacing w:val="0"/>
        </w:rPr>
      </w:pPr>
      <w:r>
        <w:rPr>
          <w:rFonts w:hint="eastAsia"/>
          <w:spacing w:val="0"/>
        </w:rPr>
        <w:t>障がい者支援施設や精神科病院に入所等をしている障がい者に対し、住居の確保、地域生活の準備や障害福祉サービスの見学・体験のための外出への同行支援、地域における生活に移行するための活動に関する相談等の支援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default"/>
          <w:spacing w:val="0"/>
        </w:rPr>
        <w:t>令和元年度の利用実績以降、利用者はいませんが、今後地域生活への移行が進むものと見込まれるため各年度</w:t>
      </w:r>
      <w:r>
        <w:rPr>
          <w:rFonts w:hint="default"/>
          <w:spacing w:val="0"/>
        </w:rPr>
        <w:t>1</w:t>
      </w:r>
      <w:r>
        <w:rPr>
          <w:rFonts w:hint="default"/>
          <w:spacing w:val="0"/>
        </w:rPr>
        <w:t>人の利用を見込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74" w:name="地域相談支援"/>
            <w:bookmarkStart w:id="275" w:name="地域移行支援"/>
            <w:r>
              <w:rPr>
                <w:rFonts w:hint="eastAsia"/>
              </w:rPr>
              <w:t>利用者数</w:t>
            </w:r>
            <w:bookmarkEnd w:id="274"/>
            <w:bookmarkEnd w:id="275"/>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84"/>
        <w:ind w:left="672"/>
        <w:rPr>
          <w:rFonts w:hint="default"/>
        </w:rPr>
      </w:pPr>
      <w:r>
        <w:rPr>
          <w:rFonts w:hint="default"/>
        </w:rPr>
        <w:t>ｳ</w:t>
      </w:r>
      <w:r>
        <w:rPr>
          <w:rFonts w:hint="default"/>
        </w:rPr>
        <w:t>)</w:t>
      </w:r>
      <w:r>
        <w:rPr>
          <w:rFonts w:hint="eastAsia"/>
        </w:rPr>
        <w:t>地域定着支援</w:t>
      </w:r>
    </w:p>
    <w:p>
      <w:pPr>
        <w:pStyle w:val="89"/>
        <w:ind w:left="897" w:leftChars="400" w:firstLine="214"/>
        <w:rPr>
          <w:rFonts w:hint="default"/>
          <w:spacing w:val="0"/>
        </w:rPr>
      </w:pPr>
      <w:r>
        <w:rPr>
          <w:rFonts w:hint="eastAsia"/>
          <w:spacing w:val="0"/>
        </w:rPr>
        <w:t>居宅で一人暮らししている障がい者等に対する夜間も含む緊急時における連絡、相談等の支援を行います。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eastAsia"/>
          <w:spacing w:val="0"/>
        </w:rPr>
        <w:t>これまで利用実績はありませんが、今後地域生活への移行が進むものと見込まれるため各年度</w:t>
      </w:r>
      <w:r>
        <w:rPr>
          <w:rFonts w:hint="default"/>
          <w:spacing w:val="0"/>
        </w:rPr>
        <w:t>1</w:t>
      </w:r>
      <w:r>
        <w:rPr>
          <w:rFonts w:hint="default"/>
          <w:spacing w:val="0"/>
        </w:rPr>
        <w:t>人の利用を見込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76" w:name="地域定着支援"/>
            <w:r>
              <w:rPr>
                <w:rFonts w:hint="eastAsia"/>
              </w:rPr>
              <w:t>利用者数</w:t>
            </w:r>
            <w:bookmarkEnd w:id="276"/>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89"/>
        <w:ind w:left="448" w:firstLine="210"/>
        <w:rPr>
          <w:rFonts w:hint="default"/>
        </w:rPr>
      </w:pPr>
    </w:p>
    <w:p>
      <w:pPr>
        <w:pStyle w:val="0"/>
        <w:rPr>
          <w:rFonts w:hint="default"/>
          <w:spacing w:val="-2"/>
          <w:sz w:val="21"/>
        </w:rPr>
      </w:pPr>
      <w:bookmarkStart w:id="277" w:name="_Toc158027981"/>
      <w:bookmarkStart w:id="278" w:name="_Toc159123336"/>
    </w:p>
    <w:p>
      <w:pPr>
        <w:pStyle w:val="82"/>
        <w:ind w:left="784" w:hanging="336"/>
        <w:rPr>
          <w:rFonts w:hint="default"/>
        </w:rPr>
      </w:pPr>
      <w:r>
        <w:rPr>
          <w:rFonts w:hint="eastAsia"/>
        </w:rPr>
        <w:t>⑤</w:t>
      </w:r>
      <w:bookmarkEnd w:id="277"/>
      <w:bookmarkEnd w:id="278"/>
      <w:r>
        <w:rPr>
          <w:rFonts w:hint="eastAsia"/>
        </w:rPr>
        <w:t>サービス見込量確保のための方策</w:t>
      </w:r>
    </w:p>
    <w:p>
      <w:pPr>
        <w:pStyle w:val="0"/>
        <w:ind w:left="672" w:leftChars="300" w:firstLine="214" w:firstLineChars="100"/>
        <w:rPr>
          <w:rFonts w:hint="default" w:asciiTheme="minorEastAsia" w:hAnsiTheme="minorEastAsia" w:eastAsiaTheme="minorEastAsia"/>
          <w:sz w:val="21"/>
        </w:rPr>
      </w:pPr>
      <w:bookmarkStart w:id="279" w:name="_Toc153361625"/>
      <w:r>
        <w:rPr>
          <w:rFonts w:hint="eastAsia" w:asciiTheme="minorEastAsia" w:hAnsiTheme="minorEastAsia" w:eastAsiaTheme="minorEastAsia"/>
          <w:sz w:val="21"/>
        </w:rPr>
        <w:t>本町では利用者のニーズを満たす供給量を確保するために、各サービスの利用状況を把握し、サービスの提供が不足しないよう民間等の事業者との連携を図ります。</w:t>
      </w:r>
    </w:p>
    <w:p>
      <w:pPr>
        <w:pStyle w:val="0"/>
        <w:ind w:left="672" w:leftChars="30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また、サービス量の確保とともに、質の高いサービスの提供が不可欠であるため、利用者の声を把握することに努め、状況に応じて事業者への指導を行うなど、質の低下を防ぐように努めます。</w:t>
      </w:r>
    </w:p>
    <w:p>
      <w:pPr>
        <w:pStyle w:val="0"/>
        <w:ind w:left="672" w:leftChars="30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実績の乏しいサービスについては利用の周知を図るほか、サービス提供事業所がないサービスについては、本町のサービス利用状況等の情報提供により事業者の参入促進を図ります。</w:t>
      </w:r>
    </w:p>
    <w:p>
      <w:pPr>
        <w:pStyle w:val="0"/>
        <w:ind w:left="672" w:leftChars="300" w:firstLine="214" w:firstLineChars="100"/>
        <w:rPr>
          <w:rFonts w:hint="default" w:asciiTheme="minorEastAsia" w:hAnsiTheme="minorEastAsia" w:eastAsiaTheme="minorEastAsia"/>
          <w:sz w:val="21"/>
        </w:rPr>
      </w:pPr>
      <w:bookmarkEnd w:id="279"/>
    </w:p>
    <w:p>
      <w:pPr>
        <w:pStyle w:val="0"/>
        <w:ind w:left="672" w:leftChars="300" w:firstLine="214" w:firstLineChars="100"/>
        <w:rPr>
          <w:rFonts w:hint="default" w:asciiTheme="minorEastAsia" w:hAnsiTheme="minorEastAsia" w:eastAsiaTheme="minorEastAsia"/>
          <w:sz w:val="21"/>
        </w:rPr>
      </w:pPr>
      <w:r>
        <w:rPr>
          <w:rFonts w:hint="default" w:asciiTheme="minorEastAsia" w:hAnsiTheme="minorEastAsia" w:eastAsiaTheme="minorEastAsia"/>
          <w:sz w:val="21"/>
        </w:rPr>
        <w:br w:type="page"/>
      </w:r>
    </w:p>
    <w:p>
      <w:pPr>
        <w:pStyle w:val="89"/>
        <w:ind w:left="448" w:firstLine="0" w:firstLineChars="0"/>
        <w:rPr>
          <w:rFonts w:hint="default" w:asciiTheme="majorEastAsia" w:hAnsiTheme="majorEastAsia" w:eastAsiaTheme="majorEastAsia"/>
          <w:spacing w:val="0"/>
        </w:rPr>
      </w:pPr>
      <w:r>
        <w:rPr>
          <w:rFonts w:hint="eastAsia" w:asciiTheme="majorEastAsia" w:hAnsiTheme="majorEastAsia" w:eastAsiaTheme="majorEastAsia"/>
          <w:spacing w:val="0"/>
        </w:rPr>
        <w:t>【障害福祉サービスの実績及び見込み一覧】</w:t>
      </w:r>
    </w:p>
    <w:tbl>
      <w:tblPr>
        <w:tblStyle w:val="11"/>
        <w:tblW w:w="9072" w:type="dxa"/>
        <w:tblInd w:w="562" w:type="dxa"/>
        <w:tblLayout w:type="fixed"/>
        <w:tblCellMar>
          <w:left w:w="99" w:type="dxa"/>
          <w:right w:w="99" w:type="dxa"/>
        </w:tblCellMar>
        <w:tblLook w:firstRow="1" w:lastRow="0" w:firstColumn="1" w:lastColumn="0" w:noHBand="0" w:noVBand="1" w:val="04A0"/>
      </w:tblPr>
      <w:tblGrid>
        <w:gridCol w:w="426"/>
        <w:gridCol w:w="1417"/>
        <w:gridCol w:w="851"/>
        <w:gridCol w:w="1134"/>
        <w:gridCol w:w="874"/>
        <w:gridCol w:w="874"/>
        <w:gridCol w:w="874"/>
        <w:gridCol w:w="874"/>
        <w:gridCol w:w="874"/>
        <w:gridCol w:w="874"/>
      </w:tblGrid>
      <w:tr>
        <w:trPr/>
        <w:tc>
          <w:tcPr>
            <w:tcW w:w="426"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134"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単位</w:t>
            </w:r>
          </w:p>
        </w:tc>
        <w:tc>
          <w:tcPr>
            <w:tcW w:w="2622"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実績値</w:t>
            </w:r>
          </w:p>
        </w:tc>
        <w:tc>
          <w:tcPr>
            <w:tcW w:w="2622"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計画値</w:t>
            </w:r>
          </w:p>
        </w:tc>
      </w:tr>
      <w:tr>
        <w:trPr/>
        <w:tc>
          <w:tcPr>
            <w:tcW w:w="426"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134"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３年度</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４年度</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５年度</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６</w:t>
            </w:r>
            <w:r>
              <w:rPr>
                <w:rFonts w:hint="default" w:asciiTheme="minorEastAsia" w:hAnsiTheme="minorEastAsia" w:eastAsiaTheme="minorEastAsia"/>
                <w:sz w:val="20"/>
              </w:rPr>
              <w:t>年度</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７</w:t>
            </w:r>
            <w:r>
              <w:rPr>
                <w:rFonts w:hint="default" w:asciiTheme="minorEastAsia" w:hAnsiTheme="minorEastAsia" w:eastAsiaTheme="minorEastAsia"/>
                <w:sz w:val="20"/>
              </w:rPr>
              <w:t>年度</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８</w:t>
            </w:r>
            <w:r>
              <w:rPr>
                <w:rFonts w:hint="default" w:asciiTheme="minorEastAsia" w:hAnsiTheme="minorEastAsia" w:eastAsiaTheme="minorEastAsia"/>
                <w:sz w:val="20"/>
              </w:rPr>
              <w:t>年度</w:t>
            </w:r>
          </w:p>
        </w:tc>
      </w:tr>
      <w:tr>
        <w:trPr/>
        <w:tc>
          <w:tcPr>
            <w:tcW w:w="426"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textDirection w:val="tbRlV"/>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訪問系</w:t>
            </w: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居宅介護</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68</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92</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時間</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807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786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778</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840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903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966</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重度訪問介護</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時間</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323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337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710</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行動援護</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時間</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同行援護</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時間</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576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644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652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702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754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806</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重度障害者等包括支援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時間</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r>
      <w:tr>
        <w:trPr/>
        <w:tc>
          <w:tcPr>
            <w:tcW w:w="426"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textDirection w:val="tbRlV"/>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日中活動系</w:t>
            </w: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生活介護</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99</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1,990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1,932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2,015</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自立訓練</w:t>
            </w:r>
          </w:p>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w:t>
            </w:r>
            <w:r>
              <w:rPr>
                <w:rFonts w:hint="default" w:asciiTheme="minorEastAsia" w:hAnsiTheme="minorEastAsia" w:eastAsiaTheme="minorEastAsia"/>
                <w:sz w:val="20"/>
              </w:rPr>
              <w:t>機能訓練</w:t>
            </w:r>
            <w:r>
              <w:rPr>
                <w:rFonts w:hint="default" w:asciiTheme="minorEastAsia" w:hAnsiTheme="minorEastAsia" w:eastAsiaTheme="minorEastAsia"/>
                <w:sz w:val="20"/>
              </w:rPr>
              <w:t>)</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23</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自立訓練</w:t>
            </w:r>
          </w:p>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w:t>
            </w:r>
            <w:r>
              <w:rPr>
                <w:rFonts w:hint="default" w:asciiTheme="minorEastAsia" w:hAnsiTheme="minorEastAsia" w:eastAsiaTheme="minorEastAsia"/>
                <w:sz w:val="20"/>
              </w:rPr>
              <w:t>生活訓練</w:t>
            </w:r>
            <w:r>
              <w:rPr>
                <w:rFonts w:hint="default" w:asciiTheme="minorEastAsia" w:hAnsiTheme="minorEastAsia" w:eastAsiaTheme="minorEastAsia"/>
                <w:sz w:val="20"/>
              </w:rPr>
              <w:t>)</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48</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one" w:color="auto" w:sz="0"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就労選択支援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就労移行支援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192</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就労継続支援</w:t>
            </w:r>
          </w:p>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w:t>
            </w:r>
            <w:r>
              <w:rPr>
                <w:rFonts w:hint="default" w:asciiTheme="minorEastAsia" w:hAnsiTheme="minorEastAsia" w:eastAsiaTheme="minorEastAsia"/>
                <w:sz w:val="20"/>
              </w:rPr>
              <w:t>Ａ型</w:t>
            </w:r>
            <w:r>
              <w:rPr>
                <w:rFonts w:hint="default" w:asciiTheme="minorEastAsia" w:hAnsiTheme="minorEastAsia" w:eastAsiaTheme="minorEastAsia"/>
                <w:sz w:val="20"/>
              </w:rPr>
              <w:t>)</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28</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27</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515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450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467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513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513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513</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就労継続支援</w:t>
            </w:r>
          </w:p>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w:t>
            </w:r>
            <w:r>
              <w:rPr>
                <w:rFonts w:hint="default" w:asciiTheme="minorEastAsia" w:hAnsiTheme="minorEastAsia" w:eastAsiaTheme="minorEastAsia"/>
                <w:sz w:val="20"/>
              </w:rPr>
              <w:t>Ｂ型</w:t>
            </w:r>
            <w:r>
              <w:rPr>
                <w:rFonts w:hint="default" w:asciiTheme="minorEastAsia" w:hAnsiTheme="minorEastAsia" w:eastAsiaTheme="minorEastAsia"/>
                <w:sz w:val="20"/>
              </w:rPr>
              <w:t>)</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149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192</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2,765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2,886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3,233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3,276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3,366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3,456</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就労定着支援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療養介護</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短期入所</w:t>
            </w:r>
          </w:p>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w:t>
            </w:r>
            <w:r>
              <w:rPr>
                <w:rFonts w:hint="default" w:asciiTheme="minorEastAsia" w:hAnsiTheme="minorEastAsia" w:eastAsiaTheme="minorEastAsia"/>
                <w:sz w:val="20"/>
              </w:rPr>
              <w:t>福祉型</w:t>
            </w:r>
            <w:r>
              <w:rPr>
                <w:rFonts w:hint="default" w:asciiTheme="minorEastAsia" w:hAnsiTheme="minorEastAsia" w:eastAsiaTheme="minorEastAsia"/>
                <w:sz w:val="20"/>
              </w:rPr>
              <w:t>)</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26</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111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132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144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156</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短期入所</w:t>
            </w:r>
          </w:p>
          <w:p>
            <w:pPr>
              <w:pStyle w:val="0"/>
              <w:spacing w:line="0" w:lineRule="atLeast"/>
              <w:rPr>
                <w:rFonts w:hint="default" w:asciiTheme="minorEastAsia" w:hAnsiTheme="minorEastAsia" w:eastAsiaTheme="minorEastAsia"/>
                <w:spacing w:val="-8"/>
                <w:w w:val="85"/>
                <w:sz w:val="20"/>
              </w:rPr>
            </w:pPr>
            <w:r>
              <w:rPr>
                <w:rFonts w:hint="default" w:asciiTheme="minorEastAsia" w:hAnsiTheme="minorEastAsia" w:eastAsiaTheme="minorEastAsia"/>
                <w:sz w:val="20"/>
              </w:rPr>
              <w:t>(</w:t>
            </w:r>
            <w:r>
              <w:rPr>
                <w:rFonts w:hint="default" w:asciiTheme="minorEastAsia" w:hAnsiTheme="minorEastAsia" w:eastAsiaTheme="minorEastAsia"/>
                <w:sz w:val="20"/>
              </w:rPr>
              <w:t>医療型</w:t>
            </w:r>
            <w:r>
              <w:rPr>
                <w:rFonts w:hint="default" w:asciiTheme="minorEastAsia" w:hAnsiTheme="minorEastAsia" w:eastAsiaTheme="minorEastAsia"/>
                <w:sz w:val="20"/>
              </w:rPr>
              <w:t>)</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r>
      <w:tr>
        <w:trPr/>
        <w:tc>
          <w:tcPr>
            <w:tcW w:w="426"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textDirection w:val="tbRlV"/>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居住系</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自立生活援助</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共同生活援助</w:t>
            </w:r>
          </w:p>
          <w:p>
            <w:pPr>
              <w:pStyle w:val="0"/>
              <w:spacing w:line="0" w:lineRule="atLeast"/>
              <w:rPr>
                <w:rFonts w:hint="default" w:asciiTheme="minorEastAsia" w:hAnsiTheme="minorEastAsia" w:eastAsiaTheme="minorEastAsia"/>
                <w:w w:val="82"/>
                <w:sz w:val="20"/>
              </w:rPr>
            </w:pPr>
            <w:r>
              <w:rPr>
                <w:rFonts w:hint="default" w:asciiTheme="minorEastAsia" w:hAnsiTheme="minorEastAsia" w:eastAsiaTheme="minorEastAsia"/>
                <w:spacing w:val="-8"/>
                <w:w w:val="82"/>
                <w:sz w:val="20"/>
              </w:rPr>
              <w:t>(</w:t>
            </w:r>
            <w:r>
              <w:rPr>
                <w:rFonts w:hint="default" w:asciiTheme="minorEastAsia" w:hAnsiTheme="minorEastAsia" w:eastAsiaTheme="minorEastAsia"/>
                <w:spacing w:val="-8"/>
                <w:w w:val="82"/>
                <w:sz w:val="20"/>
              </w:rPr>
              <w:t>グループホーム</w:t>
            </w:r>
            <w:r>
              <w:rPr>
                <w:rFonts w:hint="default" w:asciiTheme="minorEastAsia" w:hAnsiTheme="minorEastAsia" w:eastAsiaTheme="minorEastAsia"/>
                <w:spacing w:val="-8"/>
                <w:w w:val="82"/>
                <w:sz w:val="20"/>
              </w:rPr>
              <w:t>)</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63</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施設入所支援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61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60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59</w:t>
            </w:r>
          </w:p>
        </w:tc>
      </w:tr>
      <w:tr>
        <w:trPr/>
        <w:tc>
          <w:tcPr>
            <w:tcW w:w="426"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textDirection w:val="tbRlV"/>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その他</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計画相談支援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111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131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141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地域移行支援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地域定着支援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bl>
    <w:p>
      <w:pPr>
        <w:pStyle w:val="89"/>
        <w:ind w:left="560" w:leftChars="250" w:firstLine="0" w:firstLineChars="0"/>
        <w:rPr>
          <w:rFonts w:hint="default"/>
        </w:rPr>
      </w:pPr>
      <w:r>
        <w:rPr>
          <w:rFonts w:hint="eastAsia"/>
        </w:rPr>
        <w:t>※令和５年度は、見込みの数値。</w:t>
      </w:r>
    </w:p>
    <w:p>
      <w:pPr>
        <w:pStyle w:val="0"/>
        <w:rPr>
          <w:rFonts w:hint="default"/>
          <w:spacing w:val="-2"/>
          <w:sz w:val="21"/>
        </w:rPr>
      </w:pPr>
      <w:r>
        <w:rPr>
          <w:rFonts w:hint="default"/>
        </w:rPr>
        <w:br w:type="page"/>
      </w:r>
    </w:p>
    <w:p>
      <w:pPr>
        <w:pStyle w:val="81"/>
        <w:spacing w:after="37" w:afterLines="0" w:afterAutospacing="0"/>
        <w:ind w:left="224"/>
        <w:rPr>
          <w:rFonts w:hint="default"/>
        </w:rPr>
      </w:pPr>
      <w:bookmarkStart w:id="280" w:name="_Toc314505322"/>
      <w:bookmarkStart w:id="281" w:name="_Toc314578874"/>
      <w:bookmarkStart w:id="282" w:name="_Toc318449571"/>
      <w:bookmarkStart w:id="283" w:name="_Toc59549974"/>
      <w:bookmarkStart w:id="284" w:name="_Toc67040250"/>
      <w:r>
        <w:rPr>
          <w:rFonts w:hint="default"/>
        </w:rPr>
        <w:t>(</w:t>
      </w:r>
      <w:r>
        <w:rPr>
          <w:rFonts w:hint="eastAsia"/>
        </w:rPr>
        <w:t>２</w:t>
      </w:r>
      <w:r>
        <w:rPr>
          <w:rFonts w:hint="default"/>
        </w:rPr>
        <w:t>)</w:t>
      </w:r>
      <w:bookmarkEnd w:id="280"/>
      <w:bookmarkEnd w:id="281"/>
      <w:bookmarkEnd w:id="282"/>
      <w:r>
        <w:rPr>
          <w:rFonts w:hint="eastAsia"/>
        </w:rPr>
        <w:t>地域生活支援事業（市町村事業）</w:t>
      </w:r>
      <w:bookmarkEnd w:id="283"/>
      <w:bookmarkEnd w:id="284"/>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障がい者の日常生活、社会生活を支援するため、地域の特性や利用者の状況に応じた取り組みを行うものです。国からの必須事業と、市町村の判断で実施する任意事業とがあります。</w:t>
      </w:r>
    </w:p>
    <w:p>
      <w:pPr>
        <w:pStyle w:val="0"/>
        <w:spacing w:line="0" w:lineRule="atLeast"/>
        <w:ind w:left="552" w:leftChars="200" w:hanging="104" w:hangingChars="100"/>
        <w:rPr>
          <w:rFonts w:hint="default"/>
          <w:sz w:val="10"/>
        </w:rPr>
      </w:pPr>
    </w:p>
    <w:p>
      <w:pPr>
        <w:pStyle w:val="82"/>
        <w:ind w:left="784" w:hanging="336"/>
        <w:rPr>
          <w:rFonts w:hint="default"/>
        </w:rPr>
      </w:pPr>
      <w:bookmarkStart w:id="285" w:name="_Toc314505323"/>
      <w:bookmarkStart w:id="286" w:name="_Toc314578875"/>
      <w:bookmarkStart w:id="287" w:name="_Toc318449572"/>
      <w:bookmarkStart w:id="288" w:name="_Toc59549975"/>
      <w:r>
        <w:rPr>
          <w:rFonts w:hint="eastAsia"/>
        </w:rPr>
        <w:t>①必須事業</w:t>
      </w:r>
      <w:bookmarkEnd w:id="285"/>
      <w:bookmarkEnd w:id="286"/>
      <w:bookmarkEnd w:id="287"/>
      <w:bookmarkEnd w:id="288"/>
      <w:bookmarkStart w:id="289" w:name="_Toc314505324"/>
      <w:bookmarkStart w:id="290" w:name="_Toc314578876"/>
      <w:bookmarkStart w:id="291" w:name="_Toc318449573"/>
    </w:p>
    <w:p>
      <w:pPr>
        <w:pStyle w:val="84"/>
        <w:ind w:left="672"/>
        <w:rPr>
          <w:rFonts w:hint="default"/>
        </w:rPr>
      </w:pPr>
      <w:r>
        <w:rPr>
          <w:rFonts w:hint="eastAsia"/>
        </w:rPr>
        <w:t>ｱ</w:t>
      </w:r>
      <w:r>
        <w:rPr>
          <w:rFonts w:hint="default"/>
        </w:rPr>
        <w:t>)</w:t>
      </w:r>
      <w:r>
        <w:rPr>
          <w:rFonts w:hint="eastAsia"/>
        </w:rPr>
        <w:t>相談支援</w:t>
      </w:r>
      <w:bookmarkEnd w:id="289"/>
      <w:bookmarkEnd w:id="290"/>
      <w:r>
        <w:rPr>
          <w:rFonts w:hint="eastAsia"/>
        </w:rPr>
        <w:t>事業</w:t>
      </w:r>
      <w:bookmarkEnd w:id="291"/>
    </w:p>
    <w:p>
      <w:pPr>
        <w:pStyle w:val="84"/>
        <w:ind w:left="672"/>
        <w:rPr>
          <w:rFonts w:hint="default"/>
        </w:rPr>
      </w:pPr>
      <w:bookmarkStart w:id="292" w:name="_Toc318449574"/>
      <w:r>
        <w:rPr>
          <w:rFonts w:hint="eastAsia"/>
        </w:rPr>
        <w:t>ｱ</w:t>
      </w:r>
      <w:r>
        <w:rPr>
          <w:rFonts w:hint="eastAsia"/>
        </w:rPr>
        <w:t>)-1</w:t>
      </w:r>
      <w:bookmarkEnd w:id="292"/>
      <w:r>
        <w:rPr>
          <w:rFonts w:hint="eastAsia"/>
        </w:rPr>
        <w:t>障害者相談支援事業</w:t>
      </w:r>
    </w:p>
    <w:p>
      <w:pPr>
        <w:pStyle w:val="89"/>
        <w:ind w:left="897" w:leftChars="400" w:firstLine="214"/>
        <w:rPr>
          <w:rFonts w:hint="default"/>
          <w:spacing w:val="0"/>
        </w:rPr>
      </w:pPr>
      <w:r>
        <w:rPr>
          <w:rFonts w:hint="eastAsia"/>
          <w:spacing w:val="0"/>
        </w:rPr>
        <w:t>障がいのある方の自立した日常生活、社会生活上の相談・情報提供を行うほか、専門機関の紹介、権利擁護、ピアカウンセリング、自立支援協議会の運営等を行います。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89"/>
        <w:ind w:left="1009" w:leftChars="450" w:firstLine="214"/>
        <w:rPr>
          <w:rFonts w:hint="default"/>
          <w:spacing w:val="0"/>
        </w:rPr>
      </w:pPr>
      <w:r>
        <w:rPr>
          <w:rFonts w:hint="eastAsia"/>
          <w:spacing w:val="0"/>
        </w:rPr>
        <w:t>障がい者相談支援事業を委託し、障がい者等からのさまざまな相談に対し、必要な支援に努めています。今後も委託による事業実施を継続します。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93" w:name="障害児相談支援"/>
            <w:r>
              <w:rPr>
                <w:rFonts w:hint="eastAsia"/>
              </w:rPr>
              <w:t>実施箇所数</w:t>
            </w:r>
            <w:bookmarkEnd w:id="293"/>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line="240" w:lineRule="exact"/>
              <w:textAlignment w:val="center"/>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line="240" w:lineRule="exact"/>
              <w:textAlignment w:val="center"/>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89"/>
        <w:ind w:left="448" w:firstLine="210"/>
        <w:rPr>
          <w:rFonts w:hint="default"/>
        </w:rPr>
      </w:pPr>
    </w:p>
    <w:p>
      <w:pPr>
        <w:pStyle w:val="89"/>
        <w:ind w:left="448" w:firstLine="210"/>
        <w:rPr>
          <w:rFonts w:hint="default"/>
        </w:rPr>
      </w:pPr>
    </w:p>
    <w:p>
      <w:pPr>
        <w:pStyle w:val="84"/>
        <w:ind w:left="672"/>
        <w:rPr>
          <w:rFonts w:hint="default"/>
        </w:rPr>
      </w:pPr>
      <w:r>
        <w:rPr>
          <w:rFonts w:hint="eastAsia"/>
        </w:rPr>
        <w:t>ｱ</w:t>
      </w:r>
      <w:r>
        <w:rPr>
          <w:rFonts w:hint="eastAsia"/>
        </w:rPr>
        <w:t>)-2</w:t>
      </w:r>
      <w:r>
        <w:rPr>
          <w:rFonts w:hint="eastAsia"/>
        </w:rPr>
        <w:t>基幹相談支援センター等機能強化事業</w:t>
      </w:r>
    </w:p>
    <w:p>
      <w:pPr>
        <w:pStyle w:val="89"/>
        <w:ind w:left="897" w:leftChars="400" w:firstLine="214"/>
        <w:rPr>
          <w:rFonts w:hint="default"/>
          <w:spacing w:val="0"/>
        </w:rPr>
      </w:pPr>
      <w:r>
        <w:rPr>
          <w:rFonts w:hint="eastAsia"/>
          <w:spacing w:val="0"/>
        </w:rPr>
        <w:t>保健師、社会福祉士、精神保健福祉士等の専門職員を配置するとともに、障がい者等の多岐に及ぶ相談に応じるとともに関係機関等との連携を図ることにより、障がい者等が自立した日常生活又は社会生活を営むことができるよう支援して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89"/>
        <w:ind w:left="1009" w:leftChars="450" w:firstLine="214"/>
        <w:rPr>
          <w:rFonts w:hint="default"/>
          <w:spacing w:val="0"/>
        </w:rPr>
      </w:pPr>
      <w:r>
        <w:rPr>
          <w:rFonts w:hint="eastAsia"/>
          <w:spacing w:val="0"/>
        </w:rPr>
        <w:t>町役場保健福祉課に基幹相談支援センターを設置し、障がい者等からのさまざまな相談に対し、関係機関等とも連携を図りながら必要な支援に努めています。</w:t>
      </w:r>
    </w:p>
    <w:p>
      <w:pPr>
        <w:pStyle w:val="89"/>
        <w:ind w:left="1009" w:leftChars="450" w:firstLine="214"/>
        <w:rPr>
          <w:rFonts w:hint="default"/>
          <w:spacing w:val="0"/>
        </w:rPr>
      </w:pPr>
      <w:r>
        <w:rPr>
          <w:rFonts w:hint="eastAsia"/>
          <w:spacing w:val="0"/>
        </w:rPr>
        <w:t>利用者数は、令和５年度の利用者数を令和６年度以降も</w:t>
      </w:r>
      <w:r>
        <w:rPr>
          <w:rFonts w:hint="default"/>
          <w:spacing w:val="0"/>
        </w:rPr>
        <w:t>見込</w:t>
      </w:r>
      <w:r>
        <w:rPr>
          <w:rFonts w:hint="eastAsia"/>
          <w:spacing w:val="0"/>
        </w:rPr>
        <w:t>みます。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294" w:name="基幹相談支援センター等機能強化事業"/>
            <w:r>
              <w:rPr>
                <w:rFonts w:hint="eastAsia"/>
              </w:rPr>
              <w:t>実施箇所数</w:t>
            </w:r>
            <w:bookmarkEnd w:id="294"/>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line="240" w:lineRule="exact"/>
              <w:textAlignment w:val="center"/>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line="240" w:lineRule="exact"/>
              <w:textAlignment w:val="center"/>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r>
    </w:tbl>
    <w:p>
      <w:pPr>
        <w:pStyle w:val="0"/>
        <w:spacing w:line="160" w:lineRule="exact"/>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利用実人数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126</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132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138</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203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203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203</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209</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197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203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83</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65</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65</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89"/>
        <w:ind w:left="448" w:firstLine="210"/>
        <w:rPr>
          <w:rFonts w:hint="default"/>
        </w:rPr>
      </w:pPr>
    </w:p>
    <w:p>
      <w:pPr>
        <w:pStyle w:val="0"/>
        <w:rPr>
          <w:rFonts w:hint="default" w:ascii="ＭＳ ゴシック" w:hAnsi="ＭＳ ゴシック" w:eastAsia="ＭＳ ゴシック"/>
        </w:rPr>
      </w:pPr>
      <w:bookmarkStart w:id="295" w:name="_Toc318449576"/>
      <w:r>
        <w:rPr>
          <w:rFonts w:hint="default"/>
        </w:rPr>
        <w:br w:type="page"/>
      </w:r>
    </w:p>
    <w:p>
      <w:pPr>
        <w:pStyle w:val="84"/>
        <w:ind w:left="672"/>
        <w:rPr>
          <w:rFonts w:hint="default"/>
        </w:rPr>
      </w:pPr>
      <w:bookmarkEnd w:id="295"/>
      <w:bookmarkStart w:id="296" w:name="_Toc318449577"/>
      <w:r>
        <w:rPr>
          <w:rFonts w:hint="eastAsia"/>
        </w:rPr>
        <w:t>ｲ</w:t>
      </w:r>
      <w:r>
        <w:rPr>
          <w:rFonts w:hint="default"/>
        </w:rPr>
        <w:t>)</w:t>
      </w:r>
      <w:r>
        <w:rPr>
          <w:rFonts w:hint="eastAsia"/>
        </w:rPr>
        <w:t>成年後見制度利用支援事業</w:t>
      </w:r>
      <w:bookmarkEnd w:id="296"/>
    </w:p>
    <w:p>
      <w:pPr>
        <w:pStyle w:val="89"/>
        <w:spacing w:line="350" w:lineRule="exact"/>
        <w:ind w:left="897" w:leftChars="400" w:firstLine="214"/>
        <w:rPr>
          <w:rFonts w:hint="default"/>
          <w:spacing w:val="0"/>
        </w:rPr>
      </w:pPr>
      <w:bookmarkStart w:id="297" w:name="_Toc314505326"/>
      <w:bookmarkStart w:id="298" w:name="_Toc314578878"/>
      <w:r>
        <w:rPr>
          <w:rFonts w:hint="eastAsia"/>
          <w:spacing w:val="0"/>
        </w:rPr>
        <w:t>障害福祉サービスの利用の観点から成年後見制度を利用することが有用であると認められた知的障がい者や精神障がい者で、成年後見制度の申し立てに要する費用等及び後見人等の報酬等について、補助を受けなければ制度の利用が困難な者に対し、費用の全部又は一部を補助することにより障がい者の権利擁護を図ることを目的に実施しています。</w:t>
      </w:r>
    </w:p>
    <w:p>
      <w:pPr>
        <w:pStyle w:val="89"/>
        <w:ind w:leftChars="0" w:firstLine="642" w:firstLineChars="300"/>
        <w:rPr>
          <w:rFonts w:hint="default"/>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89"/>
        <w:spacing w:line="350" w:lineRule="exact"/>
        <w:ind w:left="1009" w:leftChars="450" w:firstLine="214"/>
        <w:rPr>
          <w:rFonts w:hint="default"/>
          <w:spacing w:val="0"/>
        </w:rPr>
      </w:pPr>
      <w:r>
        <w:rPr>
          <w:rFonts w:hint="eastAsia"/>
          <w:spacing w:val="0"/>
        </w:rPr>
        <w:t>今後も、障がい者の高齢化等により事業利用のニーズが出てくる可能性があります。そのため、令和５年度の助成見込に１人を加えた５人を令和６年度以降は見込みます。</w:t>
      </w:r>
    </w:p>
    <w:p>
      <w:pPr>
        <w:pStyle w:val="0"/>
        <w:spacing w:line="0" w:lineRule="atLeast"/>
        <w:ind w:left="438" w:firstLine="159"/>
        <w:rPr>
          <w:rFonts w:hint="default" w:asciiTheme="majorEastAsia" w:hAnsiTheme="majorEastAsia" w:eastAsiaTheme="majorEastAsia"/>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bookmarkStart w:id="299" w:name="成年後見制度利用支援事業"/>
            <w:r>
              <w:rPr>
                <w:rFonts w:hint="eastAsia"/>
              </w:rPr>
              <w:t>実利用人数</w:t>
            </w:r>
            <w:bookmarkEnd w:id="299"/>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5</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5</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5</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4</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89"/>
        <w:spacing w:line="300" w:lineRule="exact"/>
        <w:ind w:left="0" w:leftChars="0" w:firstLine="0" w:firstLineChars="0"/>
        <w:rPr>
          <w:rFonts w:hint="default" w:ascii="ＭＳ ゴシック" w:hAnsi="ＭＳ ゴシック" w:eastAsia="ＭＳ ゴシック"/>
        </w:rPr>
      </w:pPr>
    </w:p>
    <w:p>
      <w:pPr>
        <w:pStyle w:val="89"/>
        <w:spacing w:line="300" w:lineRule="exact"/>
        <w:ind w:left="0" w:leftChars="0" w:firstLine="0" w:firstLineChars="0"/>
        <w:rPr>
          <w:rFonts w:hint="default" w:ascii="ＭＳ ゴシック" w:hAnsi="ＭＳ ゴシック" w:eastAsia="ＭＳ ゴシック"/>
        </w:rPr>
      </w:pPr>
    </w:p>
    <w:p>
      <w:pPr>
        <w:pStyle w:val="84"/>
        <w:ind w:left="672"/>
        <w:rPr>
          <w:rFonts w:hint="default"/>
        </w:rPr>
      </w:pPr>
      <w:bookmarkStart w:id="300" w:name="_Toc318449578"/>
      <w:r>
        <w:rPr>
          <w:rFonts w:hint="eastAsia"/>
        </w:rPr>
        <w:t>ｳ</w:t>
      </w:r>
      <w:r>
        <w:rPr>
          <w:rFonts w:hint="default"/>
        </w:rPr>
        <w:t>)</w:t>
      </w:r>
      <w:r>
        <w:rPr>
          <w:rFonts w:hint="eastAsia"/>
        </w:rPr>
        <w:t>意思疎通支援事業</w:t>
      </w:r>
      <w:bookmarkEnd w:id="297"/>
      <w:bookmarkEnd w:id="298"/>
      <w:bookmarkEnd w:id="300"/>
    </w:p>
    <w:p>
      <w:pPr>
        <w:pStyle w:val="84"/>
        <w:ind w:left="672"/>
        <w:rPr>
          <w:rFonts w:hint="default"/>
        </w:rPr>
      </w:pPr>
      <w:r>
        <w:rPr>
          <w:rFonts w:hint="eastAsia"/>
        </w:rPr>
        <w:t>ｳ</w:t>
      </w:r>
      <w:r>
        <w:rPr>
          <w:rFonts w:hint="eastAsia"/>
        </w:rPr>
        <w:t>)-1</w:t>
      </w:r>
      <w:r>
        <w:rPr>
          <w:rFonts w:hint="eastAsia"/>
        </w:rPr>
        <w:t>手話通訳者・要約筆記奉仕員派遣事業</w:t>
      </w:r>
    </w:p>
    <w:p>
      <w:pPr>
        <w:pStyle w:val="89"/>
        <w:spacing w:line="350" w:lineRule="exact"/>
        <w:ind w:left="897" w:leftChars="400" w:firstLine="214"/>
        <w:rPr>
          <w:rFonts w:hint="default"/>
          <w:spacing w:val="0"/>
        </w:rPr>
      </w:pPr>
      <w:r>
        <w:rPr>
          <w:rFonts w:hint="eastAsia"/>
          <w:spacing w:val="0"/>
        </w:rPr>
        <w:t>「手話通訳者の派遣」、「要約筆記奉仕員の派遣」等を行う事業です。本町に登録された手話通訳者・要約筆記者を、障がい者からの依頼により派遣しています。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89"/>
        <w:spacing w:line="350" w:lineRule="exact"/>
        <w:ind w:left="1009" w:leftChars="450" w:firstLine="214"/>
        <w:rPr>
          <w:rFonts w:hint="default"/>
          <w:spacing w:val="0"/>
        </w:rPr>
      </w:pPr>
      <w:r>
        <w:rPr>
          <w:rFonts w:hint="eastAsia"/>
          <w:spacing w:val="0"/>
        </w:rPr>
        <w:t>利用者は固定化しているため、令和４年度の利用者が継続して利用すると見込みます。</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02"/>
        <w:gridCol w:w="29"/>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bookmarkStart w:id="301" w:name="意思疎通支援事業"/>
            <w:bookmarkStart w:id="302" w:name="手話通訳者・要約筆記者派遣事業"/>
            <w:r>
              <w:rPr>
                <w:rFonts w:hint="eastAsia"/>
              </w:rPr>
              <w:t>実利用件数</w:t>
            </w:r>
            <w:bookmarkEnd w:id="301"/>
            <w:bookmarkEnd w:id="302"/>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3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件</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9</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9</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9</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11</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11</w:t>
            </w:r>
          </w:p>
        </w:tc>
        <w:tc>
          <w:tcPr>
            <w:tcW w:w="113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11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件</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9</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11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11</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2</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2</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top"/>
          </w:tcPr>
          <w:p>
            <w:pPr>
              <w:pStyle w:val="88"/>
              <w:spacing w:before="5" w:beforeLines="0" w:beforeAutospacing="0" w:after="5" w:afterLines="0" w:afterAutospacing="0"/>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31" w:type="dxa"/>
            <w:gridSpan w:val="2"/>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r>
      <w:tr>
        <w:trPr>
          <w:gridAfter w:val="1"/>
          <w:wAfter w:w="29" w:type="dxa"/>
        </w:trPr>
        <w:tc>
          <w:tcPr>
            <w:tcW w:w="9030" w:type="dxa"/>
            <w:gridSpan w:val="8"/>
            <w:tcBorders>
              <w:top w:val="single" w:color="auto" w:sz="8"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89"/>
        <w:spacing w:line="300" w:lineRule="exact"/>
        <w:ind w:left="0" w:leftChars="0" w:firstLine="0" w:firstLineChars="0"/>
        <w:rPr>
          <w:rFonts w:hint="default" w:ascii="ＭＳ ゴシック" w:hAnsi="ＭＳ ゴシック" w:eastAsia="ＭＳ ゴシック"/>
        </w:rPr>
      </w:pPr>
    </w:p>
    <w:p>
      <w:pPr>
        <w:pStyle w:val="89"/>
        <w:spacing w:line="300" w:lineRule="exact"/>
        <w:ind w:left="0" w:leftChars="0" w:firstLine="0" w:firstLineChars="0"/>
        <w:rPr>
          <w:rFonts w:hint="default" w:ascii="ＭＳ ゴシック" w:hAnsi="ＭＳ ゴシック" w:eastAsia="ＭＳ ゴシック"/>
        </w:rPr>
      </w:pPr>
    </w:p>
    <w:p>
      <w:pPr>
        <w:pStyle w:val="84"/>
        <w:ind w:left="672"/>
        <w:rPr>
          <w:rFonts w:hint="default"/>
        </w:rPr>
      </w:pPr>
      <w:bookmarkStart w:id="303" w:name="_Toc318449581"/>
      <w:r>
        <w:rPr>
          <w:rFonts w:hint="eastAsia"/>
        </w:rPr>
        <w:t>ｳ</w:t>
      </w:r>
      <w:r>
        <w:rPr>
          <w:rFonts w:hint="default"/>
        </w:rPr>
        <w:t>)</w:t>
      </w:r>
      <w:r>
        <w:rPr>
          <w:rFonts w:hint="eastAsia"/>
        </w:rPr>
        <w:t>-</w:t>
      </w:r>
      <w:r>
        <w:rPr>
          <w:rFonts w:hint="default"/>
        </w:rPr>
        <w:t>2</w:t>
      </w:r>
      <w:r>
        <w:rPr>
          <w:rFonts w:hint="eastAsia"/>
        </w:rPr>
        <w:t>手話通訳者設置事業</w:t>
      </w:r>
      <w:bookmarkEnd w:id="303"/>
    </w:p>
    <w:p>
      <w:pPr>
        <w:pStyle w:val="89"/>
        <w:spacing w:line="350" w:lineRule="exact"/>
        <w:ind w:left="897" w:leftChars="400" w:firstLine="214"/>
        <w:rPr>
          <w:rFonts w:hint="default"/>
          <w:spacing w:val="0"/>
        </w:rPr>
      </w:pPr>
      <w:bookmarkStart w:id="304" w:name="_Toc314505327"/>
      <w:bookmarkStart w:id="305" w:name="_Toc314578879"/>
      <w:r>
        <w:rPr>
          <w:rFonts w:hint="eastAsia"/>
          <w:spacing w:val="0"/>
        </w:rPr>
        <w:t>町役場保健福祉課に聴覚障がい者等のコミュニケーションの円滑化を推進するため、手話通訳者を</w:t>
      </w:r>
      <w:r>
        <w:rPr>
          <w:rFonts w:hint="eastAsia"/>
          <w:spacing w:val="0"/>
        </w:rPr>
        <w:t>1</w:t>
      </w:r>
      <w:r>
        <w:rPr>
          <w:rFonts w:hint="eastAsia"/>
          <w:spacing w:val="0"/>
        </w:rPr>
        <w:t>人設置しています。また、設置手話通訳者は、手話通訳者派遣の際のコーディネートも行っています。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89"/>
        <w:spacing w:line="350" w:lineRule="exact"/>
        <w:ind w:left="897" w:leftChars="400" w:firstLine="214"/>
        <w:rPr>
          <w:rFonts w:hint="default"/>
          <w:spacing w:val="0"/>
        </w:rPr>
      </w:pPr>
      <w:r>
        <w:rPr>
          <w:rFonts w:hint="eastAsia"/>
          <w:spacing w:val="0"/>
        </w:rPr>
        <w:t>現行の取組体制</w:t>
      </w:r>
      <w:r>
        <w:rPr>
          <w:rFonts w:hint="default"/>
          <w:spacing w:val="0"/>
        </w:rPr>
        <w:t>(</w:t>
      </w:r>
      <w:r>
        <w:rPr>
          <w:rFonts w:hint="default"/>
          <w:spacing w:val="0"/>
        </w:rPr>
        <w:t>設置</w:t>
      </w:r>
      <w:r>
        <w:rPr>
          <w:rFonts w:hint="default"/>
          <w:spacing w:val="0"/>
        </w:rPr>
        <w:t>1</w:t>
      </w:r>
      <w:r>
        <w:rPr>
          <w:rFonts w:hint="default"/>
          <w:spacing w:val="0"/>
        </w:rPr>
        <w:t>名を</w:t>
      </w:r>
      <w:r>
        <w:rPr>
          <w:rFonts w:hint="eastAsia"/>
          <w:spacing w:val="0"/>
        </w:rPr>
        <w:t>町役場</w:t>
      </w:r>
      <w:r>
        <w:rPr>
          <w:rFonts w:hint="default"/>
          <w:spacing w:val="0"/>
        </w:rPr>
        <w:t>に配置</w:t>
      </w:r>
      <w:r>
        <w:rPr>
          <w:rFonts w:hint="default"/>
          <w:spacing w:val="0"/>
        </w:rPr>
        <w:t>)</w:t>
      </w:r>
      <w:r>
        <w:rPr>
          <w:rFonts w:hint="default"/>
          <w:spacing w:val="0"/>
        </w:rPr>
        <w:t>を継続実施</w:t>
      </w:r>
      <w:r>
        <w:rPr>
          <w:rFonts w:hint="eastAsia"/>
          <w:spacing w:val="0"/>
        </w:rPr>
        <w:t>します。</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306" w:name="手話通訳者設置事業"/>
            <w:r>
              <w:rPr>
                <w:rFonts w:hint="eastAsia"/>
              </w:rPr>
              <w:t>実施箇所数</w:t>
            </w:r>
            <w:bookmarkEnd w:id="306"/>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84"/>
        <w:ind w:left="672"/>
        <w:rPr>
          <w:rFonts w:hint="default"/>
        </w:rPr>
      </w:pPr>
      <w:bookmarkStart w:id="307" w:name="_Toc318449582"/>
      <w:r>
        <w:rPr>
          <w:rFonts w:hint="eastAsia"/>
        </w:rPr>
        <w:t>ｴ</w:t>
      </w:r>
      <w:r>
        <w:rPr>
          <w:rFonts w:hint="eastAsia"/>
        </w:rPr>
        <w:t>)</w:t>
      </w:r>
      <w:r>
        <w:rPr>
          <w:rFonts w:hint="eastAsia"/>
        </w:rPr>
        <w:t>日常生活用具給付事業</w:t>
      </w:r>
      <w:bookmarkEnd w:id="304"/>
      <w:bookmarkEnd w:id="305"/>
      <w:bookmarkEnd w:id="307"/>
    </w:p>
    <w:p>
      <w:pPr>
        <w:pStyle w:val="89"/>
        <w:ind w:left="897" w:leftChars="400" w:firstLine="214"/>
        <w:rPr>
          <w:rFonts w:hint="default"/>
          <w:spacing w:val="0"/>
        </w:rPr>
      </w:pPr>
      <w:r>
        <w:rPr>
          <w:rFonts w:hint="eastAsia"/>
          <w:spacing w:val="0"/>
        </w:rPr>
        <w:t>日常生活を営む上での便宜を図るため、重度障がい者等に対し、自立生活支援用具等の給付を行います。これまで実施してきた事業を踏まえながら、サービス提供を実施します。また、障がい者の希望に対応した用具が提供できるよう、ニーズ把握に努めます。</w:t>
      </w:r>
    </w:p>
    <w:p>
      <w:pPr>
        <w:pStyle w:val="89"/>
        <w:ind w:left="897" w:leftChars="400" w:firstLine="214"/>
        <w:rPr>
          <w:rFonts w:hint="default"/>
          <w:spacing w:val="0"/>
        </w:rPr>
      </w:pPr>
      <w:r>
        <w:rPr>
          <w:rFonts w:hint="eastAsia"/>
          <w:spacing w:val="0"/>
        </w:rPr>
        <w:t>日常生活用具給付事業の用具の種類は、以下の６つに分類されます。</w:t>
      </w:r>
    </w:p>
    <w:p>
      <w:pPr>
        <w:pStyle w:val="89"/>
        <w:tabs>
          <w:tab w:val="left" w:leader="none" w:pos="1145"/>
        </w:tabs>
        <w:spacing w:line="0" w:lineRule="atLeast"/>
        <w:ind w:left="448" w:firstLine="164"/>
        <w:rPr>
          <w:rFonts w:hint="default"/>
          <w:spacing w:val="0"/>
          <w:sz w:val="16"/>
        </w:rPr>
      </w:pPr>
    </w:p>
    <w:tbl>
      <w:tblPr>
        <w:tblStyle w:val="11"/>
        <w:tblW w:w="8924"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4114"/>
        <w:gridCol w:w="4810"/>
      </w:tblGrid>
      <w:tr>
        <w:trPr/>
        <w:tc>
          <w:tcPr>
            <w:tcW w:w="4114" w:type="dxa"/>
            <w:vAlign w:val="top"/>
          </w:tcPr>
          <w:p>
            <w:pPr>
              <w:pStyle w:val="0"/>
              <w:jc w:val="center"/>
              <w:rPr>
                <w:rFonts w:hint="default" w:asciiTheme="minorEastAsia" w:hAnsiTheme="minorEastAsia" w:eastAsiaTheme="minorEastAsia"/>
              </w:rPr>
            </w:pPr>
            <w:r>
              <w:rPr>
                <w:rFonts w:hint="eastAsia" w:asciiTheme="minorEastAsia" w:hAnsiTheme="minorEastAsia" w:eastAsiaTheme="minorEastAsia"/>
              </w:rPr>
              <w:t>種　　類</w:t>
            </w:r>
          </w:p>
        </w:tc>
        <w:tc>
          <w:tcPr>
            <w:tcW w:w="4810" w:type="dxa"/>
            <w:vAlign w:val="top"/>
          </w:tcPr>
          <w:p>
            <w:pPr>
              <w:pStyle w:val="0"/>
              <w:jc w:val="center"/>
              <w:rPr>
                <w:rFonts w:hint="default" w:asciiTheme="minorEastAsia" w:hAnsiTheme="minorEastAsia" w:eastAsiaTheme="minorEastAsia"/>
              </w:rPr>
            </w:pPr>
            <w:r>
              <w:rPr>
                <w:rFonts w:hint="eastAsia" w:asciiTheme="minorEastAsia" w:hAnsiTheme="minorEastAsia" w:eastAsiaTheme="minorEastAsia"/>
              </w:rPr>
              <w:t>内　　容</w:t>
            </w:r>
          </w:p>
        </w:tc>
      </w:tr>
      <w:tr>
        <w:trPr/>
        <w:tc>
          <w:tcPr>
            <w:tcW w:w="4114"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①介護・訓練支援用具</w:t>
            </w:r>
          </w:p>
        </w:tc>
        <w:tc>
          <w:tcPr>
            <w:tcW w:w="4810"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特殊寝台、特殊マット、体位変換器等</w:t>
            </w:r>
          </w:p>
        </w:tc>
      </w:tr>
      <w:tr>
        <w:trPr/>
        <w:tc>
          <w:tcPr>
            <w:tcW w:w="4114"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②自立生活支援用具</w:t>
            </w:r>
          </w:p>
        </w:tc>
        <w:tc>
          <w:tcPr>
            <w:tcW w:w="4810"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入浴補助用具、聴覚障害者用屋内信号装置等</w:t>
            </w:r>
          </w:p>
        </w:tc>
      </w:tr>
      <w:tr>
        <w:trPr/>
        <w:tc>
          <w:tcPr>
            <w:tcW w:w="4114"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③在宅療養等支援用具</w:t>
            </w:r>
          </w:p>
        </w:tc>
        <w:tc>
          <w:tcPr>
            <w:tcW w:w="4810"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電気式たん吸引器、盲人用体温計等</w:t>
            </w:r>
          </w:p>
        </w:tc>
      </w:tr>
      <w:tr>
        <w:trPr/>
        <w:tc>
          <w:tcPr>
            <w:tcW w:w="4114"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④情報・意思疎通支援用具</w:t>
            </w:r>
          </w:p>
        </w:tc>
        <w:tc>
          <w:tcPr>
            <w:tcW w:w="4810"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点字器、人工喉頭等</w:t>
            </w:r>
          </w:p>
        </w:tc>
      </w:tr>
      <w:tr>
        <w:trPr/>
        <w:tc>
          <w:tcPr>
            <w:tcW w:w="4114"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⑤排泄管理支援用具</w:t>
            </w:r>
          </w:p>
        </w:tc>
        <w:tc>
          <w:tcPr>
            <w:tcW w:w="4810"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ストマ用装具、紙おむつ等</w:t>
            </w:r>
          </w:p>
        </w:tc>
      </w:tr>
      <w:tr>
        <w:trPr/>
        <w:tc>
          <w:tcPr>
            <w:tcW w:w="4114"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⑥居住生活動作補助用具</w:t>
            </w:r>
            <w:r>
              <w:rPr>
                <w:rFonts w:hint="eastAsia" w:asciiTheme="minorEastAsia" w:hAnsiTheme="minorEastAsia" w:eastAsiaTheme="minorEastAsia"/>
              </w:rPr>
              <w:t>(</w:t>
            </w:r>
            <w:r>
              <w:rPr>
                <w:rFonts w:hint="eastAsia" w:asciiTheme="minorEastAsia" w:hAnsiTheme="minorEastAsia" w:eastAsiaTheme="minorEastAsia"/>
              </w:rPr>
              <w:t>住宅改修費</w:t>
            </w:r>
            <w:r>
              <w:rPr>
                <w:rFonts w:hint="eastAsia" w:asciiTheme="minorEastAsia" w:hAnsiTheme="minorEastAsia" w:eastAsiaTheme="minorEastAsia"/>
              </w:rPr>
              <w:t>)</w:t>
            </w:r>
          </w:p>
        </w:tc>
        <w:tc>
          <w:tcPr>
            <w:tcW w:w="4810"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設置に小規模な住宅改修を伴う用具</w:t>
            </w:r>
          </w:p>
        </w:tc>
      </w:tr>
    </w:tbl>
    <w:p>
      <w:pPr>
        <w:pStyle w:val="89"/>
        <w:spacing w:line="260" w:lineRule="exact"/>
        <w:ind w:left="448" w:firstLine="210"/>
        <w:rPr>
          <w:rFonts w:hint="default"/>
        </w:rPr>
      </w:pPr>
    </w:p>
    <w:p>
      <w:pPr>
        <w:pStyle w:val="89"/>
        <w:spacing w:line="260" w:lineRule="exact"/>
        <w:ind w:left="448" w:firstLine="210"/>
        <w:rPr>
          <w:rFonts w:hint="default"/>
        </w:rPr>
      </w:pPr>
    </w:p>
    <w:p>
      <w:pPr>
        <w:pStyle w:val="0"/>
        <w:ind w:left="672" w:leftChars="300"/>
        <w:rPr>
          <w:rFonts w:hint="default" w:asciiTheme="majorEastAsia" w:hAnsiTheme="majorEastAsia" w:eastAsiaTheme="majorEastAsia"/>
        </w:rPr>
      </w:pPr>
      <w:r>
        <w:rPr>
          <w:rFonts w:hint="eastAsia" w:asciiTheme="majorEastAsia" w:hAnsiTheme="majorEastAsia" w:eastAsiaTheme="majorEastAsia"/>
        </w:rPr>
        <w:t>日常生活用具給付事業</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308" w:name="日常生活用具給付事業"/>
            <w:bookmarkStart w:id="309" w:name="日常生活用具給付等事業"/>
            <w:r>
              <w:rPr>
                <w:rFonts w:hint="eastAsia"/>
              </w:rPr>
              <w:t>実利用人数</w:t>
            </w:r>
            <w:bookmarkEnd w:id="308"/>
            <w:bookmarkEnd w:id="309"/>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542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542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542</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555</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555</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555</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587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540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554</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45</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2</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12</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jc w:val="both"/>
              <w:rPr>
                <w:rFonts w:hint="default"/>
              </w:rPr>
            </w:pPr>
            <w:r>
              <w:rPr>
                <w:rFonts w:hint="eastAsia"/>
                <w:w w:val="95"/>
              </w:rPr>
              <w:t>※日常生活用具給付事業は、「①介護・訓練支援用具」､「②自立生活支援用具」､</w:t>
            </w:r>
            <w:r>
              <w:rPr>
                <w:rFonts w:hint="default"/>
                <w:w w:val="95"/>
              </w:rPr>
              <w:br w:type="textWrapping" w:clear="none"/>
            </w:r>
            <w:r>
              <w:rPr>
                <w:rFonts w:hint="eastAsia"/>
                <w:w w:val="95"/>
              </w:rPr>
              <w:t>　　　　　　　　　　　　　「③在宅療養等支援用具」､「④情報・意思疎通支援用具」､</w:t>
            </w:r>
            <w:r>
              <w:rPr>
                <w:rFonts w:hint="default"/>
                <w:w w:val="95"/>
              </w:rPr>
              <w:br w:type="textWrapping" w:clear="none"/>
            </w:r>
            <w:r>
              <w:rPr>
                <w:rFonts w:hint="eastAsia"/>
                <w:w w:val="95"/>
              </w:rPr>
              <w:t>　　　　　　　　　　　　　「⑤排泄管理支援用具」､「⑥居住生活動作補助用具</w:t>
            </w:r>
            <w:r>
              <w:rPr>
                <w:rFonts w:hint="default"/>
                <w:w w:val="95"/>
              </w:rPr>
              <w:t>(</w:t>
            </w:r>
            <w:r>
              <w:rPr>
                <w:rFonts w:hint="default"/>
                <w:w w:val="95"/>
              </w:rPr>
              <w:t>住宅改修費</w:t>
            </w:r>
            <w:r>
              <w:rPr>
                <w:rFonts w:hint="default"/>
                <w:w w:val="95"/>
              </w:rPr>
              <w:t>)</w:t>
            </w:r>
            <w:r>
              <w:rPr>
                <w:rFonts w:hint="eastAsia"/>
                <w:w w:val="95"/>
              </w:rPr>
              <w:t>」の合算。</w:t>
            </w:r>
          </w:p>
        </w:tc>
      </w:tr>
    </w:tbl>
    <w:p>
      <w:pPr>
        <w:pStyle w:val="89"/>
        <w:ind w:left="448" w:firstLine="210"/>
        <w:rPr>
          <w:rFonts w:hint="default"/>
        </w:rPr>
      </w:pPr>
    </w:p>
    <w:p>
      <w:pPr>
        <w:pStyle w:val="89"/>
        <w:ind w:left="448" w:firstLine="210"/>
        <w:rPr>
          <w:rFonts w:hint="default"/>
        </w:rPr>
      </w:pPr>
    </w:p>
    <w:p>
      <w:pPr>
        <w:pStyle w:val="84"/>
        <w:ind w:left="672"/>
        <w:rPr>
          <w:rFonts w:hint="default"/>
        </w:rPr>
      </w:pPr>
      <w:r>
        <w:rPr>
          <w:rFonts w:hint="eastAsia"/>
        </w:rPr>
        <w:t>ｴ</w:t>
      </w:r>
      <w:r>
        <w:rPr>
          <w:rFonts w:hint="eastAsia"/>
        </w:rPr>
        <w:t>)-1</w:t>
      </w:r>
      <w:r>
        <w:rPr>
          <w:rFonts w:hint="eastAsia"/>
        </w:rPr>
        <w:t>介護・訓練支援用具</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310" w:name="介護・訓練支援用具"/>
            <w:r>
              <w:rPr>
                <w:rFonts w:hint="eastAsia"/>
              </w:rPr>
              <w:t>実利用人数</w:t>
            </w:r>
            <w:bookmarkEnd w:id="310"/>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89"/>
        <w:ind w:left="448" w:firstLine="210"/>
        <w:rPr>
          <w:rFonts w:hint="default"/>
        </w:rPr>
      </w:pPr>
    </w:p>
    <w:p>
      <w:pPr>
        <w:pStyle w:val="84"/>
        <w:ind w:left="672"/>
        <w:rPr>
          <w:rFonts w:hint="default"/>
        </w:rPr>
      </w:pPr>
      <w:r>
        <w:rPr>
          <w:rFonts w:hint="eastAsia"/>
        </w:rPr>
        <w:t>ｴ</w:t>
      </w:r>
      <w:r>
        <w:rPr>
          <w:rFonts w:hint="eastAsia"/>
        </w:rPr>
        <w:t>)-2</w:t>
      </w:r>
      <w:r>
        <w:rPr>
          <w:rFonts w:hint="eastAsia"/>
        </w:rPr>
        <w:t>自立生活支援用具</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311" w:name="自立生活支援用具"/>
            <w:r>
              <w:rPr>
                <w:rFonts w:hint="eastAsia"/>
              </w:rPr>
              <w:t>実利用人数</w:t>
            </w:r>
            <w:bookmarkEnd w:id="311"/>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8</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6</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6</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6</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3</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2</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89"/>
        <w:ind w:left="448" w:firstLine="210"/>
        <w:rPr>
          <w:rFonts w:hint="default"/>
        </w:rPr>
      </w:pPr>
    </w:p>
    <w:p>
      <w:pPr>
        <w:pStyle w:val="0"/>
        <w:widowControl w:val="1"/>
        <w:spacing w:after="160" w:afterLines="0" w:afterAutospacing="0" w:line="259" w:lineRule="auto"/>
        <w:jc w:val="left"/>
        <w:rPr>
          <w:rFonts w:hint="default" w:ascii="ＭＳ ゴシック" w:hAnsi="ＭＳ ゴシック" w:eastAsia="ＭＳ ゴシック"/>
        </w:rPr>
      </w:pPr>
      <w:r>
        <w:rPr>
          <w:rFonts w:hint="default"/>
        </w:rPr>
        <w:br w:type="page"/>
      </w:r>
    </w:p>
    <w:p>
      <w:pPr>
        <w:pStyle w:val="84"/>
        <w:ind w:left="672"/>
        <w:rPr>
          <w:rFonts w:hint="default"/>
        </w:rPr>
      </w:pPr>
      <w:r>
        <w:rPr>
          <w:rFonts w:hint="eastAsia"/>
        </w:rPr>
        <w:t>ｴ</w:t>
      </w:r>
      <w:r>
        <w:rPr>
          <w:rFonts w:hint="eastAsia"/>
        </w:rPr>
        <w:t>)-3</w:t>
      </w:r>
      <w:r>
        <w:rPr>
          <w:rFonts w:hint="eastAsia"/>
        </w:rPr>
        <w:t>在宅療養等支援用具</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312" w:name="在宅療養等支援用具"/>
            <w:r>
              <w:rPr>
                <w:rFonts w:hint="eastAsia"/>
              </w:rPr>
              <w:t>実利用人数</w:t>
            </w:r>
            <w:bookmarkEnd w:id="312"/>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8</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12</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4</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89"/>
        <w:ind w:left="448" w:firstLine="210"/>
        <w:rPr>
          <w:rFonts w:hint="default"/>
        </w:rPr>
      </w:pPr>
    </w:p>
    <w:p>
      <w:pPr>
        <w:pStyle w:val="84"/>
        <w:ind w:left="672"/>
        <w:rPr>
          <w:rFonts w:hint="default"/>
        </w:rPr>
      </w:pPr>
      <w:r>
        <w:rPr>
          <w:rFonts w:hint="eastAsia"/>
        </w:rPr>
        <w:t>ｴ</w:t>
      </w:r>
      <w:r>
        <w:rPr>
          <w:rFonts w:hint="eastAsia"/>
        </w:rPr>
        <w:t>)-4</w:t>
      </w:r>
      <w:r>
        <w:rPr>
          <w:rFonts w:hint="eastAsia"/>
        </w:rPr>
        <w:t>情報・意思疎通支援用具</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313" w:name="情報・意志疎通支援用具"/>
            <w:r>
              <w:rPr>
                <w:rFonts w:hint="eastAsia"/>
              </w:rPr>
              <w:t>実利用人数</w:t>
            </w:r>
            <w:bookmarkEnd w:id="313"/>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14</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14</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12</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4</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2</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89"/>
        <w:ind w:left="448" w:firstLine="210"/>
        <w:rPr>
          <w:rFonts w:hint="default"/>
        </w:rPr>
      </w:pPr>
    </w:p>
    <w:p>
      <w:pPr>
        <w:pStyle w:val="84"/>
        <w:ind w:left="672"/>
        <w:rPr>
          <w:rFonts w:hint="default"/>
        </w:rPr>
      </w:pPr>
      <w:r>
        <w:rPr>
          <w:rFonts w:hint="eastAsia"/>
        </w:rPr>
        <w:t>ｴ</w:t>
      </w:r>
      <w:r>
        <w:rPr>
          <w:rFonts w:hint="eastAsia"/>
        </w:rPr>
        <w:t>)-5</w:t>
      </w:r>
      <w:r>
        <w:rPr>
          <w:rFonts w:hint="eastAsia"/>
        </w:rPr>
        <w:t>排泄管理支援用具</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314" w:name="排泄管理支援用具"/>
            <w:r>
              <w:rPr>
                <w:rFonts w:hint="eastAsia"/>
              </w:rPr>
              <w:t>実利用人数</w:t>
            </w:r>
            <w:bookmarkEnd w:id="314"/>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508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508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508</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520</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520</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520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549</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507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520</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12</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89"/>
        <w:ind w:left="448" w:firstLine="210"/>
        <w:rPr>
          <w:rFonts w:hint="default"/>
        </w:rPr>
      </w:pPr>
    </w:p>
    <w:p>
      <w:pPr>
        <w:pStyle w:val="84"/>
        <w:ind w:left="672"/>
        <w:rPr>
          <w:rFonts w:hint="default"/>
        </w:rPr>
      </w:pPr>
      <w:r>
        <w:rPr>
          <w:rFonts w:hint="eastAsia"/>
        </w:rPr>
        <w:t>ｴ</w:t>
      </w:r>
      <w:r>
        <w:rPr>
          <w:rFonts w:hint="eastAsia"/>
        </w:rPr>
        <w:t>)-6</w:t>
      </w:r>
      <w:r>
        <w:rPr>
          <w:rFonts w:hint="eastAsia"/>
        </w:rPr>
        <w:t>居住生活動作補助用具</w:t>
      </w:r>
      <w:r>
        <w:rPr>
          <w:rFonts w:hint="eastAsia"/>
        </w:rPr>
        <w:t>(</w:t>
      </w:r>
      <w:r>
        <w:rPr>
          <w:rFonts w:hint="eastAsia"/>
        </w:rPr>
        <w:t>住宅改修費</w:t>
      </w:r>
      <w:r>
        <w:rPr>
          <w:rFonts w:hint="eastAsia"/>
        </w:rPr>
        <w:t>)</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315" w:name="居宅生活動作補助用具（住宅改修費）"/>
            <w:r>
              <w:rPr>
                <w:rFonts w:hint="eastAsia"/>
              </w:rPr>
              <w:t>実利用人数</w:t>
            </w:r>
            <w:bookmarkEnd w:id="315"/>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89"/>
        <w:ind w:left="448" w:firstLine="210"/>
        <w:rPr>
          <w:rFonts w:hint="default"/>
        </w:rPr>
      </w:pPr>
    </w:p>
    <w:p>
      <w:pPr>
        <w:pStyle w:val="89"/>
        <w:ind w:left="448" w:firstLine="210"/>
        <w:rPr>
          <w:rFonts w:hint="default"/>
        </w:rPr>
      </w:pPr>
      <w:r>
        <w:rPr>
          <w:rFonts w:hint="default"/>
        </w:rPr>
        <w:br w:type="page"/>
      </w:r>
    </w:p>
    <w:p>
      <w:pPr>
        <w:pStyle w:val="84"/>
        <w:ind w:left="672"/>
        <w:rPr>
          <w:rFonts w:hint="default"/>
        </w:rPr>
      </w:pPr>
      <w:bookmarkStart w:id="316" w:name="_Toc314505328"/>
      <w:bookmarkStart w:id="317" w:name="_Toc314578880"/>
      <w:bookmarkStart w:id="318" w:name="_Toc318449583"/>
      <w:r>
        <w:rPr>
          <w:rFonts w:hint="eastAsia"/>
        </w:rPr>
        <w:t>ｵ</w:t>
      </w:r>
      <w:r>
        <w:rPr>
          <w:rFonts w:hint="default"/>
        </w:rPr>
        <w:t>)</w:t>
      </w:r>
      <w:r>
        <w:rPr>
          <w:rFonts w:hint="eastAsia"/>
        </w:rPr>
        <w:t>手話奉仕員養成研修事業</w:t>
      </w:r>
    </w:p>
    <w:p>
      <w:pPr>
        <w:pStyle w:val="89"/>
        <w:ind w:left="897" w:leftChars="400" w:firstLine="214"/>
        <w:rPr>
          <w:rFonts w:hint="default"/>
          <w:spacing w:val="0"/>
        </w:rPr>
      </w:pPr>
      <w:r>
        <w:rPr>
          <w:rFonts w:hint="eastAsia"/>
          <w:spacing w:val="0"/>
        </w:rPr>
        <w:t>聴覚障がい者等の意思疎通支援による社会参加促進及び情報提供の充実を図るために、手話奉仕員としての技術と知識を有する人材を養成する手話奉仕員養成講座を近隣市町と合同で実施しています。</w:t>
      </w:r>
    </w:p>
    <w:p>
      <w:pPr>
        <w:pStyle w:val="89"/>
        <w:spacing w:before="70" w:beforeLines="20" w:beforeAutospacing="0"/>
        <w:ind w:left="784" w:leftChars="350" w:firstLine="0" w:firstLineChars="0"/>
        <w:rPr>
          <w:rFonts w:hint="default"/>
          <w:spacing w:val="0"/>
        </w:rPr>
      </w:pPr>
      <w:r>
        <w:rPr>
          <w:rFonts w:hint="default" w:ascii="ＭＳ ゴシック" w:hAnsi="ＭＳ ゴシック"/>
          <w:spacing w:val="0"/>
        </w:rPr>
        <w:t>【</w:t>
      </w:r>
      <w:r>
        <w:rPr>
          <w:rFonts w:hint="eastAsia"/>
          <w:spacing w:val="0"/>
        </w:rPr>
        <w:t>実施に関する考え方】</w:t>
      </w:r>
    </w:p>
    <w:p>
      <w:pPr>
        <w:pStyle w:val="89"/>
        <w:ind w:left="897" w:leftChars="400" w:firstLine="214"/>
        <w:rPr>
          <w:rFonts w:hint="default"/>
          <w:spacing w:val="0"/>
        </w:rPr>
      </w:pPr>
      <w:r>
        <w:rPr>
          <w:rFonts w:hint="eastAsia"/>
          <w:spacing w:val="0"/>
        </w:rPr>
        <w:t>手話奉仕員養成講座の期間は、令和４年度より入門編、基礎編に分けて２年間かけて実施しています。</w:t>
      </w:r>
      <w:r>
        <w:rPr>
          <w:rFonts w:hint="default"/>
          <w:spacing w:val="0"/>
        </w:rPr>
        <w:t>令和３年度は養成講座中止のため</w:t>
      </w:r>
      <w:r>
        <w:rPr>
          <w:rFonts w:hint="default"/>
          <w:spacing w:val="0"/>
        </w:rPr>
        <w:t>0</w:t>
      </w:r>
      <w:r>
        <w:rPr>
          <w:rFonts w:hint="eastAsia"/>
          <w:spacing w:val="0"/>
        </w:rPr>
        <w:t>。</w:t>
      </w:r>
      <w:r>
        <w:rPr>
          <w:rFonts w:hint="default"/>
          <w:spacing w:val="0"/>
        </w:rPr>
        <w:t>令和４</w:t>
      </w:r>
      <w:r>
        <w:rPr>
          <w:rFonts w:hint="eastAsia"/>
          <w:spacing w:val="0"/>
        </w:rPr>
        <w:t>年</w:t>
      </w:r>
      <w:r>
        <w:rPr>
          <w:rFonts w:hint="default"/>
          <w:spacing w:val="0"/>
        </w:rPr>
        <w:t>度は入門編のため</w:t>
      </w:r>
      <w:r>
        <w:rPr>
          <w:rFonts w:hint="eastAsia"/>
          <w:spacing w:val="0"/>
        </w:rPr>
        <w:t>修了者は</w:t>
      </w:r>
      <w:r>
        <w:rPr>
          <w:rFonts w:hint="default"/>
          <w:spacing w:val="0"/>
        </w:rPr>
        <w:t>0</w:t>
      </w:r>
      <w:r>
        <w:rPr>
          <w:rFonts w:hint="eastAsia"/>
          <w:spacing w:val="0"/>
        </w:rPr>
        <w:t>人</w:t>
      </w:r>
      <w:r>
        <w:rPr>
          <w:rFonts w:hint="default"/>
          <w:spacing w:val="0"/>
        </w:rPr>
        <w:t>、令和５</w:t>
      </w:r>
      <w:r>
        <w:rPr>
          <w:rFonts w:hint="eastAsia"/>
          <w:spacing w:val="0"/>
        </w:rPr>
        <w:t>年</w:t>
      </w:r>
      <w:r>
        <w:rPr>
          <w:rFonts w:hint="default"/>
          <w:spacing w:val="0"/>
        </w:rPr>
        <w:t>度は基礎編受講生の</w:t>
      </w:r>
      <w:r>
        <w:rPr>
          <w:rFonts w:hint="eastAsia"/>
          <w:spacing w:val="0"/>
        </w:rPr>
        <w:t>人</w:t>
      </w:r>
      <w:r>
        <w:rPr>
          <w:rFonts w:hint="default"/>
          <w:spacing w:val="0"/>
        </w:rPr>
        <w:t>数</w:t>
      </w:r>
      <w:r>
        <w:rPr>
          <w:rFonts w:hint="eastAsia"/>
          <w:spacing w:val="0"/>
        </w:rPr>
        <w:t>５人。令和６年</w:t>
      </w:r>
      <w:r>
        <w:rPr>
          <w:rFonts w:hint="default"/>
          <w:spacing w:val="0"/>
        </w:rPr>
        <w:t>度以降は、令和４</w:t>
      </w:r>
      <w:r>
        <w:rPr>
          <w:rFonts w:hint="eastAsia"/>
          <w:spacing w:val="0"/>
        </w:rPr>
        <w:t>年度・５年度</w:t>
      </w:r>
      <w:r>
        <w:rPr>
          <w:rFonts w:hint="default"/>
          <w:spacing w:val="0"/>
        </w:rPr>
        <w:t>の実施状況を基に</w:t>
      </w:r>
      <w:r>
        <w:rPr>
          <w:rFonts w:hint="eastAsia"/>
          <w:spacing w:val="0"/>
        </w:rPr>
        <w:t>修了者</w:t>
      </w:r>
      <w:r>
        <w:rPr>
          <w:rFonts w:hint="default"/>
          <w:spacing w:val="0"/>
        </w:rPr>
        <w:t>を見込</w:t>
      </w:r>
      <w:r>
        <w:rPr>
          <w:rFonts w:hint="eastAsia"/>
          <w:spacing w:val="0"/>
        </w:rPr>
        <w:t>みました</w:t>
      </w:r>
      <w:r>
        <w:rPr>
          <w:rFonts w:hint="default"/>
          <w:spacing w:val="0"/>
        </w:rPr>
        <w:t>。</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02"/>
        <w:gridCol w:w="29"/>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12"/>
                <w:w w:val="85"/>
              </w:rPr>
            </w:pPr>
            <w:bookmarkStart w:id="319" w:name="手話奉仕員養成研修事業"/>
            <w:r>
              <w:rPr>
                <w:rFonts w:hint="eastAsia"/>
                <w:spacing w:val="-12"/>
                <w:w w:val="85"/>
              </w:rPr>
              <w:t>修了見込み者数</w:t>
            </w:r>
            <w:bookmarkEnd w:id="319"/>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3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w:t>
            </w:r>
          </w:p>
        </w:tc>
        <w:tc>
          <w:tcPr>
            <w:tcW w:w="113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r>
              <w:rPr>
                <w:rFonts w:hint="default"/>
              </w:rPr>
              <w:t>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6</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w w:val="98"/>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c>
          <w:tcPr>
            <w:tcW w:w="1131" w:type="dxa"/>
            <w:gridSpan w:val="2"/>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w w:val="98"/>
              </w:rPr>
            </w:pPr>
          </w:p>
        </w:tc>
      </w:tr>
      <w:tr>
        <w:trPr>
          <w:gridAfter w:val="1"/>
          <w:wAfter w:w="29" w:type="dxa"/>
        </w:trPr>
        <w:tc>
          <w:tcPr>
            <w:tcW w:w="9030" w:type="dxa"/>
            <w:gridSpan w:val="8"/>
            <w:tcBorders>
              <w:top w:val="single" w:color="auto" w:sz="8"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p>
    <w:p>
      <w:pPr>
        <w:pStyle w:val="0"/>
        <w:ind w:left="560" w:leftChars="250" w:firstLine="209"/>
        <w:rPr>
          <w:rFonts w:hint="default"/>
        </w:rPr>
      </w:pPr>
    </w:p>
    <w:p>
      <w:pPr>
        <w:pStyle w:val="84"/>
        <w:ind w:left="672"/>
        <w:rPr>
          <w:rFonts w:hint="default"/>
        </w:rPr>
      </w:pPr>
      <w:r>
        <w:rPr>
          <w:rFonts w:hint="eastAsia"/>
        </w:rPr>
        <w:t>ｶ</w:t>
      </w:r>
      <w:r>
        <w:rPr>
          <w:rFonts w:hint="default"/>
        </w:rPr>
        <w:t>)</w:t>
      </w:r>
      <w:r>
        <w:rPr>
          <w:rFonts w:hint="eastAsia"/>
        </w:rPr>
        <w:t>移動支援事業</w:t>
      </w:r>
      <w:bookmarkEnd w:id="316"/>
      <w:bookmarkEnd w:id="317"/>
      <w:bookmarkEnd w:id="318"/>
    </w:p>
    <w:p>
      <w:pPr>
        <w:pStyle w:val="89"/>
        <w:ind w:left="897" w:leftChars="400" w:firstLine="214"/>
        <w:rPr>
          <w:rFonts w:hint="default"/>
          <w:spacing w:val="0"/>
        </w:rPr>
      </w:pPr>
      <w:bookmarkStart w:id="320" w:name="_Toc314505329"/>
      <w:bookmarkStart w:id="321" w:name="_Toc314578881"/>
      <w:r>
        <w:rPr>
          <w:rFonts w:hint="eastAsia"/>
          <w:spacing w:val="0"/>
        </w:rPr>
        <w:t>屋外での移動が困難な障がい者の地域における社会参加を促進するため、外出の際の移動を支援する事業です。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89"/>
        <w:ind w:left="1009" w:leftChars="450" w:firstLine="214"/>
        <w:rPr>
          <w:rFonts w:hint="default"/>
          <w:spacing w:val="0"/>
        </w:rPr>
      </w:pPr>
      <w:r>
        <w:rPr>
          <w:rFonts w:hint="eastAsia"/>
          <w:spacing w:val="0"/>
        </w:rPr>
        <w:t>利用者数は</w:t>
      </w:r>
      <w:r>
        <w:rPr>
          <w:rFonts w:hint="default"/>
          <w:spacing w:val="0"/>
        </w:rPr>
        <w:t>令和２年度～令和４</w:t>
      </w:r>
      <w:r>
        <w:rPr>
          <w:rFonts w:hint="eastAsia"/>
          <w:spacing w:val="0"/>
        </w:rPr>
        <w:t>年度</w:t>
      </w:r>
      <w:r>
        <w:rPr>
          <w:rFonts w:hint="default"/>
          <w:spacing w:val="0"/>
        </w:rPr>
        <w:t>の実績平均</w:t>
      </w:r>
      <w:r>
        <w:rPr>
          <w:rFonts w:hint="eastAsia"/>
          <w:spacing w:val="0"/>
        </w:rPr>
        <w:t>から</w:t>
      </w:r>
      <w:r>
        <w:rPr>
          <w:rFonts w:hint="eastAsia"/>
          <w:spacing w:val="0"/>
        </w:rPr>
        <w:t>30</w:t>
      </w:r>
      <w:r>
        <w:rPr>
          <w:rFonts w:hint="eastAsia"/>
          <w:spacing w:val="0"/>
        </w:rPr>
        <w:t>人を見込みます。利用時間は、</w:t>
      </w:r>
      <w:r>
        <w:rPr>
          <w:rFonts w:hint="default"/>
          <w:spacing w:val="0"/>
        </w:rPr>
        <w:t>令和２</w:t>
      </w:r>
      <w:r>
        <w:rPr>
          <w:rFonts w:hint="eastAsia"/>
          <w:spacing w:val="0"/>
        </w:rPr>
        <w:t>年度</w:t>
      </w:r>
      <w:r>
        <w:rPr>
          <w:rFonts w:hint="default"/>
          <w:spacing w:val="0"/>
        </w:rPr>
        <w:t>実績から令和４</w:t>
      </w:r>
      <w:r>
        <w:rPr>
          <w:rFonts w:hint="eastAsia"/>
          <w:spacing w:val="0"/>
        </w:rPr>
        <w:t>年度</w:t>
      </w:r>
      <w:r>
        <w:rPr>
          <w:rFonts w:hint="default"/>
          <w:spacing w:val="0"/>
        </w:rPr>
        <w:t>実績の１人あたりの平均利用時間の増加率</w:t>
      </w:r>
      <w:r>
        <w:rPr>
          <w:rFonts w:hint="default"/>
          <w:spacing w:val="0"/>
        </w:rPr>
        <w:t>1.2</w:t>
      </w:r>
      <w:r>
        <w:rPr>
          <w:rFonts w:hint="default"/>
          <w:spacing w:val="0"/>
        </w:rPr>
        <w:t>を</w:t>
      </w:r>
      <w:r>
        <w:rPr>
          <w:rFonts w:hint="eastAsia"/>
          <w:spacing w:val="0"/>
        </w:rPr>
        <w:t>乗じて</w:t>
      </w:r>
      <w:r>
        <w:rPr>
          <w:rFonts w:hint="eastAsia"/>
          <w:spacing w:val="0"/>
        </w:rPr>
        <w:t>67</w:t>
      </w:r>
      <w:r>
        <w:rPr>
          <w:rFonts w:hint="eastAsia"/>
          <w:spacing w:val="0"/>
        </w:rPr>
        <w:t>時間／</w:t>
      </w:r>
      <w:r>
        <w:rPr>
          <w:rFonts w:hint="eastAsia"/>
          <w:spacing w:val="0"/>
        </w:rPr>
        <w:t>1</w:t>
      </w:r>
      <w:r>
        <w:rPr>
          <w:rFonts w:hint="eastAsia"/>
          <w:spacing w:val="0"/>
        </w:rPr>
        <w:t>人あたりとし</w:t>
      </w:r>
      <w:r>
        <w:rPr>
          <w:rFonts w:hint="eastAsia"/>
          <w:spacing w:val="0"/>
        </w:rPr>
        <w:t>2,010</w:t>
      </w:r>
      <w:r>
        <w:rPr>
          <w:rFonts w:hint="eastAsia"/>
          <w:spacing w:val="0"/>
        </w:rPr>
        <w:t>時間を見込みます。</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3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bookmarkStart w:id="322" w:name="移動支援事業"/>
            <w:r>
              <w:rPr>
                <w:rFonts w:hint="eastAsia"/>
              </w:rPr>
              <w:t>実利用人数</w:t>
            </w:r>
            <w:bookmarkEnd w:id="322"/>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43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43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43</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30</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30</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29</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30</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r>
              <w:rPr>
                <w:rFonts w:hint="default"/>
              </w:rPr>
              <w:t>14</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r>
              <w:rPr>
                <w:rFonts w:hint="default"/>
              </w:rPr>
              <w:t>13</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spacing w:before="5" w:beforeLines="0" w:beforeAutospacing="0" w:after="5" w:afterLines="0" w:afterAutospacing="0" w:line="250" w:lineRule="exact"/>
              <w:textAlignment w:val="center"/>
              <w:rPr>
                <w:rFonts w:hint="default"/>
                <w:w w:val="98"/>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line="250" w:lineRule="exact"/>
              <w:textAlignment w:val="center"/>
              <w:rPr>
                <w:rFonts w:hint="default"/>
                <w:w w:val="98"/>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line="250" w:lineRule="exact"/>
              <w:textAlignment w:val="center"/>
              <w:rPr>
                <w:rFonts w:hint="default"/>
                <w:w w:val="98"/>
              </w:rPr>
            </w:pPr>
          </w:p>
        </w:tc>
      </w:tr>
    </w:tbl>
    <w:p>
      <w:pPr>
        <w:pStyle w:val="0"/>
        <w:spacing w:line="160" w:lineRule="exact"/>
        <w:rPr>
          <w:rFonts w:hint="default" w:ascii="ＭＳ ゴシック" w:hAnsi="ＭＳ ゴシック" w:eastAsia="ＭＳ ゴシック"/>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延利用時間</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時間</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2,344</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2,344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2,344</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2,010</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2,010</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2,010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時間</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1,390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1,637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2,010</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954</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707</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334</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line="250" w:lineRule="exact"/>
              <w:textAlignment w:val="center"/>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line="250" w:lineRule="exact"/>
              <w:textAlignment w:val="center"/>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88"/>
              <w:spacing w:before="5" w:beforeLines="0" w:beforeAutospacing="0" w:after="5" w:afterLines="0" w:afterAutospacing="0" w:line="250" w:lineRule="exact"/>
              <w:textAlignment w:val="center"/>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jc w:val="both"/>
              <w:rPr>
                <w:rFonts w:hint="default"/>
              </w:rPr>
            </w:pPr>
            <w:r>
              <w:rPr>
                <w:rFonts w:hint="eastAsia"/>
              </w:rPr>
              <w:t>資料：保健福祉課　　・令和５年度は、見込みの数値。</w:t>
            </w:r>
          </w:p>
          <w:p>
            <w:pPr>
              <w:pStyle w:val="87"/>
              <w:spacing w:before="0" w:beforeLines="0" w:beforeAutospacing="0" w:after="0" w:afterLines="0" w:afterAutospacing="0" w:line="260" w:lineRule="exact"/>
              <w:jc w:val="both"/>
              <w:textAlignment w:val="center"/>
              <w:rPr>
                <w:rFonts w:hint="default"/>
              </w:rPr>
            </w:pPr>
            <w:r>
              <w:rPr>
                <w:rFonts w:hint="eastAsia"/>
              </w:rPr>
              <w:t>　　　※移動支援事業は「個別支援型」と「車両移送型」を実施。「グループ支援型」は実施予定なし。</w:t>
            </w:r>
          </w:p>
        </w:tc>
      </w:tr>
    </w:tbl>
    <w:p>
      <w:pPr>
        <w:pStyle w:val="0"/>
        <w:ind w:left="438" w:firstLine="209"/>
        <w:rPr>
          <w:rFonts w:hint="default"/>
        </w:rPr>
      </w:pPr>
    </w:p>
    <w:p>
      <w:pPr>
        <w:pStyle w:val="0"/>
        <w:ind w:left="438" w:firstLine="205"/>
        <w:rPr>
          <w:rFonts w:hint="default"/>
        </w:rPr>
      </w:pPr>
    </w:p>
    <w:p>
      <w:pPr>
        <w:pStyle w:val="89"/>
        <w:ind w:left="448" w:firstLine="210"/>
        <w:rPr>
          <w:rFonts w:hint="default"/>
        </w:rPr>
      </w:pPr>
    </w:p>
    <w:p>
      <w:pPr>
        <w:pStyle w:val="84"/>
        <w:ind w:left="672"/>
        <w:rPr>
          <w:rFonts w:hint="default"/>
        </w:rPr>
      </w:pPr>
      <w:r>
        <w:rPr>
          <w:rFonts w:hint="default"/>
        </w:rPr>
        <w:br w:type="page"/>
      </w:r>
      <w:bookmarkStart w:id="323" w:name="_Toc318449584"/>
      <w:r>
        <w:rPr>
          <w:rFonts w:hint="eastAsia"/>
        </w:rPr>
        <w:t>ｷ</w:t>
      </w:r>
      <w:r>
        <w:rPr>
          <w:rFonts w:hint="default"/>
        </w:rPr>
        <w:t>)</w:t>
      </w:r>
      <w:r>
        <w:rPr>
          <w:rFonts w:hint="eastAsia"/>
        </w:rPr>
        <w:t>地域活動支援センター</w:t>
      </w:r>
      <w:bookmarkEnd w:id="320"/>
      <w:bookmarkEnd w:id="321"/>
      <w:bookmarkEnd w:id="323"/>
    </w:p>
    <w:p>
      <w:pPr>
        <w:pStyle w:val="89"/>
        <w:ind w:left="897" w:leftChars="400" w:firstLine="214"/>
        <w:rPr>
          <w:rFonts w:hint="default"/>
          <w:spacing w:val="0"/>
        </w:rPr>
      </w:pPr>
      <w:r>
        <w:rPr>
          <w:rFonts w:hint="eastAsia"/>
          <w:spacing w:val="0"/>
        </w:rPr>
        <w:t>地域活動支援センターは、障がい者が地域で日中活動できる場</w:t>
      </w:r>
      <w:r>
        <w:rPr>
          <w:rFonts w:hint="eastAsia"/>
          <w:spacing w:val="0"/>
        </w:rPr>
        <w:t>(</w:t>
      </w:r>
      <w:r>
        <w:rPr>
          <w:rFonts w:hint="eastAsia"/>
          <w:spacing w:val="0"/>
        </w:rPr>
        <w:t>居場所</w:t>
      </w:r>
      <w:r>
        <w:rPr>
          <w:rFonts w:hint="eastAsia"/>
          <w:spacing w:val="0"/>
        </w:rPr>
        <w:t>)</w:t>
      </w:r>
      <w:r>
        <w:rPr>
          <w:rFonts w:hint="eastAsia"/>
          <w:spacing w:val="0"/>
        </w:rPr>
        <w:t>を作るために、創作活動又は生産活動の機会を提供し、社会との交流を促進する事業です。</w:t>
      </w:r>
    </w:p>
    <w:p>
      <w:pPr>
        <w:pStyle w:val="89"/>
        <w:ind w:left="448" w:firstLine="210"/>
        <w:rPr>
          <w:rFonts w:hint="default"/>
        </w:rPr>
      </w:pPr>
    </w:p>
    <w:tbl>
      <w:tblPr>
        <w:tblStyle w:val="11"/>
        <w:tblW w:w="8782" w:type="dxa"/>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701"/>
        <w:gridCol w:w="495"/>
        <w:gridCol w:w="6586"/>
      </w:tblGrid>
      <w:tr>
        <w:trPr/>
        <w:tc>
          <w:tcPr>
            <w:tcW w:w="1701" w:type="dxa"/>
            <w:vMerge w:val="restart"/>
            <w:shd w:val="clear" w:color="auto" w:fill="auto"/>
            <w:tcMar>
              <w:top w:w="57" w:type="dxa"/>
              <w:bottom w:w="57" w:type="dxa"/>
            </w:tcMar>
            <w:vAlign w:val="center"/>
          </w:tcPr>
          <w:p>
            <w:pPr>
              <w:pStyle w:val="0"/>
              <w:spacing w:line="0" w:lineRule="atLeast"/>
              <w:jc w:val="center"/>
              <w:rPr>
                <w:rFonts w:hint="default" w:asciiTheme="minorEastAsia" w:hAnsiTheme="minorEastAsia" w:eastAsiaTheme="minorEastAsia"/>
                <w:w w:val="90"/>
                <w:sz w:val="21"/>
              </w:rPr>
            </w:pPr>
            <w:r>
              <w:rPr>
                <w:rFonts w:hint="eastAsia" w:asciiTheme="minorEastAsia" w:hAnsiTheme="minorEastAsia" w:eastAsiaTheme="minorEastAsia"/>
                <w:w w:val="90"/>
                <w:sz w:val="21"/>
              </w:rPr>
              <w:t>【基礎的事業】</w:t>
            </w:r>
          </w:p>
          <w:p>
            <w:pPr>
              <w:pStyle w:val="0"/>
              <w:spacing w:line="0" w:lineRule="atLeast"/>
              <w:rPr>
                <w:rFonts w:hint="default" w:asciiTheme="minorEastAsia" w:hAnsiTheme="minorEastAsia" w:eastAsiaTheme="minorEastAsia"/>
                <w:sz w:val="21"/>
              </w:rPr>
            </w:pPr>
            <w:r>
              <w:rPr>
                <w:rFonts w:hint="eastAsia" w:asciiTheme="minorEastAsia" w:hAnsiTheme="minorEastAsia" w:eastAsiaTheme="minorEastAsia"/>
                <w:sz w:val="21"/>
              </w:rPr>
              <w:t>創作活動、生産活動、社会との交流促進等を実施する。</w:t>
            </w:r>
          </w:p>
        </w:tc>
        <w:tc>
          <w:tcPr>
            <w:tcW w:w="495" w:type="dxa"/>
            <w:vMerge w:val="restart"/>
            <w:tcBorders>
              <w:top w:val="nil"/>
              <w:left w:val="none" w:color="auto" w:sz="0" w:space="0"/>
              <w:bottom w:val="nil"/>
              <w:right w:val="none" w:color="auto" w:sz="0" w:space="0"/>
              <w:tl2br w:val="none" w:color="auto" w:sz="0" w:space="0"/>
              <w:tr2bl w:val="none" w:color="auto" w:sz="0" w:space="0"/>
            </w:tcBorders>
            <w:shd w:val="clear" w:color="auto" w:fill="auto"/>
            <w:tcMar>
              <w:top w:w="57" w:type="dxa"/>
              <w:bottom w:w="57" w:type="dxa"/>
            </w:tcMar>
            <w:vAlign w:val="center"/>
          </w:tcPr>
          <w:p>
            <w:pPr>
              <w:pStyle w:val="0"/>
              <w:spacing w:line="0" w:lineRule="atLeast"/>
              <w:jc w:val="center"/>
              <w:rPr>
                <w:rFonts w:hint="default" w:asciiTheme="minorEastAsia" w:hAnsiTheme="minorEastAsia" w:eastAsiaTheme="minorEastAsia"/>
                <w:sz w:val="21"/>
              </w:rPr>
            </w:pPr>
            <w:r>
              <w:rPr>
                <w:rFonts w:hint="eastAsia" w:asciiTheme="minorEastAsia" w:hAnsiTheme="minorEastAsia" w:eastAsiaTheme="minorEastAsia"/>
                <w:sz w:val="21"/>
              </w:rPr>
              <w:t>＋</w:t>
            </w:r>
          </w:p>
        </w:tc>
        <w:tc>
          <w:tcPr>
            <w:tcW w:w="658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spacing w:line="0" w:lineRule="atLeast"/>
              <w:rPr>
                <w:rFonts w:hint="default" w:asciiTheme="minorEastAsia" w:hAnsiTheme="minorEastAsia" w:eastAsiaTheme="minorEastAsia"/>
                <w:sz w:val="21"/>
              </w:rPr>
            </w:pPr>
            <w:r>
              <w:rPr>
                <w:rFonts w:hint="eastAsia" w:asciiTheme="minorEastAsia" w:hAnsiTheme="minorEastAsia" w:eastAsiaTheme="minorEastAsia"/>
                <w:sz w:val="21"/>
              </w:rPr>
              <w:t>【機能強化事業】</w:t>
            </w:r>
          </w:p>
          <w:p>
            <w:pPr>
              <w:pStyle w:val="0"/>
              <w:spacing w:line="0" w:lineRule="atLeast"/>
              <w:ind w:left="112" w:leftChars="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地域活動支援センターの機能を強化する事業として次の３種類の事業があります。</w:t>
            </w:r>
          </w:p>
        </w:tc>
      </w:tr>
      <w:tr>
        <w:trPr/>
        <w:tc>
          <w:tcPr>
            <w:tcW w:w="1701" w:type="dxa"/>
            <w:vMerge w:val="continue"/>
            <w:shd w:val="clear" w:color="auto" w:fill="auto"/>
            <w:tcMar>
              <w:top w:w="57" w:type="dxa"/>
              <w:bottom w:w="57" w:type="dxa"/>
            </w:tcMar>
            <w:vAlign w:val="center"/>
          </w:tcPr>
          <w:p>
            <w:pPr>
              <w:pStyle w:val="0"/>
              <w:spacing w:line="0" w:lineRule="atLeast"/>
              <w:rPr>
                <w:rFonts w:hint="default" w:asciiTheme="minorEastAsia" w:hAnsiTheme="minorEastAsia" w:eastAsiaTheme="minorEastAsia"/>
                <w:sz w:val="21"/>
              </w:rPr>
            </w:pPr>
          </w:p>
        </w:tc>
        <w:tc>
          <w:tcPr>
            <w:tcW w:w="495" w:type="dxa"/>
            <w:vMerge w:val="continue"/>
            <w:tcBorders>
              <w:top w:val="none" w:color="auto" w:sz="0" w:space="0"/>
              <w:left w:val="none" w:color="auto" w:sz="0" w:space="0"/>
              <w:bottom w:val="nil"/>
              <w:right w:val="none" w:color="auto" w:sz="0" w:space="0"/>
              <w:tl2br w:val="none" w:color="auto" w:sz="0" w:space="0"/>
              <w:tr2bl w:val="none" w:color="auto" w:sz="0" w:space="0"/>
            </w:tcBorders>
            <w:shd w:val="clear" w:color="auto" w:fill="auto"/>
            <w:tcMar>
              <w:top w:w="57" w:type="dxa"/>
              <w:bottom w:w="57" w:type="dxa"/>
            </w:tcMar>
            <w:vAlign w:val="center"/>
          </w:tcPr>
          <w:p>
            <w:pPr>
              <w:pStyle w:val="0"/>
              <w:spacing w:line="0" w:lineRule="atLeast"/>
              <w:jc w:val="center"/>
              <w:rPr>
                <w:rFonts w:hint="default" w:asciiTheme="minorEastAsia" w:hAnsiTheme="minorEastAsia" w:eastAsiaTheme="minorEastAsia"/>
                <w:sz w:val="21"/>
              </w:rPr>
            </w:pPr>
          </w:p>
        </w:tc>
        <w:tc>
          <w:tcPr>
            <w:tcW w:w="6586" w:type="dxa"/>
            <w:tcBorders>
              <w:top w:val="none" w:color="auto" w:sz="0" w:space="0"/>
              <w:left w:val="none" w:color="auto" w:sz="0" w:space="0"/>
              <w:bottom w:val="dashed"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spacing w:line="0" w:lineRule="atLeast"/>
              <w:rPr>
                <w:rFonts w:hint="default" w:asciiTheme="minorEastAsia" w:hAnsiTheme="minorEastAsia" w:eastAsiaTheme="minorEastAsia"/>
                <w:sz w:val="21"/>
              </w:rPr>
            </w:pPr>
            <w:r>
              <w:rPr>
                <w:rFonts w:hint="eastAsia" w:asciiTheme="minorEastAsia" w:hAnsiTheme="minorEastAsia" w:eastAsiaTheme="minorEastAsia"/>
                <w:sz w:val="21"/>
              </w:rPr>
              <w:t>〔機能強化事業Ⅰ型〕</w:t>
            </w:r>
          </w:p>
          <w:p>
            <w:pPr>
              <w:pStyle w:val="0"/>
              <w:spacing w:line="0" w:lineRule="atLeast"/>
              <w:ind w:left="112" w:leftChars="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専門職員</w:t>
            </w:r>
            <w:r>
              <w:rPr>
                <w:rFonts w:hint="default" w:asciiTheme="minorEastAsia" w:hAnsiTheme="minorEastAsia" w:eastAsiaTheme="minorEastAsia"/>
                <w:sz w:val="21"/>
              </w:rPr>
              <w:t>(</w:t>
            </w:r>
            <w:r>
              <w:rPr>
                <w:rFonts w:hint="default" w:asciiTheme="minorEastAsia" w:hAnsiTheme="minorEastAsia" w:eastAsiaTheme="minorEastAsia"/>
                <w:sz w:val="21"/>
              </w:rPr>
              <w:t>精神保健福祉士等</w:t>
            </w:r>
            <w:r>
              <w:rPr>
                <w:rFonts w:hint="default" w:asciiTheme="minorEastAsia" w:hAnsiTheme="minorEastAsia" w:eastAsiaTheme="minorEastAsia"/>
                <w:sz w:val="21"/>
              </w:rPr>
              <w:t>)</w:t>
            </w:r>
            <w:r>
              <w:rPr>
                <w:rFonts w:hint="eastAsia" w:asciiTheme="minorEastAsia" w:hAnsiTheme="minorEastAsia" w:eastAsiaTheme="minorEastAsia"/>
                <w:sz w:val="21"/>
              </w:rPr>
              <w:t>を配置し、医療・福祉及び地域の社会基盤との連携強化のための調整、地域住民ボランティア育成、障がいに対する理解促進を図るための普及啓発等の事業を実施します。なお、相談支援事業を併せて実施又は委託を受けていることを要件とします。</w:t>
            </w:r>
          </w:p>
        </w:tc>
      </w:tr>
      <w:tr>
        <w:trPr/>
        <w:tc>
          <w:tcPr>
            <w:tcW w:w="1701" w:type="dxa"/>
            <w:vMerge w:val="continue"/>
            <w:shd w:val="clear" w:color="auto" w:fill="auto"/>
            <w:tcMar>
              <w:top w:w="57" w:type="dxa"/>
              <w:bottom w:w="57" w:type="dxa"/>
            </w:tcMar>
            <w:vAlign w:val="center"/>
          </w:tcPr>
          <w:p>
            <w:pPr>
              <w:pStyle w:val="89"/>
              <w:widowControl w:val="0"/>
              <w:ind w:left="0" w:leftChars="0" w:firstLine="0" w:firstLineChars="0"/>
              <w:rPr>
                <w:rFonts w:hint="default" w:asciiTheme="minorEastAsia" w:hAnsiTheme="minorEastAsia" w:eastAsiaTheme="minorEastAsia"/>
              </w:rPr>
            </w:pPr>
          </w:p>
        </w:tc>
        <w:tc>
          <w:tcPr>
            <w:tcW w:w="495" w:type="dxa"/>
            <w:vMerge w:val="continue"/>
            <w:tcBorders>
              <w:top w:val="none" w:color="auto" w:sz="0" w:space="0"/>
              <w:left w:val="none" w:color="auto" w:sz="0" w:space="0"/>
              <w:bottom w:val="nil"/>
              <w:right w:val="none" w:color="auto" w:sz="0" w:space="0"/>
              <w:tl2br w:val="none" w:color="auto" w:sz="0" w:space="0"/>
              <w:tr2bl w:val="none" w:color="auto" w:sz="0" w:space="0"/>
            </w:tcBorders>
            <w:shd w:val="clear" w:color="auto" w:fill="auto"/>
            <w:tcMar>
              <w:top w:w="57" w:type="dxa"/>
              <w:bottom w:w="57" w:type="dxa"/>
            </w:tcMar>
            <w:vAlign w:val="center"/>
          </w:tcPr>
          <w:p>
            <w:pPr>
              <w:pStyle w:val="89"/>
              <w:widowControl w:val="0"/>
              <w:ind w:left="0" w:leftChars="0" w:firstLine="0" w:firstLineChars="0"/>
              <w:rPr>
                <w:rFonts w:hint="default" w:asciiTheme="minorEastAsia" w:hAnsiTheme="minorEastAsia" w:eastAsiaTheme="minorEastAsia"/>
              </w:rPr>
            </w:pPr>
          </w:p>
        </w:tc>
        <w:tc>
          <w:tcPr>
            <w:tcW w:w="6586" w:type="dxa"/>
            <w:tcBorders>
              <w:top w:val="dashed" w:color="auto" w:sz="4" w:space="0"/>
              <w:left w:val="none" w:color="auto" w:sz="0" w:space="0"/>
              <w:bottom w:val="dashed"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spacing w:line="0" w:lineRule="atLeast"/>
              <w:rPr>
                <w:rFonts w:hint="default" w:asciiTheme="minorEastAsia" w:hAnsiTheme="minorEastAsia" w:eastAsiaTheme="minorEastAsia"/>
                <w:sz w:val="21"/>
              </w:rPr>
            </w:pPr>
            <w:r>
              <w:rPr>
                <w:rFonts w:hint="eastAsia" w:asciiTheme="minorEastAsia" w:hAnsiTheme="minorEastAsia" w:eastAsiaTheme="minorEastAsia"/>
                <w:sz w:val="21"/>
              </w:rPr>
              <w:t>〔機能強化事業Ⅱ型〕</w:t>
            </w:r>
          </w:p>
          <w:p>
            <w:pPr>
              <w:pStyle w:val="0"/>
              <w:spacing w:line="0" w:lineRule="atLeast"/>
              <w:ind w:left="112" w:leftChars="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地域において雇用・就労が困難な在宅障がい者に対し、機能訓練、社会適応訓練、入浴等のサービスを実施します。</w:t>
            </w:r>
          </w:p>
        </w:tc>
      </w:tr>
      <w:tr>
        <w:trPr/>
        <w:tc>
          <w:tcPr>
            <w:tcW w:w="1701" w:type="dxa"/>
            <w:vMerge w:val="continue"/>
            <w:shd w:val="clear" w:color="auto" w:fill="auto"/>
            <w:tcMar>
              <w:top w:w="57" w:type="dxa"/>
              <w:bottom w:w="57" w:type="dxa"/>
            </w:tcMar>
            <w:vAlign w:val="center"/>
          </w:tcPr>
          <w:p>
            <w:pPr>
              <w:pStyle w:val="89"/>
              <w:widowControl w:val="0"/>
              <w:ind w:left="0" w:leftChars="0" w:firstLine="0" w:firstLineChars="0"/>
              <w:rPr>
                <w:rFonts w:hint="default" w:asciiTheme="minorEastAsia" w:hAnsiTheme="minorEastAsia" w:eastAsiaTheme="minorEastAsia"/>
              </w:rPr>
            </w:pPr>
          </w:p>
        </w:tc>
        <w:tc>
          <w:tcPr>
            <w:tcW w:w="495" w:type="dxa"/>
            <w:vMerge w:val="continue"/>
            <w:tcBorders>
              <w:top w:val="none" w:color="auto" w:sz="0" w:space="0"/>
              <w:left w:val="none" w:color="auto" w:sz="0" w:space="0"/>
              <w:bottom w:val="nil"/>
              <w:right w:val="none" w:color="auto" w:sz="0" w:space="0"/>
              <w:tl2br w:val="none" w:color="auto" w:sz="0" w:space="0"/>
              <w:tr2bl w:val="none" w:color="auto" w:sz="0" w:space="0"/>
            </w:tcBorders>
            <w:shd w:val="clear" w:color="auto" w:fill="auto"/>
            <w:tcMar>
              <w:top w:w="57" w:type="dxa"/>
              <w:bottom w:w="57" w:type="dxa"/>
            </w:tcMar>
            <w:vAlign w:val="center"/>
          </w:tcPr>
          <w:p>
            <w:pPr>
              <w:pStyle w:val="89"/>
              <w:widowControl w:val="0"/>
              <w:ind w:left="0" w:leftChars="0" w:firstLine="0" w:firstLineChars="0"/>
              <w:rPr>
                <w:rFonts w:hint="default" w:asciiTheme="minorEastAsia" w:hAnsiTheme="minorEastAsia" w:eastAsiaTheme="minorEastAsia"/>
              </w:rPr>
            </w:pPr>
          </w:p>
        </w:tc>
        <w:tc>
          <w:tcPr>
            <w:tcW w:w="6586" w:type="dxa"/>
            <w:tcBorders>
              <w:top w:val="dashed"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top w:w="57" w:type="dxa"/>
              <w:bottom w:w="57" w:type="dxa"/>
            </w:tcMar>
            <w:vAlign w:val="center"/>
          </w:tcPr>
          <w:p>
            <w:pPr>
              <w:pStyle w:val="0"/>
              <w:spacing w:line="0" w:lineRule="atLeast"/>
              <w:rPr>
                <w:rFonts w:hint="default" w:asciiTheme="minorEastAsia" w:hAnsiTheme="minorEastAsia" w:eastAsiaTheme="minorEastAsia"/>
                <w:sz w:val="21"/>
              </w:rPr>
            </w:pPr>
            <w:r>
              <w:rPr>
                <w:rFonts w:hint="eastAsia" w:asciiTheme="minorEastAsia" w:hAnsiTheme="minorEastAsia" w:eastAsiaTheme="minorEastAsia"/>
                <w:sz w:val="21"/>
              </w:rPr>
              <w:t>〔機能強化事業Ⅲ型〕</w:t>
            </w:r>
          </w:p>
          <w:p>
            <w:pPr>
              <w:pStyle w:val="0"/>
              <w:spacing w:line="0" w:lineRule="atLeast"/>
              <w:ind w:left="326" w:leftChars="50" w:hanging="214" w:hangingChars="100"/>
              <w:rPr>
                <w:rFonts w:hint="default" w:asciiTheme="minorEastAsia" w:hAnsiTheme="minorEastAsia" w:eastAsiaTheme="minorEastAsia"/>
                <w:sz w:val="21"/>
              </w:rPr>
            </w:pPr>
            <w:r>
              <w:rPr>
                <w:rFonts w:hint="eastAsia" w:asciiTheme="minorEastAsia" w:hAnsiTheme="minorEastAsia" w:eastAsiaTheme="minorEastAsia"/>
                <w:sz w:val="21"/>
              </w:rPr>
              <w:t>①地域の障がい者のための援護対策として地域の障がい者団体等が実施する通所による「小規模作業所」の実績を概ね５年以上有し、安定的な運営が図られている。</w:t>
            </w:r>
          </w:p>
          <w:p>
            <w:pPr>
              <w:pStyle w:val="0"/>
              <w:spacing w:line="0" w:lineRule="atLeast"/>
              <w:ind w:left="326" w:leftChars="50" w:hanging="214" w:hangingChars="100"/>
              <w:rPr>
                <w:rFonts w:hint="default" w:asciiTheme="minorEastAsia" w:hAnsiTheme="minorEastAsia" w:eastAsiaTheme="minorEastAsia"/>
                <w:sz w:val="21"/>
              </w:rPr>
            </w:pPr>
            <w:r>
              <w:rPr>
                <w:rFonts w:hint="eastAsia" w:asciiTheme="minorEastAsia" w:hAnsiTheme="minorEastAsia" w:eastAsiaTheme="minorEastAsia"/>
                <w:sz w:val="21"/>
              </w:rPr>
              <w:t>②このほか、自立支援給付に基づく事業所に併設して実施することも可能。</w:t>
            </w:r>
          </w:p>
        </w:tc>
      </w:tr>
    </w:tbl>
    <w:p>
      <w:pPr>
        <w:pStyle w:val="89"/>
        <w:ind w:left="448" w:firstLine="210"/>
        <w:rPr>
          <w:rFonts w:hint="default"/>
        </w:rPr>
      </w:pPr>
    </w:p>
    <w:p>
      <w:pPr>
        <w:pStyle w:val="0"/>
        <w:rPr>
          <w:rFonts w:hint="default"/>
          <w:sz w:val="21"/>
        </w:rPr>
      </w:pP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89"/>
        <w:ind w:left="1009" w:leftChars="450" w:firstLine="214"/>
        <w:rPr>
          <w:rFonts w:hint="default"/>
          <w:spacing w:val="0"/>
        </w:rPr>
      </w:pPr>
      <w:r>
        <w:rPr>
          <w:rFonts w:hint="eastAsia"/>
          <w:spacing w:val="0"/>
        </w:rPr>
        <w:t>今後も事業を継続し、障がい者の日中活動の場を提供します。</w:t>
      </w:r>
    </w:p>
    <w:p>
      <w:pPr>
        <w:pStyle w:val="89"/>
        <w:ind w:left="1009" w:leftChars="450" w:firstLine="214"/>
        <w:rPr>
          <w:rFonts w:hint="default"/>
          <w:spacing w:val="0"/>
        </w:rPr>
      </w:pPr>
      <w:r>
        <w:rPr>
          <w:rFonts w:hint="eastAsia"/>
          <w:spacing w:val="0"/>
        </w:rPr>
        <w:t>利用者数は、令和２年度、令和３年度はコロナ禍で利用者が減少しましたが、令和６年度以降は利用者もコロナ禍前の状態に戻ることを見込み令和５年度実績と同人数としました。</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3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bookmarkStart w:id="324" w:name="地域活動支援センター"/>
            <w:r>
              <w:rPr>
                <w:rFonts w:hint="eastAsia"/>
              </w:rPr>
              <w:t>実施箇所数</w:t>
            </w:r>
            <w:bookmarkEnd w:id="324"/>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bl>
    <w:p>
      <w:pPr>
        <w:pStyle w:val="0"/>
        <w:spacing w:line="160" w:lineRule="exact"/>
        <w:rPr>
          <w:rFonts w:hint="default" w:ascii="ＭＳ ゴシック" w:hAnsi="ＭＳ ゴシック" w:eastAsia="ＭＳ ゴシック"/>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実利用人数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15</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15</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15</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5</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12</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5</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3</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p>
    <w:p>
      <w:pPr>
        <w:pStyle w:val="0"/>
        <w:ind w:left="438" w:firstLine="205"/>
        <w:rPr>
          <w:rFonts w:hint="default"/>
        </w:rPr>
      </w:pPr>
    </w:p>
    <w:p>
      <w:pPr>
        <w:pStyle w:val="0"/>
        <w:rPr>
          <w:rFonts w:hint="default"/>
          <w:spacing w:val="-2"/>
          <w:sz w:val="21"/>
        </w:rPr>
      </w:pPr>
      <w:r>
        <w:rPr>
          <w:rFonts w:hint="default"/>
        </w:rPr>
        <w:br w:type="page"/>
      </w:r>
    </w:p>
    <w:p>
      <w:pPr>
        <w:pStyle w:val="82"/>
        <w:ind w:left="784" w:hanging="336"/>
        <w:rPr>
          <w:rFonts w:hint="default"/>
        </w:rPr>
      </w:pPr>
      <w:bookmarkStart w:id="325" w:name="_Toc59549976"/>
      <w:r>
        <w:rPr>
          <w:rFonts w:hint="eastAsia"/>
        </w:rPr>
        <w:t>②任意事業</w:t>
      </w:r>
      <w:bookmarkEnd w:id="325"/>
    </w:p>
    <w:p>
      <w:pPr>
        <w:pStyle w:val="84"/>
        <w:ind w:left="672"/>
        <w:rPr>
          <w:rFonts w:hint="default"/>
        </w:rPr>
      </w:pPr>
      <w:r>
        <w:rPr>
          <w:rFonts w:hint="eastAsia"/>
        </w:rPr>
        <w:t>ｱ</w:t>
      </w:r>
      <w:r>
        <w:rPr>
          <w:rFonts w:hint="eastAsia"/>
        </w:rPr>
        <w:t>)</w:t>
      </w:r>
      <w:r>
        <w:rPr>
          <w:rFonts w:hint="eastAsia"/>
        </w:rPr>
        <w:t>日中一時支援事業</w:t>
      </w:r>
    </w:p>
    <w:p>
      <w:pPr>
        <w:pStyle w:val="89"/>
        <w:ind w:left="897" w:leftChars="400" w:firstLine="214"/>
        <w:rPr>
          <w:rFonts w:hint="default"/>
          <w:spacing w:val="0"/>
        </w:rPr>
      </w:pPr>
      <w:r>
        <w:rPr>
          <w:rFonts w:hint="eastAsia"/>
          <w:spacing w:val="0"/>
        </w:rPr>
        <w:t>障がい者の日中における活動の場を確保し、日常介護している家族の一時的な負担軽減を図ります。本事業は、事業所への委託により実施しています。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89"/>
        <w:ind w:left="1009" w:leftChars="450" w:firstLine="214"/>
        <w:rPr>
          <w:rFonts w:hint="default"/>
          <w:spacing w:val="0"/>
        </w:rPr>
      </w:pPr>
      <w:r>
        <w:rPr>
          <w:rFonts w:hint="eastAsia"/>
          <w:spacing w:val="0"/>
        </w:rPr>
        <w:t>実施箇所数（登録事業者数）は、令和６年度以降もこれまでと同じ</w:t>
      </w:r>
      <w:r>
        <w:rPr>
          <w:rFonts w:hint="eastAsia"/>
          <w:spacing w:val="0"/>
        </w:rPr>
        <w:t>17</w:t>
      </w:r>
      <w:r>
        <w:rPr>
          <w:rFonts w:hint="eastAsia"/>
          <w:spacing w:val="0"/>
        </w:rPr>
        <w:t>か所を見込みます。利用者数は、</w:t>
      </w:r>
      <w:r>
        <w:rPr>
          <w:rFonts w:hint="default"/>
          <w:spacing w:val="0"/>
        </w:rPr>
        <w:t>令和２</w:t>
      </w:r>
      <w:r>
        <w:rPr>
          <w:rFonts w:hint="eastAsia"/>
          <w:spacing w:val="0"/>
        </w:rPr>
        <w:t>年度</w:t>
      </w:r>
      <w:r>
        <w:rPr>
          <w:rFonts w:hint="default"/>
          <w:spacing w:val="0"/>
        </w:rPr>
        <w:t>～令和４</w:t>
      </w:r>
      <w:r>
        <w:rPr>
          <w:rFonts w:hint="eastAsia"/>
          <w:spacing w:val="0"/>
        </w:rPr>
        <w:t>年度</w:t>
      </w:r>
      <w:r>
        <w:rPr>
          <w:rFonts w:hint="default"/>
          <w:spacing w:val="0"/>
        </w:rPr>
        <w:t>の実績と</w:t>
      </w:r>
      <w:r>
        <w:rPr>
          <w:rFonts w:hint="eastAsia"/>
          <w:spacing w:val="0"/>
        </w:rPr>
        <w:t>同人数を</w:t>
      </w:r>
      <w:r>
        <w:rPr>
          <w:rFonts w:hint="default"/>
          <w:spacing w:val="0"/>
        </w:rPr>
        <w:t>見込</w:t>
      </w:r>
      <w:r>
        <w:rPr>
          <w:rFonts w:hint="eastAsia"/>
          <w:spacing w:val="0"/>
        </w:rPr>
        <w:t>みます。</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3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実施箇所数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17</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17</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17</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17</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17</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17</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17</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bl>
    <w:p>
      <w:pPr>
        <w:pStyle w:val="0"/>
        <w:spacing w:line="160" w:lineRule="exact"/>
        <w:rPr>
          <w:rFonts w:hint="default" w:ascii="ＭＳ ゴシック" w:hAnsi="ＭＳ ゴシック" w:eastAsia="ＭＳ ゴシック"/>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実利用人数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32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36</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18</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18</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18</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18</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18</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18</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14</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18</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p>
    <w:p>
      <w:pPr>
        <w:pStyle w:val="0"/>
        <w:ind w:left="438" w:firstLine="205"/>
        <w:rPr>
          <w:rFonts w:hint="default"/>
        </w:rPr>
      </w:pPr>
    </w:p>
    <w:p>
      <w:pPr>
        <w:pStyle w:val="84"/>
        <w:ind w:left="672"/>
        <w:rPr>
          <w:rFonts w:hint="default"/>
        </w:rPr>
      </w:pPr>
      <w:r>
        <w:rPr>
          <w:rFonts w:hint="eastAsia"/>
        </w:rPr>
        <w:t>ｲ</w:t>
      </w:r>
      <w:r>
        <w:rPr>
          <w:rFonts w:hint="eastAsia"/>
        </w:rPr>
        <w:t>)</w:t>
      </w:r>
      <w:r>
        <w:rPr>
          <w:rFonts w:hint="eastAsia"/>
        </w:rPr>
        <w:t>レクリエーション活動等支援事業</w:t>
      </w:r>
    </w:p>
    <w:p>
      <w:pPr>
        <w:pStyle w:val="89"/>
        <w:ind w:left="897" w:leftChars="400" w:firstLine="214"/>
        <w:rPr>
          <w:rFonts w:hint="default"/>
          <w:spacing w:val="0"/>
        </w:rPr>
      </w:pPr>
      <w:r>
        <w:rPr>
          <w:rFonts w:hint="eastAsia"/>
          <w:spacing w:val="0"/>
        </w:rPr>
        <w:t>スポーツ・レクリエーション活動を通じて、障がい者の体力増強、交流、余暇等に資するため、また障がい者スポーツを普及するため、各種スポーツ・レクリエーション教室や障がい者スポーツ大会を開催し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89"/>
        <w:ind w:left="1009" w:leftChars="450" w:firstLine="214"/>
        <w:rPr>
          <w:rFonts w:hint="default"/>
          <w:spacing w:val="0"/>
        </w:rPr>
      </w:pPr>
      <w:r>
        <w:rPr>
          <w:rFonts w:hint="eastAsia"/>
          <w:spacing w:val="0"/>
        </w:rPr>
        <w:t>今後も事業を継続します。利用者数は、</w:t>
      </w:r>
      <w:r>
        <w:rPr>
          <w:rFonts w:hint="default"/>
          <w:spacing w:val="0"/>
        </w:rPr>
        <w:t>令和</w:t>
      </w:r>
      <w:r>
        <w:rPr>
          <w:rFonts w:hint="eastAsia"/>
          <w:spacing w:val="0"/>
        </w:rPr>
        <w:t>５年度</w:t>
      </w:r>
      <w:r>
        <w:rPr>
          <w:rFonts w:hint="default"/>
          <w:spacing w:val="0"/>
        </w:rPr>
        <w:t>の実績</w:t>
      </w:r>
      <w:r>
        <w:rPr>
          <w:rFonts w:hint="eastAsia"/>
          <w:spacing w:val="0"/>
        </w:rPr>
        <w:t>人数が令和６年度以降も推移することを</w:t>
      </w:r>
      <w:r>
        <w:rPr>
          <w:rFonts w:hint="default"/>
          <w:spacing w:val="0"/>
        </w:rPr>
        <w:t>見込</w:t>
      </w:r>
      <w:r>
        <w:rPr>
          <w:rFonts w:hint="eastAsia"/>
          <w:spacing w:val="0"/>
        </w:rPr>
        <w:t>みます。</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3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実施箇所数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bl>
    <w:p>
      <w:pPr>
        <w:pStyle w:val="0"/>
        <w:spacing w:line="160" w:lineRule="exact"/>
        <w:rPr>
          <w:rFonts w:hint="default" w:ascii="ＭＳ ゴシック" w:hAnsi="ＭＳ ゴシック" w:eastAsia="ＭＳ ゴシック"/>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実利用人数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14</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10</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10</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9</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9</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10</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3</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4</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p>
    <w:p>
      <w:pPr>
        <w:pStyle w:val="0"/>
        <w:ind w:left="438" w:firstLine="205"/>
        <w:rPr>
          <w:rFonts w:hint="default"/>
        </w:rPr>
      </w:pPr>
    </w:p>
    <w:p>
      <w:pPr>
        <w:pStyle w:val="0"/>
        <w:rPr>
          <w:rFonts w:hint="default"/>
          <w:spacing w:val="-2"/>
          <w:sz w:val="21"/>
        </w:rPr>
      </w:pPr>
      <w:r>
        <w:rPr>
          <w:rFonts w:hint="default"/>
          <w:spacing w:val="-2"/>
          <w:sz w:val="21"/>
        </w:rPr>
        <w:br w:type="page"/>
      </w:r>
    </w:p>
    <w:p>
      <w:pPr>
        <w:pStyle w:val="84"/>
        <w:ind w:left="672"/>
        <w:rPr>
          <w:rFonts w:hint="default"/>
        </w:rPr>
      </w:pPr>
      <w:r>
        <w:rPr>
          <w:rFonts w:hint="eastAsia"/>
        </w:rPr>
        <w:t>ｳ</w:t>
      </w:r>
      <w:r>
        <w:rPr>
          <w:rFonts w:hint="eastAsia"/>
        </w:rPr>
        <w:t>)</w:t>
      </w:r>
      <w:r>
        <w:rPr>
          <w:rFonts w:hint="eastAsia"/>
        </w:rPr>
        <w:t>点字・声の広報事業</w:t>
      </w:r>
    </w:p>
    <w:p>
      <w:pPr>
        <w:pStyle w:val="89"/>
        <w:ind w:left="897" w:leftChars="400" w:firstLine="214"/>
        <w:rPr>
          <w:rFonts w:hint="default"/>
          <w:spacing w:val="0"/>
        </w:rPr>
      </w:pPr>
      <w:r>
        <w:rPr>
          <w:rFonts w:hint="eastAsia"/>
          <w:spacing w:val="0"/>
        </w:rPr>
        <w:t>文字による情報入手が困難な障がい者のために、点訳、音声訳等の方法により、事業の紹介、生活情報などの情報提供を定期的に行います。本事業は町社会福祉協議会への委託で実施します。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89"/>
        <w:ind w:left="1009" w:leftChars="450" w:firstLine="214"/>
        <w:rPr>
          <w:rFonts w:hint="default"/>
          <w:spacing w:val="0"/>
        </w:rPr>
      </w:pPr>
      <w:r>
        <w:rPr>
          <w:rFonts w:hint="eastAsia"/>
          <w:spacing w:val="0"/>
        </w:rPr>
        <w:t>今後も事業を継続します。利用者数は、令和３年度以降増減がないため、令和６年度以降も同じ利用者数を見込みます。</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3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実施箇所数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bl>
    <w:p>
      <w:pPr>
        <w:pStyle w:val="0"/>
        <w:spacing w:line="160" w:lineRule="exact"/>
        <w:rPr>
          <w:rFonts w:hint="default" w:ascii="ＭＳ ゴシック" w:hAnsi="ＭＳ ゴシック" w:eastAsia="ＭＳ ゴシック"/>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実利用人数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16</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16</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16</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16</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16</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16</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16</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16</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81"/>
        <w:spacing w:after="37" w:afterLines="0" w:afterAutospacing="0"/>
        <w:ind w:left="224"/>
        <w:rPr>
          <w:rFonts w:hint="default"/>
        </w:rPr>
      </w:pPr>
      <w:bookmarkStart w:id="326" w:name="_Toc59549977"/>
      <w:bookmarkStart w:id="327" w:name="_Toc67040251"/>
      <w:r>
        <w:rPr>
          <w:rFonts w:hint="default"/>
        </w:rPr>
        <w:t>(</w:t>
      </w:r>
      <w:r>
        <w:rPr>
          <w:rFonts w:hint="eastAsia"/>
        </w:rPr>
        <w:t>３</w:t>
      </w:r>
      <w:r>
        <w:rPr>
          <w:rFonts w:hint="default"/>
        </w:rPr>
        <w:t>)</w:t>
      </w:r>
      <w:r>
        <w:rPr>
          <w:rFonts w:hint="eastAsia"/>
        </w:rPr>
        <w:t>地域生活支援促進事業（市町村事業）</w:t>
      </w:r>
      <w:bookmarkEnd w:id="326"/>
      <w:bookmarkEnd w:id="327"/>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地域生活支援事業に含まれる事業等のうち、より促進すべき事項として国が定めた事業です。</w:t>
      </w:r>
    </w:p>
    <w:p>
      <w:pPr>
        <w:pStyle w:val="0"/>
        <w:ind w:left="560" w:leftChars="250" w:firstLine="214" w:firstLineChars="100"/>
        <w:rPr>
          <w:rFonts w:hint="default"/>
          <w:sz w:val="21"/>
        </w:rPr>
      </w:pPr>
    </w:p>
    <w:p>
      <w:pPr>
        <w:pStyle w:val="84"/>
        <w:ind w:left="672"/>
        <w:rPr>
          <w:rFonts w:hint="default"/>
        </w:rPr>
      </w:pPr>
      <w:r>
        <w:rPr>
          <w:rFonts w:hint="eastAsia"/>
        </w:rPr>
        <w:t>ｱ</w:t>
      </w:r>
      <w:r>
        <w:rPr>
          <w:rFonts w:hint="eastAsia"/>
        </w:rPr>
        <w:t>)</w:t>
      </w:r>
      <w:r>
        <w:rPr>
          <w:rFonts w:hint="eastAsia"/>
        </w:rPr>
        <w:t>障害者虐待防止対策支援事業</w:t>
      </w:r>
    </w:p>
    <w:p>
      <w:pPr>
        <w:pStyle w:val="84"/>
        <w:ind w:left="672"/>
        <w:rPr>
          <w:rFonts w:hint="default"/>
        </w:rPr>
      </w:pPr>
      <w:r>
        <w:rPr>
          <w:rFonts w:hint="eastAsia"/>
        </w:rPr>
        <w:t>ｱ</w:t>
      </w:r>
      <w:r>
        <w:rPr>
          <w:rFonts w:hint="eastAsia"/>
        </w:rPr>
        <w:t>)-1</w:t>
      </w:r>
      <w:r>
        <w:rPr>
          <w:rFonts w:hint="eastAsia"/>
        </w:rPr>
        <w:t>障害者虐待防止及び権利擁護に関する普及・啓発事業</w:t>
      </w:r>
    </w:p>
    <w:p>
      <w:pPr>
        <w:pStyle w:val="89"/>
        <w:ind w:left="897" w:leftChars="400" w:firstLine="214"/>
        <w:rPr>
          <w:rFonts w:hint="default"/>
          <w:spacing w:val="0"/>
        </w:rPr>
      </w:pP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89"/>
        <w:ind w:left="1009" w:leftChars="450" w:firstLine="214"/>
        <w:rPr>
          <w:rFonts w:hint="default"/>
          <w:spacing w:val="0"/>
        </w:rPr>
      </w:pPr>
      <w:r>
        <w:rPr>
          <w:rFonts w:hint="eastAsia"/>
          <w:spacing w:val="0"/>
        </w:rPr>
        <w:t>年に</w:t>
      </w:r>
      <w:r>
        <w:rPr>
          <w:rFonts w:hint="default"/>
          <w:spacing w:val="0"/>
        </w:rPr>
        <w:t>1</w:t>
      </w:r>
      <w:r>
        <w:rPr>
          <w:rFonts w:hint="default"/>
          <w:spacing w:val="0"/>
        </w:rPr>
        <w:t>回開催</w:t>
      </w:r>
      <w:r>
        <w:rPr>
          <w:rFonts w:hint="eastAsia"/>
          <w:spacing w:val="0"/>
        </w:rPr>
        <w:t>することを</w:t>
      </w:r>
      <w:r>
        <w:rPr>
          <w:rFonts w:hint="default"/>
          <w:spacing w:val="0"/>
        </w:rPr>
        <w:t>見込</w:t>
      </w:r>
      <w:r>
        <w:rPr>
          <w:rFonts w:hint="eastAsia"/>
          <w:spacing w:val="0"/>
        </w:rPr>
        <w:t>みます。</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bookmarkStart w:id="328" w:name="障害者虐待防止及び権利擁護に関する普及・啓発事業"/>
            <w:r>
              <w:rPr>
                <w:rFonts w:hint="eastAsia"/>
              </w:rPr>
              <w:t>実施箇所数</w:t>
            </w:r>
            <w:bookmarkEnd w:id="328"/>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p>
    <w:p>
      <w:pPr>
        <w:pStyle w:val="0"/>
        <w:ind w:left="438" w:firstLine="205"/>
        <w:rPr>
          <w:rFonts w:hint="default"/>
        </w:rPr>
      </w:pPr>
    </w:p>
    <w:p>
      <w:pPr>
        <w:pStyle w:val="0"/>
        <w:ind w:left="438" w:firstLine="205"/>
        <w:rPr>
          <w:rFonts w:hint="default"/>
        </w:rPr>
      </w:pPr>
    </w:p>
    <w:p>
      <w:pPr>
        <w:pStyle w:val="0"/>
        <w:rPr>
          <w:rFonts w:hint="default"/>
          <w:spacing w:val="-2"/>
          <w:sz w:val="21"/>
        </w:rPr>
      </w:pPr>
      <w:r>
        <w:rPr>
          <w:rFonts w:hint="default"/>
        </w:rPr>
        <w:br w:type="page"/>
      </w:r>
    </w:p>
    <w:p>
      <w:pPr>
        <w:pStyle w:val="84"/>
        <w:ind w:left="672"/>
        <w:rPr>
          <w:rFonts w:hint="default"/>
        </w:rPr>
      </w:pPr>
      <w:r>
        <w:rPr>
          <w:rFonts w:hint="eastAsia"/>
        </w:rPr>
        <w:t>ｲ</w:t>
      </w:r>
      <w:r>
        <w:rPr>
          <w:rFonts w:hint="eastAsia"/>
        </w:rPr>
        <w:t>)</w:t>
      </w:r>
      <w:r>
        <w:rPr>
          <w:rFonts w:hint="eastAsia"/>
        </w:rPr>
        <w:t>成年後見制度普及啓発事業</w:t>
      </w:r>
    </w:p>
    <w:p>
      <w:pPr>
        <w:pStyle w:val="89"/>
        <w:ind w:left="897" w:leftChars="400" w:firstLine="214"/>
        <w:rPr>
          <w:rFonts w:hint="default"/>
          <w:spacing w:val="0"/>
        </w:rPr>
      </w:pP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89"/>
        <w:ind w:left="1009" w:leftChars="450" w:firstLine="214"/>
        <w:rPr>
          <w:rFonts w:hint="default"/>
          <w:spacing w:val="0"/>
        </w:rPr>
      </w:pPr>
      <w:r>
        <w:rPr>
          <w:rFonts w:hint="eastAsia"/>
          <w:spacing w:val="0"/>
        </w:rPr>
        <w:t>年に</w:t>
      </w:r>
      <w:r>
        <w:rPr>
          <w:rFonts w:hint="default"/>
          <w:spacing w:val="0"/>
        </w:rPr>
        <w:t>1</w:t>
      </w:r>
      <w:r>
        <w:rPr>
          <w:rFonts w:hint="default"/>
          <w:spacing w:val="0"/>
        </w:rPr>
        <w:t>回開催</w:t>
      </w:r>
      <w:r>
        <w:rPr>
          <w:rFonts w:hint="eastAsia"/>
          <w:spacing w:val="0"/>
        </w:rPr>
        <w:t>すること</w:t>
      </w:r>
      <w:r>
        <w:rPr>
          <w:rFonts w:hint="default"/>
          <w:spacing w:val="0"/>
        </w:rPr>
        <w:t>を見込</w:t>
      </w:r>
      <w:r>
        <w:rPr>
          <w:rFonts w:hint="eastAsia"/>
          <w:spacing w:val="0"/>
        </w:rPr>
        <w:t>みます。</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実施箇所数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0</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0</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p>
    <w:p>
      <w:pPr>
        <w:pStyle w:val="0"/>
        <w:ind w:left="438" w:firstLine="205"/>
        <w:rPr>
          <w:rFonts w:hint="default"/>
        </w:rPr>
      </w:pPr>
    </w:p>
    <w:p>
      <w:pPr>
        <w:pStyle w:val="84"/>
        <w:ind w:left="672"/>
        <w:rPr>
          <w:rFonts w:hint="default"/>
        </w:rPr>
      </w:pPr>
      <w:bookmarkStart w:id="329" w:name="_Toc59549978"/>
      <w:r>
        <w:rPr>
          <w:rFonts w:hint="eastAsia"/>
        </w:rPr>
        <w:t>ｳ</w:t>
      </w:r>
      <w:r>
        <w:rPr>
          <w:rFonts w:hint="eastAsia"/>
        </w:rPr>
        <w:t>)</w:t>
      </w:r>
      <w:r>
        <w:rPr>
          <w:rFonts w:hint="eastAsia"/>
        </w:rPr>
        <w:t>医療的ケア児等総合支援事業</w:t>
      </w:r>
    </w:p>
    <w:p>
      <w:pPr>
        <w:pStyle w:val="84"/>
        <w:ind w:left="672"/>
        <w:rPr>
          <w:rFonts w:hint="default"/>
        </w:rPr>
      </w:pPr>
      <w:r>
        <w:rPr>
          <w:rFonts w:hint="eastAsia"/>
        </w:rPr>
        <w:t>ｳ</w:t>
      </w:r>
      <w:r>
        <w:rPr>
          <w:rFonts w:hint="eastAsia"/>
        </w:rPr>
        <w:t>)-1</w:t>
      </w:r>
      <w:r>
        <w:rPr>
          <w:rFonts w:hint="eastAsia"/>
        </w:rPr>
        <w:t>医療的ケア児等の協議の場の設置</w:t>
      </w:r>
    </w:p>
    <w:p>
      <w:pPr>
        <w:pStyle w:val="89"/>
        <w:ind w:left="897" w:leftChars="400" w:firstLine="214"/>
        <w:rPr>
          <w:rFonts w:hint="default"/>
          <w:spacing w:val="0"/>
        </w:rPr>
      </w:pP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89"/>
        <w:ind w:left="1009" w:leftChars="450" w:firstLine="214"/>
        <w:rPr>
          <w:rFonts w:hint="default"/>
          <w:spacing w:val="0"/>
        </w:rPr>
      </w:pPr>
      <w:r>
        <w:rPr>
          <w:rFonts w:hint="eastAsia"/>
          <w:spacing w:val="0"/>
        </w:rPr>
        <w:t>年に</w:t>
      </w:r>
      <w:r>
        <w:rPr>
          <w:rFonts w:hint="default"/>
          <w:spacing w:val="0"/>
        </w:rPr>
        <w:t>1</w:t>
      </w:r>
      <w:r>
        <w:rPr>
          <w:rFonts w:hint="default"/>
          <w:spacing w:val="0"/>
        </w:rPr>
        <w:t>回開催</w:t>
      </w:r>
      <w:r>
        <w:rPr>
          <w:rFonts w:hint="eastAsia"/>
          <w:spacing w:val="0"/>
        </w:rPr>
        <w:t>すること</w:t>
      </w:r>
      <w:r>
        <w:rPr>
          <w:rFonts w:hint="default"/>
          <w:spacing w:val="0"/>
        </w:rPr>
        <w:t>を見込</w:t>
      </w:r>
      <w:r>
        <w:rPr>
          <w:rFonts w:hint="eastAsia"/>
          <w:spacing w:val="0"/>
        </w:rPr>
        <w:t>みます。</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研修開催数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回数</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回数</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p>
    <w:p>
      <w:pPr>
        <w:pStyle w:val="0"/>
        <w:ind w:left="438" w:firstLine="205"/>
        <w:rPr>
          <w:rFonts w:hint="default"/>
        </w:rPr>
      </w:pPr>
    </w:p>
    <w:p>
      <w:pPr>
        <w:pStyle w:val="84"/>
        <w:ind w:left="672"/>
        <w:rPr>
          <w:rFonts w:hint="default"/>
        </w:rPr>
      </w:pPr>
      <w:r>
        <w:rPr>
          <w:rFonts w:hint="eastAsia"/>
        </w:rPr>
        <w:t>ｳ</w:t>
      </w:r>
      <w:r>
        <w:rPr>
          <w:rFonts w:hint="eastAsia"/>
        </w:rPr>
        <w:t>)-2</w:t>
      </w:r>
      <w:r>
        <w:rPr>
          <w:rFonts w:hint="eastAsia"/>
        </w:rPr>
        <w:t>医療的ケア児等コーディネーターの配置</w:t>
      </w:r>
    </w:p>
    <w:p>
      <w:pPr>
        <w:pStyle w:val="89"/>
        <w:ind w:left="897" w:leftChars="400" w:firstLine="214"/>
        <w:rPr>
          <w:rFonts w:hint="default"/>
          <w:spacing w:val="0"/>
        </w:rPr>
      </w:pP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89"/>
        <w:ind w:left="1009" w:leftChars="450" w:firstLine="214"/>
        <w:rPr>
          <w:rFonts w:hint="default"/>
          <w:spacing w:val="0"/>
        </w:rPr>
      </w:pPr>
      <w:r>
        <w:rPr>
          <w:rFonts w:hint="eastAsia"/>
          <w:spacing w:val="0"/>
        </w:rPr>
        <w:t>令和６年度配置を見込みます。</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配置数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default"/>
              </w:rPr>
              <w:t>/</w:t>
            </w:r>
            <w:r>
              <w:rPr>
                <w:rFonts w:hint="default"/>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default"/>
              </w:rPr>
              <w:t>/</w:t>
            </w:r>
            <w:r>
              <w:rPr>
                <w:rFonts w:hint="default"/>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p>
    <w:p>
      <w:pPr>
        <w:pStyle w:val="0"/>
        <w:ind w:left="438" w:firstLine="205"/>
        <w:rPr>
          <w:rFonts w:hint="default"/>
        </w:rPr>
      </w:pPr>
    </w:p>
    <w:p>
      <w:pPr>
        <w:pStyle w:val="0"/>
        <w:rPr>
          <w:rFonts w:hint="default"/>
        </w:rPr>
      </w:pPr>
      <w:r>
        <w:rPr>
          <w:rFonts w:hint="default"/>
        </w:rPr>
        <w:br w:type="page"/>
      </w:r>
    </w:p>
    <w:p>
      <w:pPr>
        <w:pStyle w:val="84"/>
        <w:ind w:left="672"/>
        <w:rPr>
          <w:rFonts w:hint="default"/>
        </w:rPr>
      </w:pPr>
      <w:r>
        <w:rPr>
          <w:rFonts w:hint="eastAsia"/>
        </w:rPr>
        <w:t>ｴ</w:t>
      </w:r>
      <w:r>
        <w:rPr>
          <w:rFonts w:hint="eastAsia"/>
        </w:rPr>
        <w:t>)</w:t>
      </w:r>
      <w:r>
        <w:rPr>
          <w:rFonts w:hint="eastAsia"/>
        </w:rPr>
        <w:t>発達障害児者及び家族等支援事業</w:t>
      </w:r>
    </w:p>
    <w:p>
      <w:pPr>
        <w:pStyle w:val="84"/>
        <w:ind w:left="672"/>
        <w:rPr>
          <w:rFonts w:hint="default"/>
        </w:rPr>
      </w:pPr>
      <w:r>
        <w:rPr>
          <w:rFonts w:hint="eastAsia"/>
        </w:rPr>
        <w:t>ｴ</w:t>
      </w:r>
      <w:r>
        <w:rPr>
          <w:rFonts w:hint="eastAsia"/>
        </w:rPr>
        <w:t>)-1</w:t>
      </w:r>
      <w:r>
        <w:rPr>
          <w:rFonts w:hint="eastAsia"/>
        </w:rPr>
        <w:t>家族のスキル向上支援事業</w:t>
      </w:r>
    </w:p>
    <w:p>
      <w:pPr>
        <w:pStyle w:val="89"/>
        <w:ind w:left="897" w:leftChars="400" w:firstLine="214"/>
        <w:rPr>
          <w:rFonts w:hint="default"/>
          <w:spacing w:val="0"/>
        </w:rPr>
      </w:pPr>
      <w:r>
        <w:rPr>
          <w:rFonts w:hint="eastAsia"/>
          <w:spacing w:val="0"/>
        </w:rPr>
        <w:t>ペアレントプログラムやペアレントプログラム等の支援プログラム</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89"/>
        <w:ind w:left="1009" w:leftChars="450" w:firstLine="214"/>
        <w:rPr>
          <w:rFonts w:hint="default"/>
          <w:spacing w:val="0"/>
        </w:rPr>
      </w:pPr>
      <w:r>
        <w:rPr>
          <w:rFonts w:hint="eastAsia"/>
          <w:spacing w:val="0"/>
        </w:rPr>
        <w:t>年に２回開催し、１</w:t>
      </w:r>
      <w:r>
        <w:rPr>
          <w:rFonts w:hint="default"/>
          <w:spacing w:val="0"/>
        </w:rPr>
        <w:t>回あたり</w:t>
      </w:r>
      <w:r>
        <w:rPr>
          <w:rFonts w:hint="default"/>
          <w:spacing w:val="0"/>
        </w:rPr>
        <w:t>6</w:t>
      </w:r>
      <w:r>
        <w:rPr>
          <w:rFonts w:hint="default"/>
          <w:spacing w:val="0"/>
        </w:rPr>
        <w:t>人受講すると見込みます。</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3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開催数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回数</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回数</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0</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bl>
    <w:p>
      <w:pPr>
        <w:pStyle w:val="0"/>
        <w:spacing w:line="160" w:lineRule="exact"/>
        <w:rPr>
          <w:rFonts w:hint="default" w:ascii="ＭＳ ゴシック" w:hAnsi="ＭＳ ゴシック" w:eastAsia="ＭＳ ゴシック"/>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実利用人数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10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20</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default"/>
              </w:rPr>
              <w:t>6</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default"/>
              </w:rPr>
              <w:t>10</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4</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rPr>
                <w:rFonts w:hint="default"/>
              </w:rPr>
            </w:pPr>
            <w:r>
              <w:rPr>
                <w:rFonts w:hint="eastAsia"/>
              </w:rPr>
              <w:t>△</w:t>
            </w:r>
            <w:r>
              <w:rPr>
                <w:rFonts w:hint="default"/>
              </w:rPr>
              <w:t>10</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5"/>
        <w:rPr>
          <w:rFonts w:hint="default"/>
        </w:rPr>
      </w:pPr>
    </w:p>
    <w:p>
      <w:pPr>
        <w:pStyle w:val="0"/>
        <w:ind w:left="438" w:firstLine="205"/>
        <w:rPr>
          <w:rFonts w:hint="default"/>
        </w:rPr>
      </w:pPr>
    </w:p>
    <w:p>
      <w:pPr>
        <w:pStyle w:val="89"/>
        <w:ind w:left="448" w:firstLine="0" w:firstLineChars="0"/>
        <w:rPr>
          <w:rFonts w:hint="default" w:asciiTheme="majorEastAsia" w:hAnsiTheme="majorEastAsia" w:eastAsiaTheme="majorEastAsia"/>
          <w:spacing w:val="0"/>
        </w:rPr>
      </w:pPr>
      <w:bookmarkEnd w:id="329"/>
      <w:r>
        <w:rPr>
          <w:rFonts w:hint="eastAsia" w:asciiTheme="majorEastAsia" w:hAnsiTheme="majorEastAsia" w:eastAsiaTheme="majorEastAsia"/>
          <w:spacing w:val="0"/>
        </w:rPr>
        <w:t>【地域生活支援事業</w:t>
      </w:r>
      <w:r>
        <w:rPr>
          <w:rFonts w:hint="default" w:asciiTheme="majorEastAsia" w:hAnsiTheme="majorEastAsia" w:eastAsiaTheme="majorEastAsia"/>
          <w:spacing w:val="0"/>
        </w:rPr>
        <w:t>(</w:t>
      </w:r>
      <w:r>
        <w:rPr>
          <w:rFonts w:hint="eastAsia" w:asciiTheme="majorEastAsia" w:hAnsiTheme="majorEastAsia" w:eastAsiaTheme="majorEastAsia"/>
          <w:spacing w:val="0"/>
        </w:rPr>
        <w:t>必須事業</w:t>
      </w:r>
      <w:r>
        <w:rPr>
          <w:rFonts w:hint="default" w:asciiTheme="majorEastAsia" w:hAnsiTheme="majorEastAsia" w:eastAsiaTheme="majorEastAsia"/>
          <w:spacing w:val="0"/>
        </w:rPr>
        <w:t>)</w:t>
      </w:r>
      <w:r>
        <w:rPr>
          <w:rFonts w:hint="eastAsia" w:asciiTheme="majorEastAsia" w:hAnsiTheme="majorEastAsia" w:eastAsiaTheme="majorEastAsia"/>
          <w:spacing w:val="0"/>
        </w:rPr>
        <w:t>の実績及び見込み一覧】</w:t>
      </w:r>
    </w:p>
    <w:tbl>
      <w:tblPr>
        <w:tblStyle w:val="11"/>
        <w:tblW w:w="9072" w:type="dxa"/>
        <w:tblInd w:w="562" w:type="dxa"/>
        <w:tblLayout w:type="fixed"/>
        <w:tblCellMar>
          <w:left w:w="99" w:type="dxa"/>
          <w:right w:w="99" w:type="dxa"/>
        </w:tblCellMar>
        <w:tblLook w:firstRow="1" w:lastRow="0" w:firstColumn="1" w:lastColumn="0" w:noHBand="0" w:noVBand="1" w:val="04A0"/>
      </w:tblPr>
      <w:tblGrid>
        <w:gridCol w:w="218"/>
        <w:gridCol w:w="1973"/>
        <w:gridCol w:w="1211"/>
        <w:gridCol w:w="763"/>
        <w:gridCol w:w="817"/>
        <w:gridCol w:w="818"/>
        <w:gridCol w:w="818"/>
        <w:gridCol w:w="818"/>
        <w:gridCol w:w="818"/>
        <w:gridCol w:w="818"/>
      </w:tblGrid>
      <w:tr>
        <w:trPr/>
        <w:tc>
          <w:tcPr>
            <w:tcW w:w="2191" w:type="dxa"/>
            <w:gridSpan w:val="2"/>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211"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763"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単位</w:t>
            </w:r>
          </w:p>
        </w:tc>
        <w:tc>
          <w:tcPr>
            <w:tcW w:w="2453"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実績値</w:t>
            </w:r>
          </w:p>
        </w:tc>
        <w:tc>
          <w:tcPr>
            <w:tcW w:w="2454"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計画値</w:t>
            </w:r>
          </w:p>
        </w:tc>
      </w:tr>
      <w:tr>
        <w:trPr/>
        <w:tc>
          <w:tcPr>
            <w:tcW w:w="2191"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211"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763"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pacing w:val="-6"/>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３年度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４年度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５年度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６</w:t>
            </w:r>
            <w:r>
              <w:rPr>
                <w:rFonts w:hint="default" w:asciiTheme="minorEastAsia" w:hAnsiTheme="minorEastAsia" w:eastAsiaTheme="minorEastAsia"/>
                <w:sz w:val="20"/>
              </w:rPr>
              <w:t>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７</w:t>
            </w:r>
            <w:r>
              <w:rPr>
                <w:rFonts w:hint="default" w:asciiTheme="minorEastAsia" w:hAnsiTheme="minorEastAsia" w:eastAsiaTheme="minorEastAsia"/>
                <w:sz w:val="20"/>
              </w:rPr>
              <w:t>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８</w:t>
            </w:r>
            <w:r>
              <w:rPr>
                <w:rFonts w:hint="default" w:asciiTheme="minorEastAsia" w:hAnsiTheme="minorEastAsia" w:eastAsiaTheme="minorEastAsia"/>
                <w:sz w:val="20"/>
              </w:rPr>
              <w:t>年度</w:t>
            </w:r>
          </w:p>
        </w:tc>
      </w:tr>
      <w:tr>
        <w:trPr>
          <w:trHeight w:val="240" w:hRule="atLeast"/>
        </w:trPr>
        <w:tc>
          <w:tcPr>
            <w:tcW w:w="2191" w:type="dxa"/>
            <w:gridSpan w:val="2"/>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相談支援事業</w:t>
            </w:r>
          </w:p>
        </w:tc>
        <w:tc>
          <w:tcPr>
            <w:tcW w:w="1211"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76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r>
      <w:tr>
        <w:trPr>
          <w:trHeight w:val="240" w:hRule="atLeast"/>
        </w:trPr>
        <w:tc>
          <w:tcPr>
            <w:tcW w:w="218" w:type="dxa"/>
            <w:tcBorders>
              <w:top w:val="nil"/>
              <w:left w:val="single" w:color="auto" w:sz="4" w:space="0"/>
              <w:bottom w:val="none" w:color="auto" w:sz="0" w:space="0"/>
              <w:right w:val="nil"/>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障害者相談支援事業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実施箇所数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箇所</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rHeight w:val="384" w:hRule="atLeast"/>
        </w:trPr>
        <w:tc>
          <w:tcPr>
            <w:tcW w:w="218" w:type="dxa"/>
            <w:tcBorders>
              <w:top w:val="nil"/>
              <w:left w:val="single" w:color="auto" w:sz="4" w:space="0"/>
              <w:bottom w:val="none" w:color="auto" w:sz="0" w:space="0"/>
              <w:right w:val="nil"/>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基幹相談支援センター等機能強化事業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実施箇所数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箇所</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rHeight w:val="384" w:hRule="atLeast"/>
        </w:trPr>
        <w:tc>
          <w:tcPr>
            <w:tcW w:w="218" w:type="dxa"/>
            <w:tcBorders>
              <w:top w:val="nil"/>
              <w:left w:val="single" w:color="auto" w:sz="4" w:space="0"/>
              <w:bottom w:val="single" w:color="auto" w:sz="4" w:space="0"/>
              <w:right w:val="nil"/>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21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209</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197</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203</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203</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203</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203</w:t>
            </w:r>
          </w:p>
        </w:tc>
      </w:tr>
      <w:tr>
        <w:trPr>
          <w:trHeight w:val="240" w:hRule="atLeast"/>
        </w:trPr>
        <w:tc>
          <w:tcPr>
            <w:tcW w:w="219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8"/>
                <w:w w:val="88"/>
                <w:sz w:val="20"/>
              </w:rPr>
            </w:pPr>
            <w:r>
              <w:rPr>
                <w:rFonts w:hint="eastAsia" w:asciiTheme="minorEastAsia" w:hAnsiTheme="minorEastAsia" w:eastAsiaTheme="minorEastAsia"/>
                <w:spacing w:val="-8"/>
                <w:w w:val="88"/>
                <w:sz w:val="20"/>
              </w:rPr>
              <w:t>成年後見制度利用支援事業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r>
      <w:tr>
        <w:trPr>
          <w:trHeight w:val="240" w:hRule="atLeast"/>
        </w:trPr>
        <w:tc>
          <w:tcPr>
            <w:tcW w:w="2191" w:type="dxa"/>
            <w:gridSpan w:val="2"/>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意思疎通支援事業</w:t>
            </w:r>
          </w:p>
        </w:tc>
        <w:tc>
          <w:tcPr>
            <w:tcW w:w="1211"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76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r>
      <w:tr>
        <w:trPr>
          <w:trHeight w:val="240" w:hRule="atLeast"/>
        </w:trPr>
        <w:tc>
          <w:tcPr>
            <w:tcW w:w="218" w:type="dxa"/>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手話通訳者・要約筆記者派遣事業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実利用件数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件</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9</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11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11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11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11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11</w:t>
            </w:r>
          </w:p>
        </w:tc>
      </w:tr>
      <w:tr>
        <w:trPr>
          <w:trHeight w:val="240" w:hRule="atLeast"/>
        </w:trPr>
        <w:tc>
          <w:tcPr>
            <w:tcW w:w="2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手話通訳者設置事業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実施箇所数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箇所</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rHeight w:val="240" w:hRule="atLeast"/>
        </w:trPr>
        <w:tc>
          <w:tcPr>
            <w:tcW w:w="2191" w:type="dxa"/>
            <w:gridSpan w:val="2"/>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5"/>
                <w:sz w:val="20"/>
              </w:rPr>
              <w:t>日常生活用具給付等事業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587</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540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554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555</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555</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555</w:t>
            </w:r>
          </w:p>
        </w:tc>
      </w:tr>
      <w:tr>
        <w:trPr>
          <w:trHeight w:val="240" w:hRule="atLeast"/>
        </w:trPr>
        <w:tc>
          <w:tcPr>
            <w:tcW w:w="218" w:type="dxa"/>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介護・訓練支援用具</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r>
      <w:tr>
        <w:trPr>
          <w:trHeight w:val="240" w:hRule="atLeast"/>
        </w:trPr>
        <w:tc>
          <w:tcPr>
            <w:tcW w:w="218" w:type="dxa"/>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自立生活支援用具</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r>
      <w:tr>
        <w:trPr>
          <w:trHeight w:val="240" w:hRule="atLeast"/>
        </w:trPr>
        <w:tc>
          <w:tcPr>
            <w:tcW w:w="218" w:type="dxa"/>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在宅療養等支援用具</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r>
      <w:tr>
        <w:trPr>
          <w:trHeight w:val="240" w:hRule="atLeast"/>
        </w:trPr>
        <w:tc>
          <w:tcPr>
            <w:tcW w:w="218" w:type="dxa"/>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8"/>
                <w:w w:val="88"/>
                <w:sz w:val="20"/>
              </w:rPr>
            </w:pPr>
            <w:r>
              <w:rPr>
                <w:rFonts w:hint="eastAsia" w:asciiTheme="minorEastAsia" w:hAnsiTheme="minorEastAsia" w:eastAsiaTheme="minorEastAsia"/>
                <w:spacing w:val="-8"/>
                <w:w w:val="88"/>
                <w:sz w:val="20"/>
              </w:rPr>
              <w:t>情報・意志疎通支援用具</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r>
      <w:tr>
        <w:trPr>
          <w:trHeight w:val="240" w:hRule="atLeast"/>
        </w:trPr>
        <w:tc>
          <w:tcPr>
            <w:tcW w:w="218" w:type="dxa"/>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排泄管理支援用具</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549</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507</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520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520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520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520</w:t>
            </w:r>
          </w:p>
        </w:tc>
      </w:tr>
      <w:tr>
        <w:trPr>
          <w:trHeight w:val="240" w:hRule="atLeast"/>
        </w:trPr>
        <w:tc>
          <w:tcPr>
            <w:tcW w:w="2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居宅生活動作補助用具（住宅改修費）</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rHeight w:val="240" w:hRule="atLeast"/>
        </w:trPr>
        <w:tc>
          <w:tcPr>
            <w:tcW w:w="2191"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8"/>
                <w:w w:val="96"/>
                <w:sz w:val="20"/>
              </w:rPr>
            </w:pPr>
            <w:r>
              <w:rPr>
                <w:rFonts w:hint="eastAsia" w:asciiTheme="minorEastAsia" w:hAnsiTheme="minorEastAsia" w:eastAsiaTheme="minorEastAsia"/>
                <w:spacing w:val="-8"/>
                <w:w w:val="96"/>
                <w:sz w:val="20"/>
              </w:rPr>
              <w:t>手話奉仕員養成研修事業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8"/>
                <w:w w:val="78"/>
                <w:sz w:val="20"/>
              </w:rPr>
            </w:pPr>
            <w:r>
              <w:rPr>
                <w:rFonts w:hint="default" w:asciiTheme="minorEastAsia" w:hAnsiTheme="minorEastAsia" w:eastAsiaTheme="minorEastAsia"/>
                <w:spacing w:val="-8"/>
                <w:w w:val="78"/>
                <w:sz w:val="20"/>
              </w:rPr>
              <w:t>修了見込み者数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r>
      <w:tr>
        <w:trPr>
          <w:trHeight w:val="240" w:hRule="atLeast"/>
        </w:trPr>
        <w:tc>
          <w:tcPr>
            <w:tcW w:w="2191" w:type="dxa"/>
            <w:gridSpan w:val="2"/>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移動支援事業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29</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30</w:t>
            </w:r>
          </w:p>
        </w:tc>
      </w:tr>
      <w:tr>
        <w:trPr>
          <w:trHeight w:val="240" w:hRule="atLeast"/>
        </w:trPr>
        <w:tc>
          <w:tcPr>
            <w:tcW w:w="2191"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延利用時間</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10"/>
                <w:w w:val="88"/>
                <w:sz w:val="20"/>
              </w:rPr>
            </w:pPr>
            <w:r>
              <w:rPr>
                <w:rFonts w:hint="default" w:asciiTheme="minorEastAsia" w:hAnsiTheme="minorEastAsia" w:eastAsiaTheme="minorEastAsia"/>
                <w:spacing w:val="-10"/>
                <w:w w:val="88"/>
                <w:sz w:val="20"/>
              </w:rPr>
              <w:t>時間</w:t>
            </w:r>
            <w:r>
              <w:rPr>
                <w:rFonts w:hint="default" w:asciiTheme="minorEastAsia" w:hAnsiTheme="minorEastAsia" w:eastAsiaTheme="minorEastAsia"/>
                <w:spacing w:val="-10"/>
                <w:w w:val="88"/>
                <w:sz w:val="20"/>
              </w:rPr>
              <w:t>/</w:t>
            </w:r>
            <w:r>
              <w:rPr>
                <w:rFonts w:hint="default" w:asciiTheme="minorEastAsia" w:hAnsiTheme="minorEastAsia" w:eastAsiaTheme="minorEastAsia"/>
                <w:spacing w:val="-10"/>
                <w:w w:val="88"/>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1,390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1,637</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2,010</w:t>
            </w:r>
          </w:p>
        </w:tc>
      </w:tr>
      <w:tr>
        <w:trPr>
          <w:trHeight w:val="240" w:hRule="atLeast"/>
        </w:trPr>
        <w:tc>
          <w:tcPr>
            <w:tcW w:w="2191" w:type="dxa"/>
            <w:gridSpan w:val="2"/>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地域活動支援センター</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実施箇所数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箇所</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rHeight w:val="240" w:hRule="atLeast"/>
        </w:trPr>
        <w:tc>
          <w:tcPr>
            <w:tcW w:w="2191"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r>
    </w:tbl>
    <w:p>
      <w:pPr>
        <w:pStyle w:val="89"/>
        <w:ind w:left="560" w:leftChars="250" w:firstLine="0" w:firstLineChars="0"/>
        <w:rPr>
          <w:rFonts w:hint="default"/>
        </w:rPr>
      </w:pPr>
      <w:r>
        <w:rPr>
          <w:rFonts w:hint="eastAsia"/>
        </w:rPr>
        <w:t>※令和５年度は、見込みの数値。</w:t>
      </w:r>
    </w:p>
    <w:p>
      <w:pPr>
        <w:pStyle w:val="0"/>
        <w:rPr>
          <w:rFonts w:hint="default"/>
          <w:sz w:val="21"/>
        </w:rPr>
      </w:pPr>
      <w:r>
        <w:rPr>
          <w:rFonts w:hint="default"/>
        </w:rPr>
        <w:br w:type="page"/>
      </w:r>
    </w:p>
    <w:p>
      <w:pPr>
        <w:pStyle w:val="89"/>
        <w:ind w:left="448" w:firstLine="0" w:firstLineChars="0"/>
        <w:rPr>
          <w:rFonts w:hint="default" w:asciiTheme="majorEastAsia" w:hAnsiTheme="majorEastAsia" w:eastAsiaTheme="majorEastAsia"/>
          <w:spacing w:val="0"/>
        </w:rPr>
      </w:pPr>
      <w:r>
        <w:rPr>
          <w:rFonts w:hint="eastAsia" w:asciiTheme="majorEastAsia" w:hAnsiTheme="majorEastAsia" w:eastAsiaTheme="majorEastAsia"/>
          <w:spacing w:val="0"/>
        </w:rPr>
        <w:t>【地域生活支援事業</w:t>
      </w:r>
      <w:r>
        <w:rPr>
          <w:rFonts w:hint="default" w:asciiTheme="majorEastAsia" w:hAnsiTheme="majorEastAsia" w:eastAsiaTheme="majorEastAsia"/>
          <w:spacing w:val="0"/>
        </w:rPr>
        <w:t>(</w:t>
      </w:r>
      <w:r>
        <w:rPr>
          <w:rFonts w:hint="eastAsia" w:asciiTheme="majorEastAsia" w:hAnsiTheme="majorEastAsia" w:eastAsiaTheme="majorEastAsia"/>
          <w:spacing w:val="0"/>
        </w:rPr>
        <w:t>任意事業</w:t>
      </w:r>
      <w:r>
        <w:rPr>
          <w:rFonts w:hint="default" w:asciiTheme="majorEastAsia" w:hAnsiTheme="majorEastAsia" w:eastAsiaTheme="majorEastAsia"/>
          <w:spacing w:val="0"/>
        </w:rPr>
        <w:t>)</w:t>
      </w:r>
      <w:r>
        <w:rPr>
          <w:rFonts w:hint="eastAsia" w:asciiTheme="majorEastAsia" w:hAnsiTheme="majorEastAsia" w:eastAsiaTheme="majorEastAsia"/>
          <w:spacing w:val="0"/>
        </w:rPr>
        <w:t>の実績及び見込み一覧】</w:t>
      </w:r>
    </w:p>
    <w:tbl>
      <w:tblPr>
        <w:tblStyle w:val="11"/>
        <w:tblW w:w="9077" w:type="dxa"/>
        <w:tblInd w:w="562" w:type="dxa"/>
        <w:tblLayout w:type="fixed"/>
        <w:tblCellMar>
          <w:left w:w="99" w:type="dxa"/>
          <w:right w:w="99" w:type="dxa"/>
        </w:tblCellMar>
        <w:tblLook w:firstRow="1" w:lastRow="0" w:firstColumn="1" w:lastColumn="0" w:noHBand="0" w:noVBand="1" w:val="04A0"/>
      </w:tblPr>
      <w:tblGrid>
        <w:gridCol w:w="2193"/>
        <w:gridCol w:w="1213"/>
        <w:gridCol w:w="764"/>
        <w:gridCol w:w="817"/>
        <w:gridCol w:w="818"/>
        <w:gridCol w:w="818"/>
        <w:gridCol w:w="818"/>
        <w:gridCol w:w="818"/>
        <w:gridCol w:w="818"/>
      </w:tblGrid>
      <w:tr>
        <w:trPr/>
        <w:tc>
          <w:tcPr>
            <w:tcW w:w="219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213"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764"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単位</w:t>
            </w:r>
          </w:p>
        </w:tc>
        <w:tc>
          <w:tcPr>
            <w:tcW w:w="2453"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実績値</w:t>
            </w:r>
          </w:p>
        </w:tc>
        <w:tc>
          <w:tcPr>
            <w:tcW w:w="2454"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計画値</w:t>
            </w:r>
          </w:p>
        </w:tc>
      </w:tr>
      <w:tr>
        <w:trPr/>
        <w:tc>
          <w:tcPr>
            <w:tcW w:w="219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213"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764"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pacing w:val="-6"/>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３年度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４年度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５年度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６</w:t>
            </w:r>
            <w:r>
              <w:rPr>
                <w:rFonts w:hint="default" w:asciiTheme="minorEastAsia" w:hAnsiTheme="minorEastAsia" w:eastAsiaTheme="minorEastAsia"/>
                <w:sz w:val="20"/>
              </w:rPr>
              <w:t>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７</w:t>
            </w:r>
            <w:r>
              <w:rPr>
                <w:rFonts w:hint="default" w:asciiTheme="minorEastAsia" w:hAnsiTheme="minorEastAsia" w:eastAsiaTheme="minorEastAsia"/>
                <w:sz w:val="20"/>
              </w:rPr>
              <w:t>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８</w:t>
            </w:r>
            <w:r>
              <w:rPr>
                <w:rFonts w:hint="default" w:asciiTheme="minorEastAsia" w:hAnsiTheme="minorEastAsia" w:eastAsiaTheme="minorEastAsia"/>
                <w:sz w:val="20"/>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193" w:type="dxa"/>
            <w:vMerge w:val="restart"/>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日中一時支援事業</w:t>
            </w:r>
          </w:p>
        </w:tc>
        <w:tc>
          <w:tcPr>
            <w:tcW w:w="121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実施箇所数</w:t>
            </w:r>
          </w:p>
        </w:tc>
        <w:tc>
          <w:tcPr>
            <w:tcW w:w="76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箇所</w:t>
            </w:r>
          </w:p>
        </w:tc>
        <w:tc>
          <w:tcPr>
            <w:tcW w:w="8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193" w:type="dxa"/>
            <w:vMerge w:val="continue"/>
            <w:shd w:val="clear" w:color="auto" w:fill="auto"/>
            <w:vAlign w:val="center"/>
          </w:tcPr>
          <w:p>
            <w:pPr>
              <w:pStyle w:val="0"/>
              <w:spacing w:line="0" w:lineRule="atLeast"/>
              <w:rPr>
                <w:rFonts w:hint="default" w:asciiTheme="minorEastAsia" w:hAnsiTheme="minorEastAsia" w:eastAsiaTheme="minorEastAsia"/>
                <w:sz w:val="20"/>
              </w:rPr>
            </w:pPr>
          </w:p>
        </w:tc>
        <w:tc>
          <w:tcPr>
            <w:tcW w:w="121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実利用人数</w:t>
            </w:r>
          </w:p>
        </w:tc>
        <w:tc>
          <w:tcPr>
            <w:tcW w:w="76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193" w:type="dxa"/>
            <w:vMerge w:val="restart"/>
            <w:shd w:val="clear" w:color="auto" w:fill="auto"/>
            <w:vAlign w:val="center"/>
          </w:tcPr>
          <w:p>
            <w:pPr>
              <w:pStyle w:val="0"/>
              <w:spacing w:line="0" w:lineRule="atLeast"/>
              <w:rPr>
                <w:rFonts w:hint="default" w:asciiTheme="minorEastAsia" w:hAnsiTheme="minorEastAsia" w:eastAsiaTheme="minorEastAsia"/>
                <w:spacing w:val="-8"/>
                <w:w w:val="85"/>
                <w:sz w:val="20"/>
              </w:rPr>
            </w:pPr>
            <w:r>
              <w:rPr>
                <w:rFonts w:hint="eastAsia" w:asciiTheme="minorEastAsia" w:hAnsiTheme="minorEastAsia" w:eastAsiaTheme="minorEastAsia"/>
                <w:sz w:val="20"/>
              </w:rPr>
              <w:t>レクリエーション活動等支援事業</w:t>
            </w:r>
          </w:p>
        </w:tc>
        <w:tc>
          <w:tcPr>
            <w:tcW w:w="121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実施箇所数</w:t>
            </w:r>
          </w:p>
        </w:tc>
        <w:tc>
          <w:tcPr>
            <w:tcW w:w="76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箇所</w:t>
            </w:r>
          </w:p>
        </w:tc>
        <w:tc>
          <w:tcPr>
            <w:tcW w:w="8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193" w:type="dxa"/>
            <w:vMerge w:val="continue"/>
            <w:shd w:val="clear" w:color="auto" w:fill="auto"/>
            <w:vAlign w:val="center"/>
          </w:tcPr>
          <w:p>
            <w:pPr>
              <w:pStyle w:val="0"/>
              <w:spacing w:line="0" w:lineRule="atLeast"/>
              <w:rPr>
                <w:rFonts w:hint="default" w:asciiTheme="minorEastAsia" w:hAnsiTheme="minorEastAsia" w:eastAsiaTheme="minorEastAsia"/>
                <w:sz w:val="20"/>
              </w:rPr>
            </w:pPr>
          </w:p>
        </w:tc>
        <w:tc>
          <w:tcPr>
            <w:tcW w:w="121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実利用人数</w:t>
            </w:r>
          </w:p>
        </w:tc>
        <w:tc>
          <w:tcPr>
            <w:tcW w:w="76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193" w:type="dxa"/>
            <w:vMerge w:val="restart"/>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点字・声の広報事業</w:t>
            </w:r>
          </w:p>
        </w:tc>
        <w:tc>
          <w:tcPr>
            <w:tcW w:w="121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実施箇所数</w:t>
            </w:r>
          </w:p>
        </w:tc>
        <w:tc>
          <w:tcPr>
            <w:tcW w:w="76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箇所</w:t>
            </w:r>
          </w:p>
        </w:tc>
        <w:tc>
          <w:tcPr>
            <w:tcW w:w="8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193" w:type="dxa"/>
            <w:vMerge w:val="continue"/>
            <w:shd w:val="clear" w:color="auto" w:fill="auto"/>
            <w:vAlign w:val="center"/>
          </w:tcPr>
          <w:p>
            <w:pPr>
              <w:pStyle w:val="0"/>
              <w:spacing w:line="0" w:lineRule="atLeast"/>
              <w:rPr>
                <w:rFonts w:hint="default" w:asciiTheme="minorEastAsia" w:hAnsiTheme="minorEastAsia" w:eastAsiaTheme="minorEastAsia"/>
                <w:sz w:val="20"/>
              </w:rPr>
            </w:pPr>
          </w:p>
        </w:tc>
        <w:tc>
          <w:tcPr>
            <w:tcW w:w="1213" w:type="dxa"/>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実利用人数</w:t>
            </w:r>
          </w:p>
        </w:tc>
        <w:tc>
          <w:tcPr>
            <w:tcW w:w="764" w:type="dxa"/>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w:t>
            </w:r>
          </w:p>
        </w:tc>
        <w:tc>
          <w:tcPr>
            <w:tcW w:w="818" w:type="dxa"/>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w:t>
            </w:r>
          </w:p>
        </w:tc>
        <w:tc>
          <w:tcPr>
            <w:tcW w:w="818" w:type="dxa"/>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w:t>
            </w:r>
          </w:p>
        </w:tc>
        <w:tc>
          <w:tcPr>
            <w:tcW w:w="818" w:type="dxa"/>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w:t>
            </w:r>
          </w:p>
        </w:tc>
        <w:tc>
          <w:tcPr>
            <w:tcW w:w="818" w:type="dxa"/>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w:t>
            </w:r>
          </w:p>
        </w:tc>
        <w:tc>
          <w:tcPr>
            <w:tcW w:w="818" w:type="dxa"/>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w:t>
            </w:r>
          </w:p>
        </w:tc>
      </w:tr>
    </w:tbl>
    <w:p>
      <w:pPr>
        <w:pStyle w:val="89"/>
        <w:ind w:left="560" w:leftChars="250" w:firstLine="0" w:firstLineChars="0"/>
        <w:rPr>
          <w:rFonts w:hint="default"/>
        </w:rPr>
      </w:pPr>
      <w:r>
        <w:rPr>
          <w:rFonts w:hint="eastAsia"/>
        </w:rPr>
        <w:t>※令和５年度は、見込みの数値。</w:t>
      </w:r>
    </w:p>
    <w:p>
      <w:pPr>
        <w:pStyle w:val="89"/>
        <w:ind w:left="662" w:hanging="214" w:hangingChars="100"/>
        <w:rPr>
          <w:rFonts w:hint="default"/>
          <w:spacing w:val="0"/>
        </w:rPr>
      </w:pPr>
    </w:p>
    <w:p>
      <w:pPr>
        <w:pStyle w:val="89"/>
        <w:ind w:left="448" w:firstLine="0" w:firstLineChars="0"/>
        <w:rPr>
          <w:rFonts w:hint="default" w:asciiTheme="majorEastAsia" w:hAnsiTheme="majorEastAsia" w:eastAsiaTheme="majorEastAsia"/>
          <w:spacing w:val="0"/>
        </w:rPr>
      </w:pPr>
      <w:r>
        <w:rPr>
          <w:rFonts w:hint="eastAsia" w:asciiTheme="majorEastAsia" w:hAnsiTheme="majorEastAsia" w:eastAsiaTheme="majorEastAsia"/>
          <w:spacing w:val="0"/>
        </w:rPr>
        <w:t>【地域生活支援促進事業</w:t>
      </w:r>
      <w:r>
        <w:rPr>
          <w:rFonts w:hint="default" w:asciiTheme="majorEastAsia" w:hAnsiTheme="majorEastAsia" w:eastAsiaTheme="majorEastAsia"/>
          <w:spacing w:val="0"/>
        </w:rPr>
        <w:t>(</w:t>
      </w:r>
      <w:r>
        <w:rPr>
          <w:rFonts w:hint="default" w:asciiTheme="majorEastAsia" w:hAnsiTheme="majorEastAsia" w:eastAsiaTheme="majorEastAsia"/>
          <w:spacing w:val="0"/>
        </w:rPr>
        <w:t>市町村事業</w:t>
      </w:r>
      <w:r>
        <w:rPr>
          <w:rFonts w:hint="default" w:asciiTheme="majorEastAsia" w:hAnsiTheme="majorEastAsia" w:eastAsiaTheme="majorEastAsia"/>
          <w:spacing w:val="0"/>
        </w:rPr>
        <w:t>)</w:t>
      </w:r>
      <w:r>
        <w:rPr>
          <w:rFonts w:hint="eastAsia" w:asciiTheme="majorEastAsia" w:hAnsiTheme="majorEastAsia" w:eastAsiaTheme="majorEastAsia"/>
          <w:spacing w:val="0"/>
        </w:rPr>
        <w:t>の実績及び見込み一覧】</w:t>
      </w:r>
    </w:p>
    <w:tbl>
      <w:tblPr>
        <w:tblStyle w:val="11"/>
        <w:tblW w:w="9077" w:type="dxa"/>
        <w:tblInd w:w="562" w:type="dxa"/>
        <w:tblLayout w:type="fixed"/>
        <w:tblCellMar>
          <w:left w:w="99" w:type="dxa"/>
          <w:right w:w="99" w:type="dxa"/>
        </w:tblCellMar>
        <w:tblLook w:firstRow="1" w:lastRow="0" w:firstColumn="1" w:lastColumn="0" w:noHBand="0" w:noVBand="1" w:val="04A0"/>
      </w:tblPr>
      <w:tblGrid>
        <w:gridCol w:w="278"/>
        <w:gridCol w:w="1910"/>
        <w:gridCol w:w="1216"/>
        <w:gridCol w:w="763"/>
        <w:gridCol w:w="816"/>
        <w:gridCol w:w="817"/>
        <w:gridCol w:w="817"/>
        <w:gridCol w:w="817"/>
        <w:gridCol w:w="817"/>
        <w:gridCol w:w="815"/>
        <w:gridCol w:w="11"/>
      </w:tblGrid>
      <w:tr>
        <w:trPr/>
        <w:tc>
          <w:tcPr>
            <w:tcW w:w="2188" w:type="dxa"/>
            <w:gridSpan w:val="2"/>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216"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763"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単位</w:t>
            </w:r>
          </w:p>
        </w:tc>
        <w:tc>
          <w:tcPr>
            <w:tcW w:w="2450"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実績値</w:t>
            </w:r>
          </w:p>
        </w:tc>
        <w:tc>
          <w:tcPr>
            <w:tcW w:w="2460" w:type="dxa"/>
            <w:gridSpan w:val="4"/>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計画値</w:t>
            </w:r>
          </w:p>
        </w:tc>
      </w:tr>
      <w:tr>
        <w:trPr/>
        <w:tc>
          <w:tcPr>
            <w:tcW w:w="2188"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216"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763"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pacing w:val="-6"/>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３年度</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４年度</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５年度</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６</w:t>
            </w:r>
            <w:r>
              <w:rPr>
                <w:rFonts w:hint="default" w:asciiTheme="minorEastAsia" w:hAnsiTheme="minorEastAsia" w:eastAsiaTheme="minorEastAsia"/>
                <w:sz w:val="20"/>
              </w:rPr>
              <w:t>年度</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７</w:t>
            </w:r>
            <w:r>
              <w:rPr>
                <w:rFonts w:hint="default" w:asciiTheme="minorEastAsia" w:hAnsiTheme="minorEastAsia" w:eastAsiaTheme="minorEastAsia"/>
                <w:sz w:val="20"/>
              </w:rPr>
              <w:t>年度</w:t>
            </w:r>
          </w:p>
        </w:tc>
        <w:tc>
          <w:tcPr>
            <w:tcW w:w="82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８</w:t>
            </w:r>
            <w:r>
              <w:rPr>
                <w:rFonts w:hint="default" w:asciiTheme="minorEastAsia" w:hAnsiTheme="minorEastAsia" w:eastAsiaTheme="minorEastAsia"/>
                <w:sz w:val="20"/>
              </w:rPr>
              <w:t>年度</w:t>
            </w:r>
          </w:p>
        </w:tc>
      </w:tr>
      <w:tr>
        <w:trPr>
          <w:gridAfter w:val="1"/>
          <w:wAfter w:w="11" w:type="dxa"/>
          <w:trHeight w:val="240" w:hRule="atLeast"/>
        </w:trPr>
        <w:tc>
          <w:tcPr>
            <w:tcW w:w="4167" w:type="dxa"/>
            <w:gridSpan w:val="4"/>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障害者虐待防止対策支援事業</w:t>
            </w:r>
          </w:p>
        </w:tc>
        <w:tc>
          <w:tcPr>
            <w:tcW w:w="816"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5" w:type="dxa"/>
            <w:tcBorders>
              <w:top w:val="nil"/>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r>
      <w:tr>
        <w:trPr>
          <w:gridAfter w:val="1"/>
          <w:wAfter w:w="11" w:type="dxa"/>
          <w:trHeight w:val="240" w:hRule="atLeast"/>
        </w:trPr>
        <w:tc>
          <w:tcPr>
            <w:tcW w:w="278"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bottom"/>
          </w:tcPr>
          <w:p>
            <w:pPr>
              <w:pStyle w:val="0"/>
              <w:spacing w:line="0" w:lineRule="atLeast"/>
              <w:rPr>
                <w:rFonts w:hint="default" w:asciiTheme="minorEastAsia" w:hAnsiTheme="minorEastAsia" w:eastAsiaTheme="minorEastAsia"/>
                <w:sz w:val="20"/>
              </w:rPr>
            </w:pPr>
          </w:p>
        </w:tc>
        <w:tc>
          <w:tcPr>
            <w:tcW w:w="19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w w:val="80"/>
                <w:sz w:val="20"/>
              </w:rPr>
            </w:pPr>
            <w:r>
              <w:rPr>
                <w:rFonts w:hint="eastAsia" w:asciiTheme="minorEastAsia" w:hAnsiTheme="minorEastAsia" w:eastAsiaTheme="minorEastAsia"/>
                <w:spacing w:val="-11"/>
                <w:w w:val="80"/>
                <w:sz w:val="20"/>
              </w:rPr>
              <w:t>障害者虐待防止及び権利擁護に関する普及・啓発事業</w:t>
            </w:r>
          </w:p>
        </w:tc>
        <w:tc>
          <w:tcPr>
            <w:tcW w:w="12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実施箇所数</w:t>
            </w:r>
          </w:p>
        </w:tc>
        <w:tc>
          <w:tcPr>
            <w:tcW w:w="7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箇所</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gridAfter w:val="1"/>
          <w:wAfter w:w="11" w:type="dxa"/>
          <w:trHeight w:val="240" w:hRule="atLeast"/>
        </w:trPr>
        <w:tc>
          <w:tcPr>
            <w:tcW w:w="218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成年後見制度普及啓発事業</w:t>
            </w:r>
          </w:p>
        </w:tc>
        <w:tc>
          <w:tcPr>
            <w:tcW w:w="12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実施箇所数</w:t>
            </w:r>
          </w:p>
        </w:tc>
        <w:tc>
          <w:tcPr>
            <w:tcW w:w="7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箇所</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gridAfter w:val="1"/>
          <w:wAfter w:w="11" w:type="dxa"/>
          <w:trHeight w:val="240" w:hRule="atLeast"/>
        </w:trPr>
        <w:tc>
          <w:tcPr>
            <w:tcW w:w="4167" w:type="dxa"/>
            <w:gridSpan w:val="4"/>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医療的ケア児等総合支援事業</w:t>
            </w:r>
          </w:p>
        </w:tc>
        <w:tc>
          <w:tcPr>
            <w:tcW w:w="816"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5" w:type="dxa"/>
            <w:tcBorders>
              <w:top w:val="nil"/>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r>
      <w:tr>
        <w:trPr>
          <w:gridAfter w:val="1"/>
          <w:wAfter w:w="11" w:type="dxa"/>
          <w:trHeight w:val="240" w:hRule="atLeast"/>
        </w:trPr>
        <w:tc>
          <w:tcPr>
            <w:tcW w:w="278"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bottom"/>
          </w:tcPr>
          <w:p>
            <w:pPr>
              <w:pStyle w:val="0"/>
              <w:spacing w:line="0" w:lineRule="atLeast"/>
              <w:rPr>
                <w:rFonts w:hint="default" w:asciiTheme="minorEastAsia" w:hAnsiTheme="minorEastAsia" w:eastAsiaTheme="minorEastAsia"/>
                <w:sz w:val="20"/>
              </w:rPr>
            </w:pPr>
          </w:p>
        </w:tc>
        <w:tc>
          <w:tcPr>
            <w:tcW w:w="19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医療的ケア児等の協議の場の設置</w:t>
            </w:r>
          </w:p>
        </w:tc>
        <w:tc>
          <w:tcPr>
            <w:tcW w:w="12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協議の場</w:t>
            </w:r>
          </w:p>
        </w:tc>
        <w:tc>
          <w:tcPr>
            <w:tcW w:w="7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箇所</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gridAfter w:val="1"/>
          <w:wAfter w:w="11" w:type="dxa"/>
          <w:trHeight w:val="240" w:hRule="atLeast"/>
        </w:trPr>
        <w:tc>
          <w:tcPr>
            <w:tcW w:w="278" w:type="dxa"/>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0" w:lineRule="atLeast"/>
              <w:rPr>
                <w:rFonts w:hint="default" w:asciiTheme="minorEastAsia" w:hAnsiTheme="minorEastAsia" w:eastAsiaTheme="minorEastAsia"/>
                <w:sz w:val="20"/>
              </w:rPr>
            </w:pPr>
          </w:p>
        </w:tc>
        <w:tc>
          <w:tcPr>
            <w:tcW w:w="191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6"/>
                <w:w w:val="95"/>
                <w:sz w:val="20"/>
              </w:rPr>
            </w:pPr>
            <w:r>
              <w:rPr>
                <w:rFonts w:hint="eastAsia" w:asciiTheme="minorEastAsia" w:hAnsiTheme="minorEastAsia" w:eastAsiaTheme="minorEastAsia"/>
                <w:spacing w:val="-6"/>
                <w:w w:val="95"/>
                <w:sz w:val="20"/>
              </w:rPr>
              <w:t>医療的ケア児等コーディネーターの配置</w:t>
            </w:r>
          </w:p>
        </w:tc>
        <w:tc>
          <w:tcPr>
            <w:tcW w:w="12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配置数</w:t>
            </w:r>
          </w:p>
        </w:tc>
        <w:tc>
          <w:tcPr>
            <w:tcW w:w="7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gridAfter w:val="1"/>
          <w:wAfter w:w="11" w:type="dxa"/>
          <w:trHeight w:val="240" w:hRule="atLeast"/>
        </w:trPr>
        <w:tc>
          <w:tcPr>
            <w:tcW w:w="4167" w:type="dxa"/>
            <w:gridSpan w:val="4"/>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発達障害児者及び家族等支援事業</w:t>
            </w:r>
          </w:p>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 xml:space="preserve"> </w:t>
            </w:r>
            <w:r>
              <w:rPr>
                <w:rFonts w:hint="eastAsia" w:asciiTheme="minorEastAsia" w:hAnsiTheme="minorEastAsia" w:eastAsiaTheme="minorEastAsia"/>
                <w:sz w:val="20"/>
              </w:rPr>
              <w:t>家族のスキル向上支援事業</w:t>
            </w:r>
          </w:p>
        </w:tc>
        <w:tc>
          <w:tcPr>
            <w:tcW w:w="816"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5" w:type="dxa"/>
            <w:tcBorders>
              <w:top w:val="nil"/>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r>
      <w:tr>
        <w:trPr>
          <w:gridAfter w:val="1"/>
          <w:wAfter w:w="11" w:type="dxa"/>
          <w:trHeight w:val="384" w:hRule="atLeast"/>
        </w:trPr>
        <w:tc>
          <w:tcPr>
            <w:tcW w:w="278"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bottom"/>
          </w:tcPr>
          <w:p>
            <w:pPr>
              <w:pStyle w:val="0"/>
              <w:spacing w:line="0" w:lineRule="atLeast"/>
              <w:rPr>
                <w:rFonts w:hint="default" w:asciiTheme="minorEastAsia" w:hAnsiTheme="minorEastAsia" w:eastAsiaTheme="minorEastAsia"/>
                <w:sz w:val="20"/>
              </w:rPr>
            </w:pPr>
          </w:p>
        </w:tc>
        <w:tc>
          <w:tcPr>
            <w:tcW w:w="1910"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11"/>
                <w:w w:val="90"/>
                <w:sz w:val="20"/>
              </w:rPr>
            </w:pPr>
            <w:r>
              <w:rPr>
                <w:rFonts w:hint="eastAsia" w:asciiTheme="minorEastAsia" w:hAnsiTheme="minorEastAsia" w:eastAsiaTheme="minorEastAsia"/>
                <w:spacing w:val="-11"/>
                <w:w w:val="90"/>
                <w:sz w:val="20"/>
              </w:rPr>
              <w:t>ペアレントプログラムやペアレントプログラム等の支援プログラム</w:t>
            </w:r>
          </w:p>
        </w:tc>
        <w:tc>
          <w:tcPr>
            <w:tcW w:w="12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開催数</w:t>
            </w:r>
          </w:p>
        </w:tc>
        <w:tc>
          <w:tcPr>
            <w:tcW w:w="7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回数</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r>
      <w:tr>
        <w:trPr>
          <w:gridAfter w:val="1"/>
          <w:wAfter w:w="11" w:type="dxa"/>
          <w:trHeight w:val="384" w:hRule="atLeast"/>
        </w:trPr>
        <w:tc>
          <w:tcPr>
            <w:tcW w:w="278" w:type="dxa"/>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0" w:lineRule="atLeast"/>
              <w:rPr>
                <w:rFonts w:hint="default" w:asciiTheme="minorEastAsia" w:hAnsiTheme="minorEastAsia" w:eastAsiaTheme="minorEastAsia"/>
                <w:sz w:val="20"/>
              </w:rPr>
            </w:pPr>
          </w:p>
        </w:tc>
        <w:tc>
          <w:tcPr>
            <w:tcW w:w="1910"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6"/>
                <w:sz w:val="20"/>
              </w:rPr>
            </w:pPr>
          </w:p>
        </w:tc>
        <w:tc>
          <w:tcPr>
            <w:tcW w:w="12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実利用人数</w:t>
            </w:r>
          </w:p>
        </w:tc>
        <w:tc>
          <w:tcPr>
            <w:tcW w:w="7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14</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r>
    </w:tbl>
    <w:p>
      <w:pPr>
        <w:pStyle w:val="89"/>
        <w:ind w:left="560" w:leftChars="250" w:firstLine="0" w:firstLineChars="0"/>
        <w:rPr>
          <w:rFonts w:hint="default"/>
        </w:rPr>
      </w:pPr>
      <w:r>
        <w:rPr>
          <w:rFonts w:hint="eastAsia"/>
        </w:rPr>
        <w:t>※令和５年度は、見込みの数値。</w:t>
      </w:r>
    </w:p>
    <w:p>
      <w:pPr>
        <w:pStyle w:val="89"/>
        <w:ind w:left="662" w:hanging="214" w:hangingChars="100"/>
        <w:rPr>
          <w:rFonts w:hint="default"/>
          <w:spacing w:val="0"/>
        </w:rPr>
      </w:pPr>
    </w:p>
    <w:p>
      <w:pPr>
        <w:pStyle w:val="89"/>
        <w:ind w:left="662" w:hanging="214" w:hangingChars="100"/>
        <w:rPr>
          <w:rFonts w:hint="default"/>
          <w:spacing w:val="0"/>
        </w:rPr>
      </w:pPr>
    </w:p>
    <w:p>
      <w:pPr>
        <w:pStyle w:val="89"/>
        <w:ind w:left="560" w:leftChars="250" w:firstLine="0" w:firstLineChars="0"/>
        <w:rPr>
          <w:rFonts w:hint="default"/>
          <w:spacing w:val="0"/>
        </w:rPr>
      </w:pPr>
      <w:r>
        <w:rPr>
          <w:rFonts w:hint="default"/>
          <w:spacing w:val="0"/>
        </w:rPr>
        <w:br w:type="page"/>
      </w:r>
    </w:p>
    <w:p>
      <w:pPr>
        <w:pStyle w:val="22"/>
        <w:spacing w:after="296" w:afterLines="0" w:afterAutospacing="0"/>
        <w:rPr>
          <w:rFonts w:hint="default"/>
        </w:rPr>
      </w:pPr>
      <w:bookmarkStart w:id="330" w:name="_Toc162263681"/>
      <w:bookmarkStart w:id="331" w:name="_Toc59549982"/>
      <w:bookmarkStart w:id="332" w:name="_Toc67040253"/>
      <w:r>
        <w:rPr>
          <w:rFonts w:hint="eastAsia"/>
        </w:rPr>
        <w:t>第６章　第３期</w:t>
      </w:r>
      <w:r>
        <w:rPr>
          <w:rFonts w:hint="default"/>
        </w:rPr>
        <w:t>障</w:t>
      </w:r>
      <w:r>
        <w:rPr>
          <w:rFonts w:hint="eastAsia"/>
        </w:rPr>
        <w:t>がい児</w:t>
      </w:r>
      <w:r>
        <w:rPr>
          <w:rFonts w:hint="default"/>
        </w:rPr>
        <w:t>福祉計画</w:t>
      </w:r>
      <w:bookmarkEnd w:id="330"/>
      <w:bookmarkEnd w:id="331"/>
      <w:bookmarkEnd w:id="332"/>
    </w:p>
    <w:p>
      <w:pPr>
        <w:pStyle w:val="80"/>
        <w:spacing w:after="92" w:afterLines="0" w:afterAutospacing="0"/>
        <w:rPr>
          <w:rFonts w:hint="default"/>
        </w:rPr>
      </w:pPr>
      <w:bookmarkStart w:id="333" w:name="_Toc162263682"/>
      <w:bookmarkStart w:id="334" w:name="_Toc59549983"/>
      <w:bookmarkStart w:id="335" w:name="_Toc67040254"/>
      <w:r>
        <w:rPr>
          <w:rFonts w:hint="default"/>
        </w:rPr>
        <w:t>１．成果目標</w:t>
      </w:r>
      <w:bookmarkEnd w:id="333"/>
      <w:bookmarkEnd w:id="334"/>
      <w:bookmarkEnd w:id="335"/>
    </w:p>
    <w:p>
      <w:pPr>
        <w:pStyle w:val="81"/>
        <w:spacing w:after="37" w:afterLines="0" w:afterAutospacing="0"/>
        <w:ind w:left="224"/>
        <w:rPr>
          <w:rFonts w:hint="default"/>
        </w:rPr>
      </w:pPr>
      <w:bookmarkStart w:id="336" w:name="_Toc59549984"/>
      <w:bookmarkStart w:id="337" w:name="_Toc67040255"/>
      <w:r>
        <w:rPr>
          <w:rFonts w:hint="default"/>
        </w:rPr>
        <w:t>(</w:t>
      </w:r>
      <w:r>
        <w:rPr>
          <w:rFonts w:hint="eastAsia"/>
        </w:rPr>
        <w:t>１</w:t>
      </w:r>
      <w:r>
        <w:rPr>
          <w:rFonts w:hint="default"/>
        </w:rPr>
        <w:t>)</w:t>
      </w:r>
      <w:r>
        <w:rPr>
          <w:rFonts w:hint="eastAsia"/>
        </w:rPr>
        <w:t>障がい児福祉計画に係る障がい児の子ども・子育て支援等の提供体制の整備</w:t>
      </w:r>
      <w:bookmarkEnd w:id="336"/>
      <w:bookmarkEnd w:id="337"/>
    </w:p>
    <w:p>
      <w:pPr>
        <w:pStyle w:val="83"/>
        <w:spacing w:line="0" w:lineRule="atLeast"/>
        <w:ind w:left="672" w:firstLine="204"/>
        <w:rPr>
          <w:rFonts w:hint="default"/>
          <w:sz w:val="20"/>
        </w:rPr>
      </w:pPr>
    </w:p>
    <w:p>
      <w:pPr>
        <w:pStyle w:val="89"/>
        <w:ind w:left="417" w:leftChars="186" w:firstLine="0" w:firstLineChars="0"/>
        <w:rPr>
          <w:rFonts w:hint="default" w:asciiTheme="majorEastAsia" w:hAnsiTheme="majorEastAsia" w:eastAsiaTheme="majorEastAsia"/>
          <w:spacing w:val="0"/>
        </w:rPr>
      </w:pPr>
      <w:r>
        <w:rPr>
          <w:rFonts w:hint="eastAsia" w:asciiTheme="majorEastAsia" w:hAnsiTheme="majorEastAsia" w:eastAsiaTheme="majorEastAsia"/>
          <w:spacing w:val="0"/>
        </w:rPr>
        <w:t>＜障がい児福祉計画に係る障がい児の子ども・子育て支援等の提供体制の整備＞</w:t>
      </w:r>
    </w:p>
    <w:tbl>
      <w:tblPr>
        <w:tblStyle w:val="11"/>
        <w:tblW w:w="9213" w:type="dxa"/>
        <w:tblInd w:w="416" w:type="dxa"/>
        <w:tblLayout w:type="fixed"/>
        <w:tblCellMar>
          <w:left w:w="99" w:type="dxa"/>
          <w:right w:w="99" w:type="dxa"/>
        </w:tblCellMar>
        <w:tblLook w:firstRow="1" w:lastRow="0" w:firstColumn="1" w:lastColumn="0" w:noHBand="0" w:noVBand="1" w:val="04A0"/>
      </w:tblPr>
      <w:tblGrid>
        <w:gridCol w:w="2840"/>
        <w:gridCol w:w="1559"/>
        <w:gridCol w:w="1604"/>
        <w:gridCol w:w="1605"/>
        <w:gridCol w:w="1605"/>
      </w:tblGrid>
      <w:tr>
        <w:trPr/>
        <w:tc>
          <w:tcPr>
            <w:tcW w:w="284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事　項</w:t>
            </w:r>
          </w:p>
        </w:tc>
        <w:tc>
          <w:tcPr>
            <w:tcW w:w="1559"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令和４年度末の実績（人）</w:t>
            </w:r>
          </w:p>
        </w:tc>
        <w:tc>
          <w:tcPr>
            <w:tcW w:w="4814"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利用ニーズを踏まえた必要な見込み量</w:t>
            </w:r>
            <w:r>
              <w:rPr>
                <w:rFonts w:hint="default" w:asciiTheme="minorEastAsia" w:hAnsiTheme="minorEastAsia" w:eastAsiaTheme="minorEastAsia"/>
                <w:sz w:val="20"/>
              </w:rPr>
              <w:t>(</w:t>
            </w:r>
            <w:r>
              <w:rPr>
                <w:rFonts w:hint="default" w:asciiTheme="minorEastAsia" w:hAnsiTheme="minorEastAsia" w:eastAsiaTheme="minorEastAsia"/>
                <w:sz w:val="20"/>
              </w:rPr>
              <w:t>人</w:t>
            </w:r>
            <w:r>
              <w:rPr>
                <w:rFonts w:hint="default" w:asciiTheme="minorEastAsia" w:hAnsiTheme="minorEastAsia" w:eastAsiaTheme="minorEastAsia"/>
                <w:sz w:val="20"/>
              </w:rPr>
              <w:t>)</w:t>
            </w:r>
          </w:p>
        </w:tc>
      </w:tr>
      <w:tr>
        <w:trPr/>
        <w:tc>
          <w:tcPr>
            <w:tcW w:w="2840" w:type="dxa"/>
            <w:vMerge w:val="continue"/>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559" w:type="dxa"/>
            <w:vMerge w:val="continue"/>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16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令和６年度</w:t>
            </w:r>
          </w:p>
        </w:tc>
        <w:tc>
          <w:tcPr>
            <w:tcW w:w="160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令和７年度</w:t>
            </w:r>
          </w:p>
        </w:tc>
        <w:tc>
          <w:tcPr>
            <w:tcW w:w="160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令和８年度</w:t>
            </w:r>
          </w:p>
        </w:tc>
      </w:tr>
      <w:tr>
        <w:trPr/>
        <w:tc>
          <w:tcPr>
            <w:tcW w:w="284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保育所</w:t>
            </w:r>
          </w:p>
        </w:tc>
        <w:tc>
          <w:tcPr>
            <w:tcW w:w="155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43</w:t>
            </w:r>
          </w:p>
        </w:tc>
        <w:tc>
          <w:tcPr>
            <w:tcW w:w="160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43</w:t>
            </w:r>
          </w:p>
        </w:tc>
        <w:tc>
          <w:tcPr>
            <w:tcW w:w="1605"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43</w:t>
            </w:r>
          </w:p>
        </w:tc>
        <w:tc>
          <w:tcPr>
            <w:tcW w:w="1605"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43</w:t>
            </w:r>
          </w:p>
        </w:tc>
      </w:tr>
      <w:tr>
        <w:trPr/>
        <w:tc>
          <w:tcPr>
            <w:tcW w:w="28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認定こども園</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1</w:t>
            </w:r>
          </w:p>
        </w:tc>
        <w:tc>
          <w:tcPr>
            <w:tcW w:w="16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1</w:t>
            </w:r>
          </w:p>
        </w:tc>
        <w:tc>
          <w:tcPr>
            <w:tcW w:w="1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1</w:t>
            </w:r>
          </w:p>
        </w:tc>
        <w:tc>
          <w:tcPr>
            <w:tcW w:w="1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1</w:t>
            </w:r>
          </w:p>
        </w:tc>
      </w:tr>
      <w:tr>
        <w:trPr/>
        <w:tc>
          <w:tcPr>
            <w:tcW w:w="28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放課後児童健全育成事業</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27</w:t>
            </w:r>
          </w:p>
        </w:tc>
        <w:tc>
          <w:tcPr>
            <w:tcW w:w="16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27</w:t>
            </w:r>
          </w:p>
        </w:tc>
        <w:tc>
          <w:tcPr>
            <w:tcW w:w="1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27</w:t>
            </w:r>
          </w:p>
        </w:tc>
        <w:tc>
          <w:tcPr>
            <w:tcW w:w="1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27</w:t>
            </w:r>
          </w:p>
        </w:tc>
      </w:tr>
      <w:tr>
        <w:trPr/>
        <w:tc>
          <w:tcPr>
            <w:tcW w:w="28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幼稚園</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24</w:t>
            </w:r>
          </w:p>
        </w:tc>
        <w:tc>
          <w:tcPr>
            <w:tcW w:w="16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23</w:t>
            </w:r>
          </w:p>
        </w:tc>
        <w:tc>
          <w:tcPr>
            <w:tcW w:w="1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25</w:t>
            </w:r>
          </w:p>
        </w:tc>
        <w:tc>
          <w:tcPr>
            <w:tcW w:w="1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24</w:t>
            </w:r>
          </w:p>
        </w:tc>
      </w:tr>
    </w:tbl>
    <w:p>
      <w:pPr>
        <w:pStyle w:val="89"/>
        <w:ind w:left="1009" w:leftChars="450" w:firstLine="214"/>
        <w:rPr>
          <w:rFonts w:hint="default"/>
          <w:spacing w:val="0"/>
        </w:rPr>
      </w:pPr>
    </w:p>
    <w:p>
      <w:pPr>
        <w:pStyle w:val="81"/>
        <w:spacing w:after="37" w:afterLines="0" w:afterAutospacing="0"/>
        <w:ind w:left="224"/>
        <w:rPr>
          <w:rFonts w:hint="default"/>
        </w:rPr>
      </w:pPr>
      <w:bookmarkStart w:id="338" w:name="_Toc59549985"/>
      <w:bookmarkStart w:id="339" w:name="_Toc67040256"/>
      <w:r>
        <w:rPr>
          <w:rFonts w:hint="default"/>
        </w:rPr>
        <w:t>(</w:t>
      </w:r>
      <w:r>
        <w:rPr>
          <w:rFonts w:hint="eastAsia"/>
        </w:rPr>
        <w:t>２</w:t>
      </w:r>
      <w:r>
        <w:rPr>
          <w:rFonts w:hint="default"/>
        </w:rPr>
        <w:t>)</w:t>
      </w:r>
      <w:r>
        <w:rPr>
          <w:rFonts w:hint="eastAsia"/>
        </w:rPr>
        <w:t>障がい児支援の提供体制の整備等</w:t>
      </w:r>
      <w:bookmarkEnd w:id="338"/>
      <w:bookmarkEnd w:id="339"/>
    </w:p>
    <w:p>
      <w:pPr>
        <w:pStyle w:val="82"/>
        <w:ind w:left="784" w:hanging="336"/>
        <w:rPr>
          <w:rFonts w:hint="default"/>
        </w:rPr>
      </w:pPr>
      <w:r>
        <w:rPr>
          <w:rFonts w:hint="eastAsia"/>
        </w:rPr>
        <w:t>①</w:t>
      </w:r>
      <w:r>
        <w:rPr>
          <w:rFonts w:hint="eastAsia"/>
        </w:rPr>
        <w:t xml:space="preserve"> </w:t>
      </w:r>
      <w:r>
        <w:rPr>
          <w:rFonts w:hint="eastAsia"/>
        </w:rPr>
        <w:t>重層的な地域支援体制の構築を目指すための児童発達支援センターの設置</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843"/>
        <w:gridCol w:w="1134"/>
        <w:gridCol w:w="1276"/>
        <w:gridCol w:w="4677"/>
      </w:tblGrid>
      <w:tr>
        <w:trPr/>
        <w:tc>
          <w:tcPr>
            <w:tcW w:w="184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134"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設置方法</w:t>
            </w:r>
          </w:p>
        </w:tc>
        <w:tc>
          <w:tcPr>
            <w:tcW w:w="1276"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設置時期</w:t>
            </w:r>
          </w:p>
        </w:tc>
        <w:tc>
          <w:tcPr>
            <w:tcW w:w="467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184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児童発達支援センターの設置</w:t>
            </w:r>
          </w:p>
        </w:tc>
        <w:tc>
          <w:tcPr>
            <w:tcW w:w="1134"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単独設置</w:t>
            </w:r>
          </w:p>
        </w:tc>
        <w:tc>
          <w:tcPr>
            <w:tcW w:w="1276"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令和２年度</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4"/>
                <w:w w:val="95"/>
                <w:sz w:val="20"/>
              </w:rPr>
            </w:pPr>
            <w:r>
              <w:rPr>
                <w:rFonts w:hint="eastAsia" w:asciiTheme="minorEastAsia" w:hAnsiTheme="minorEastAsia" w:eastAsiaTheme="minorEastAsia"/>
                <w:spacing w:val="-4"/>
                <w:w w:val="95"/>
                <w:sz w:val="20"/>
              </w:rPr>
              <w:t>国指針：令和８年度末までに、各市町村に少なくとも一箇所以上設置することを基本とする。なお、市町村単独での設置が困難な場合には、圏域での設置であっても差し支えない。</w:t>
            </w:r>
          </w:p>
          <w:p>
            <w:pPr>
              <w:pStyle w:val="0"/>
              <w:autoSpaceDE w:val="0"/>
              <w:autoSpaceDN w:val="0"/>
              <w:spacing w:line="0" w:lineRule="atLeast"/>
              <w:rPr>
                <w:rFonts w:hint="default" w:asciiTheme="minorEastAsia" w:hAnsiTheme="minorEastAsia" w:eastAsiaTheme="minorEastAsia"/>
                <w:spacing w:val="-4"/>
                <w:w w:val="95"/>
                <w:sz w:val="20"/>
              </w:rPr>
            </w:pPr>
            <w:r>
              <w:rPr>
                <w:rFonts w:hint="eastAsia" w:asciiTheme="minorEastAsia" w:hAnsiTheme="minorEastAsia" w:eastAsiaTheme="minorEastAsia"/>
                <w:spacing w:val="-4"/>
                <w:w w:val="95"/>
                <w:sz w:val="20"/>
              </w:rPr>
              <w:t>地域の実情により児童発達支援センターを未設置の市町村においては、障害福祉主管部局等が中心となって、関係機関の連携の下で児童発達支援センターの中核的な支援機能と同等の機能を有する体制を地域において整備することが必要である。</w:t>
            </w:r>
          </w:p>
        </w:tc>
      </w:tr>
    </w:tbl>
    <w:p>
      <w:pPr>
        <w:pStyle w:val="83"/>
        <w:spacing w:line="0" w:lineRule="atLeast"/>
        <w:ind w:left="672" w:firstLine="204"/>
        <w:rPr>
          <w:rFonts w:hint="default"/>
          <w:sz w:val="20"/>
        </w:rPr>
      </w:pPr>
    </w:p>
    <w:tbl>
      <w:tblPr>
        <w:tblStyle w:val="11"/>
        <w:tblW w:w="8930" w:type="dxa"/>
        <w:tblInd w:w="704"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Look w:firstRow="1" w:lastRow="0" w:firstColumn="1" w:lastColumn="0" w:noHBand="0" w:noVBand="1" w:val="04A0"/>
      </w:tblPr>
      <w:tblGrid>
        <w:gridCol w:w="8930"/>
      </w:tblGrid>
      <w:tr>
        <w:trPr/>
        <w:tc>
          <w:tcPr>
            <w:tcW w:w="8930" w:type="dxa"/>
            <w:shd w:val="clear" w:color="auto" w:fill="auto"/>
            <w:tcMar>
              <w:top w:w="57" w:type="dxa"/>
              <w:bottom w:w="57" w:type="dxa"/>
            </w:tcMar>
            <w:vAlign w:val="top"/>
          </w:tcPr>
          <w:p>
            <w:pPr>
              <w:pStyle w:val="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具体的な方法</w:t>
            </w:r>
          </w:p>
          <w:p>
            <w:pPr>
              <w:pStyle w:val="0"/>
              <w:ind w:left="224" w:leftChars="100"/>
              <w:rPr>
                <w:rFonts w:hint="default" w:asciiTheme="minorEastAsia" w:hAnsiTheme="minorEastAsia" w:eastAsiaTheme="minorEastAsia"/>
              </w:rPr>
            </w:pPr>
            <w:r>
              <w:rPr>
                <w:rFonts w:hint="eastAsia" w:asciiTheme="minorEastAsia" w:hAnsiTheme="minorEastAsia" w:eastAsiaTheme="minorEastAsia"/>
              </w:rPr>
              <w:t>町内に事業者による児童発達支援センターが</w:t>
            </w:r>
            <w:r>
              <w:rPr>
                <w:rFonts w:hint="default" w:asciiTheme="minorEastAsia" w:hAnsiTheme="minorEastAsia" w:eastAsiaTheme="minorEastAsia"/>
              </w:rPr>
              <w:t>令和２年度に設置され</w:t>
            </w:r>
            <w:r>
              <w:rPr>
                <w:rFonts w:hint="eastAsia" w:asciiTheme="minorEastAsia" w:hAnsiTheme="minorEastAsia" w:eastAsiaTheme="minorEastAsia"/>
              </w:rPr>
              <w:t>まし</w:t>
            </w:r>
            <w:r>
              <w:rPr>
                <w:rFonts w:hint="default" w:asciiTheme="minorEastAsia" w:hAnsiTheme="minorEastAsia" w:eastAsiaTheme="minorEastAsia"/>
              </w:rPr>
              <w:t>た。</w:t>
            </w:r>
          </w:p>
        </w:tc>
      </w:tr>
    </w:tbl>
    <w:p>
      <w:pPr>
        <w:pStyle w:val="83"/>
        <w:spacing w:line="0" w:lineRule="atLeast"/>
        <w:ind w:left="672" w:firstLine="64"/>
        <w:rPr>
          <w:rFonts w:hint="default"/>
          <w:sz w:val="6"/>
        </w:rPr>
      </w:pPr>
    </w:p>
    <w:p>
      <w:pPr>
        <w:pStyle w:val="83"/>
        <w:spacing w:line="240" w:lineRule="exact"/>
        <w:ind w:left="672" w:firstLine="224"/>
        <w:rPr>
          <w:rFonts w:hint="default"/>
        </w:rPr>
      </w:pPr>
    </w:p>
    <w:p>
      <w:pPr>
        <w:pStyle w:val="82"/>
        <w:ind w:left="784" w:hanging="336"/>
        <w:rPr>
          <w:rFonts w:hint="default"/>
        </w:rPr>
      </w:pPr>
      <w:r>
        <w:rPr>
          <w:rFonts w:hint="eastAsia"/>
        </w:rPr>
        <w:t>②</w:t>
      </w:r>
      <w:r>
        <w:rPr>
          <w:rFonts w:hint="eastAsia"/>
        </w:rPr>
        <w:t xml:space="preserve"> </w:t>
      </w:r>
      <w:r>
        <w:rPr>
          <w:rFonts w:hint="eastAsia"/>
        </w:rPr>
        <w:t>保育所等訪問支援等を活用した障がい児の地域社会への参加・包容</w:t>
      </w:r>
      <w:r>
        <w:rPr>
          <w:rFonts w:hint="default"/>
        </w:rPr>
        <w:t>(</w:t>
      </w:r>
      <w:r>
        <w:rPr>
          <w:rFonts w:hint="eastAsia"/>
        </w:rPr>
        <w:t>インクルージョン</w:t>
      </w:r>
      <w:r>
        <w:rPr>
          <w:rFonts w:hint="default"/>
        </w:rPr>
        <w:t>)</w:t>
      </w:r>
      <w:r>
        <w:rPr>
          <w:rFonts w:hint="eastAsia"/>
        </w:rPr>
        <w:t>を推進する体制の構築</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693"/>
        <w:gridCol w:w="1276"/>
        <w:gridCol w:w="4961"/>
      </w:tblGrid>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276"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構築時期</w:t>
            </w:r>
          </w:p>
        </w:tc>
        <w:tc>
          <w:tcPr>
            <w:tcW w:w="4961"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障害児の地域社会への参加・包容</w:t>
            </w:r>
            <w:r>
              <w:rPr>
                <w:rFonts w:hint="default" w:asciiTheme="minorEastAsia" w:hAnsiTheme="minorEastAsia" w:eastAsiaTheme="minorEastAsia"/>
                <w:sz w:val="20"/>
              </w:rPr>
              <w:t>(</w:t>
            </w:r>
            <w:r>
              <w:rPr>
                <w:rFonts w:hint="eastAsia" w:asciiTheme="minorEastAsia" w:hAnsiTheme="minorEastAsia" w:eastAsiaTheme="minorEastAsia"/>
                <w:sz w:val="20"/>
              </w:rPr>
              <w:t>インクルージョン</w:t>
            </w:r>
            <w:r>
              <w:rPr>
                <w:rFonts w:hint="default" w:asciiTheme="minorEastAsia" w:hAnsiTheme="minorEastAsia" w:eastAsiaTheme="minorEastAsia"/>
                <w:sz w:val="20"/>
              </w:rPr>
              <w:t>)</w:t>
            </w:r>
            <w:r>
              <w:rPr>
                <w:rFonts w:hint="eastAsia" w:asciiTheme="minorEastAsia" w:hAnsiTheme="minorEastAsia" w:eastAsiaTheme="minorEastAsia"/>
                <w:sz w:val="20"/>
              </w:rPr>
              <w:t>を推進する体制の構築</w:t>
            </w:r>
          </w:p>
        </w:tc>
        <w:tc>
          <w:tcPr>
            <w:tcW w:w="1276"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令和３年度</w:t>
            </w:r>
          </w:p>
        </w:tc>
        <w:tc>
          <w:tcPr>
            <w:tcW w:w="4961"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6"/>
                <w:w w:val="95"/>
                <w:sz w:val="20"/>
              </w:rPr>
            </w:pPr>
            <w:r>
              <w:rPr>
                <w:rFonts w:hint="eastAsia" w:asciiTheme="minorEastAsia" w:hAnsiTheme="minorEastAsia" w:eastAsiaTheme="minorEastAsia"/>
                <w:spacing w:val="-6"/>
                <w:w w:val="95"/>
                <w:sz w:val="20"/>
              </w:rPr>
              <w:t>国指針：各市町村又は各圏域に設置された児童発達支援センターや地域の障害児通所支援事業所等が保育所等訪問支援等を活用しながら、令和８年度末までに、全ての市町村において、障がい児の地域社会への参加・包容</w:t>
            </w:r>
            <w:r>
              <w:rPr>
                <w:rFonts w:hint="default" w:asciiTheme="minorEastAsia" w:hAnsiTheme="minorEastAsia" w:eastAsiaTheme="minorEastAsia"/>
                <w:spacing w:val="-6"/>
                <w:w w:val="95"/>
                <w:sz w:val="20"/>
              </w:rPr>
              <w:t>(</w:t>
            </w:r>
            <w:r>
              <w:rPr>
                <w:rFonts w:hint="eastAsia" w:asciiTheme="minorEastAsia" w:hAnsiTheme="minorEastAsia" w:eastAsiaTheme="minorEastAsia"/>
                <w:spacing w:val="-6"/>
                <w:w w:val="95"/>
                <w:sz w:val="20"/>
              </w:rPr>
              <w:t>インクルージョン</w:t>
            </w:r>
            <w:r>
              <w:rPr>
                <w:rFonts w:hint="default" w:asciiTheme="minorEastAsia" w:hAnsiTheme="minorEastAsia" w:eastAsiaTheme="minorEastAsia"/>
                <w:spacing w:val="-6"/>
                <w:w w:val="95"/>
                <w:sz w:val="20"/>
              </w:rPr>
              <w:t>)</w:t>
            </w:r>
            <w:r>
              <w:rPr>
                <w:rFonts w:hint="eastAsia" w:asciiTheme="minorEastAsia" w:hAnsiTheme="minorEastAsia" w:eastAsiaTheme="minorEastAsia"/>
                <w:spacing w:val="-6"/>
                <w:w w:val="95"/>
                <w:sz w:val="20"/>
              </w:rPr>
              <w:t>を推進する体制を構築することを基本とする。</w:t>
            </w:r>
          </w:p>
        </w:tc>
      </w:tr>
    </w:tbl>
    <w:p>
      <w:pPr>
        <w:pStyle w:val="83"/>
        <w:spacing w:line="0" w:lineRule="atLeast"/>
        <w:ind w:left="672" w:firstLine="204"/>
        <w:rPr>
          <w:rFonts w:hint="default"/>
          <w:sz w:val="20"/>
        </w:rPr>
      </w:pPr>
    </w:p>
    <w:tbl>
      <w:tblPr>
        <w:tblStyle w:val="11"/>
        <w:tblW w:w="8930" w:type="dxa"/>
        <w:tblInd w:w="704"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Look w:firstRow="1" w:lastRow="0" w:firstColumn="1" w:lastColumn="0" w:noHBand="0" w:noVBand="1" w:val="04A0"/>
      </w:tblPr>
      <w:tblGrid>
        <w:gridCol w:w="8930"/>
      </w:tblGrid>
      <w:tr>
        <w:trPr/>
        <w:tc>
          <w:tcPr>
            <w:tcW w:w="8930" w:type="dxa"/>
            <w:shd w:val="clear" w:color="auto" w:fill="auto"/>
            <w:tcMar>
              <w:top w:w="57" w:type="dxa"/>
              <w:bottom w:w="57" w:type="dxa"/>
            </w:tcMar>
            <w:vAlign w:val="top"/>
          </w:tcPr>
          <w:p>
            <w:pPr>
              <w:pStyle w:val="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具体的な構築方法</w:t>
            </w:r>
          </w:p>
          <w:p>
            <w:pPr>
              <w:pStyle w:val="0"/>
              <w:ind w:left="224" w:leftChars="100"/>
              <w:rPr>
                <w:rFonts w:hint="default" w:asciiTheme="minorEastAsia" w:hAnsiTheme="minorEastAsia" w:eastAsiaTheme="minorEastAsia"/>
              </w:rPr>
            </w:pPr>
            <w:r>
              <w:rPr>
                <w:rFonts w:hint="eastAsia" w:asciiTheme="minorEastAsia" w:hAnsiTheme="minorEastAsia" w:eastAsiaTheme="minorEastAsia"/>
              </w:rPr>
              <w:t>保育所等訪問支援を利用できる体制整備はできています。</w:t>
            </w:r>
          </w:p>
        </w:tc>
      </w:tr>
    </w:tbl>
    <w:p>
      <w:pPr>
        <w:pStyle w:val="83"/>
        <w:spacing w:line="240" w:lineRule="exact"/>
        <w:ind w:left="672" w:firstLine="224"/>
        <w:rPr>
          <w:rFonts w:hint="default"/>
        </w:rPr>
      </w:pPr>
    </w:p>
    <w:p>
      <w:pPr>
        <w:pStyle w:val="82"/>
        <w:ind w:left="784" w:hanging="336"/>
        <w:rPr>
          <w:rFonts w:hint="default"/>
          <w:spacing w:val="-6"/>
        </w:rPr>
      </w:pPr>
      <w:r>
        <w:rPr>
          <w:rFonts w:hint="eastAsia"/>
        </w:rPr>
        <w:t>③</w:t>
      </w:r>
      <w:r>
        <w:rPr>
          <w:rFonts w:hint="eastAsia"/>
        </w:rPr>
        <w:t xml:space="preserve"> </w:t>
      </w:r>
      <w:r>
        <w:rPr>
          <w:rFonts w:hint="eastAsia"/>
          <w:spacing w:val="-6"/>
          <w:w w:val="98"/>
        </w:rPr>
        <w:t>主に重症心身障がい児を支援する児童発達支援事業所及び放課後等デイサービス事業所の確保</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693"/>
        <w:gridCol w:w="1134"/>
        <w:gridCol w:w="1134"/>
        <w:gridCol w:w="3969"/>
      </w:tblGrid>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134"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確保方法</w:t>
            </w:r>
          </w:p>
        </w:tc>
        <w:tc>
          <w:tcPr>
            <w:tcW w:w="1134"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確保時期</w:t>
            </w:r>
          </w:p>
        </w:tc>
        <w:tc>
          <w:tcPr>
            <w:tcW w:w="3969"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主に重症心身障がい児を支援する児童発達支援事業所及び放課後等デイサービス事業所の確保</w:t>
            </w:r>
          </w:p>
        </w:tc>
        <w:tc>
          <w:tcPr>
            <w:tcW w:w="1134"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単独確保</w:t>
            </w:r>
          </w:p>
        </w:tc>
        <w:tc>
          <w:tcPr>
            <w:tcW w:w="1134"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30</w:t>
            </w:r>
          </w:p>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年度</w:t>
            </w:r>
          </w:p>
        </w:tc>
        <w:tc>
          <w:tcPr>
            <w:tcW w:w="3969"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4"/>
                <w:w w:val="98"/>
                <w:sz w:val="20"/>
              </w:rPr>
            </w:pPr>
            <w:r>
              <w:rPr>
                <w:rFonts w:hint="eastAsia" w:asciiTheme="minorEastAsia" w:hAnsiTheme="minorEastAsia" w:eastAsiaTheme="minorEastAsia"/>
                <w:spacing w:val="-4"/>
                <w:w w:val="98"/>
                <w:sz w:val="20"/>
              </w:rPr>
              <w:t>国指針：令和８年度末までに、各市町村に少なくとも一箇所以上確保することを基本とする。なお、市町村単独での確保が困難な場合には、圏域での確保であっても差し支えない。</w:t>
            </w:r>
          </w:p>
        </w:tc>
      </w:tr>
    </w:tbl>
    <w:p>
      <w:pPr>
        <w:pStyle w:val="83"/>
        <w:spacing w:line="0" w:lineRule="atLeast"/>
        <w:ind w:left="672" w:firstLine="204"/>
        <w:rPr>
          <w:rFonts w:hint="default"/>
          <w:sz w:val="20"/>
        </w:rPr>
      </w:pPr>
    </w:p>
    <w:tbl>
      <w:tblPr>
        <w:tblStyle w:val="11"/>
        <w:tblW w:w="8930" w:type="dxa"/>
        <w:tblInd w:w="704"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Look w:firstRow="1" w:lastRow="0" w:firstColumn="1" w:lastColumn="0" w:noHBand="0" w:noVBand="1" w:val="04A0"/>
      </w:tblPr>
      <w:tblGrid>
        <w:gridCol w:w="8930"/>
      </w:tblGrid>
      <w:tr>
        <w:trPr/>
        <w:tc>
          <w:tcPr>
            <w:tcW w:w="8930" w:type="dxa"/>
            <w:shd w:val="clear" w:color="auto" w:fill="auto"/>
            <w:tcMar>
              <w:top w:w="57" w:type="dxa"/>
              <w:bottom w:w="57" w:type="dxa"/>
            </w:tcMar>
            <w:vAlign w:val="top"/>
          </w:tcPr>
          <w:p>
            <w:pPr>
              <w:pStyle w:val="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具体的な確保方法</w:t>
            </w:r>
          </w:p>
          <w:p>
            <w:pPr>
              <w:pStyle w:val="0"/>
              <w:ind w:left="224" w:leftChars="100"/>
              <w:rPr>
                <w:rFonts w:hint="default" w:asciiTheme="minorEastAsia" w:hAnsiTheme="minorEastAsia" w:eastAsiaTheme="minorEastAsia"/>
              </w:rPr>
            </w:pPr>
            <w:r>
              <w:rPr>
                <w:rFonts w:hint="eastAsia" w:asciiTheme="minorEastAsia" w:hAnsiTheme="minorEastAsia" w:eastAsiaTheme="minorEastAsia"/>
              </w:rPr>
              <w:t>事業者による重症心身障がい児を支援する児童発達支援事業所及び放課後等デイサービス事業所が確保できています。</w:t>
            </w:r>
          </w:p>
        </w:tc>
      </w:tr>
    </w:tbl>
    <w:p>
      <w:pPr>
        <w:pStyle w:val="83"/>
        <w:spacing w:line="240" w:lineRule="exact"/>
        <w:ind w:left="672" w:firstLine="224"/>
        <w:rPr>
          <w:rFonts w:hint="default"/>
        </w:rPr>
      </w:pPr>
    </w:p>
    <w:p>
      <w:pPr>
        <w:pStyle w:val="83"/>
        <w:spacing w:line="240" w:lineRule="exact"/>
        <w:ind w:left="672" w:firstLine="224"/>
        <w:rPr>
          <w:rFonts w:hint="default"/>
        </w:rPr>
      </w:pPr>
    </w:p>
    <w:p>
      <w:pPr>
        <w:pStyle w:val="82"/>
        <w:ind w:left="784" w:hanging="336"/>
        <w:rPr>
          <w:rFonts w:hint="default"/>
        </w:rPr>
      </w:pPr>
      <w:r>
        <w:rPr>
          <w:rFonts w:hint="eastAsia"/>
        </w:rPr>
        <w:t>④</w:t>
      </w:r>
      <w:r>
        <w:rPr>
          <w:rFonts w:hint="eastAsia"/>
        </w:rPr>
        <w:t xml:space="preserve"> </w:t>
      </w:r>
      <w:r>
        <w:rPr>
          <w:rFonts w:hint="eastAsia"/>
        </w:rPr>
        <w:t>医療的ケア児支援センター</w:t>
      </w:r>
      <w:r>
        <w:rPr>
          <w:rFonts w:hint="default"/>
        </w:rPr>
        <w:t>(</w:t>
      </w:r>
      <w:r>
        <w:rPr>
          <w:rFonts w:hint="default"/>
        </w:rPr>
        <w:t>都道府県ごと</w:t>
      </w:r>
      <w:r>
        <w:rPr>
          <w:rFonts w:hint="default"/>
        </w:rPr>
        <w:t>)</w:t>
      </w:r>
      <w:r>
        <w:rPr>
          <w:rFonts w:hint="eastAsia"/>
        </w:rPr>
        <w:t>の設置、医療的ケア児等支援のための関係機関の協議の場の設置</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895"/>
        <w:gridCol w:w="1134"/>
        <w:gridCol w:w="1134"/>
        <w:gridCol w:w="4767"/>
      </w:tblGrid>
      <w:tr>
        <w:trPr/>
        <w:tc>
          <w:tcPr>
            <w:tcW w:w="1895"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134"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設置方法</w:t>
            </w:r>
          </w:p>
        </w:tc>
        <w:tc>
          <w:tcPr>
            <w:tcW w:w="1134"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6"/>
                <w:w w:val="98"/>
                <w:sz w:val="20"/>
              </w:rPr>
            </w:pPr>
            <w:r>
              <w:rPr>
                <w:rFonts w:hint="eastAsia" w:asciiTheme="minorEastAsia" w:hAnsiTheme="minorEastAsia" w:eastAsiaTheme="minorEastAsia"/>
                <w:spacing w:val="-6"/>
                <w:w w:val="98"/>
                <w:sz w:val="20"/>
              </w:rPr>
              <w:t>設置時期</w:t>
            </w:r>
            <w:r>
              <w:rPr>
                <w:rFonts w:hint="eastAsia" w:asciiTheme="minorEastAsia" w:hAnsiTheme="minorEastAsia" w:eastAsiaTheme="minorEastAsia"/>
                <w:spacing w:val="-6"/>
                <w:w w:val="98"/>
                <w:sz w:val="20"/>
                <w:vertAlign w:val="superscript"/>
              </w:rPr>
              <w:t>※</w:t>
            </w:r>
          </w:p>
        </w:tc>
        <w:tc>
          <w:tcPr>
            <w:tcW w:w="476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1895"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保健、医療、障害福祉、保育、教育等の関係機関等が連携を図るための協議の場の設置</w:t>
            </w:r>
          </w:p>
        </w:tc>
        <w:tc>
          <w:tcPr>
            <w:tcW w:w="1134"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単独設置</w:t>
            </w:r>
          </w:p>
        </w:tc>
        <w:tc>
          <w:tcPr>
            <w:tcW w:w="1134"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令和元</w:t>
            </w:r>
          </w:p>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年度</w:t>
            </w:r>
          </w:p>
        </w:tc>
        <w:tc>
          <w:tcPr>
            <w:tcW w:w="476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4"/>
                <w:w w:val="95"/>
                <w:sz w:val="20"/>
              </w:rPr>
            </w:pPr>
            <w:r>
              <w:rPr>
                <w:rFonts w:hint="eastAsia" w:asciiTheme="minorEastAsia" w:hAnsiTheme="minorEastAsia" w:eastAsiaTheme="minorEastAsia"/>
                <w:spacing w:val="-4"/>
                <w:w w:val="95"/>
                <w:sz w:val="20"/>
              </w:rPr>
              <w:t>国指針：各都道府県及び各市町村において、保健、医療、障害福祉、保育、教育等の関係機関等が連携を図るための協議の場を設けるとともに、医療的ケア児等に関するコーディネーターを配置することを基本とする。なお、市町村単独での設置が困難な場合には、都道府県が関与した上での、圏域での設置であっても差し支えない。</w:t>
            </w:r>
          </w:p>
        </w:tc>
      </w:tr>
    </w:tbl>
    <w:p>
      <w:pPr>
        <w:pStyle w:val="83"/>
        <w:ind w:left="672" w:firstLine="0" w:firstLineChars="0"/>
        <w:rPr>
          <w:rFonts w:hint="default"/>
          <w:sz w:val="18"/>
        </w:rPr>
      </w:pPr>
      <w:r>
        <w:rPr>
          <w:rFonts w:hint="eastAsia"/>
          <w:sz w:val="18"/>
        </w:rPr>
        <w:t>※国指針においては、令和８年度末までに確保することとされている</w:t>
      </w:r>
    </w:p>
    <w:p>
      <w:pPr>
        <w:pStyle w:val="83"/>
        <w:ind w:left="672" w:firstLine="0" w:firstLineChars="0"/>
        <w:rPr>
          <w:rFonts w:hint="default" w:asciiTheme="minorEastAsia" w:hAnsiTheme="minorEastAsia" w:eastAsiaTheme="minorEastAsia"/>
        </w:rPr>
      </w:pPr>
      <w:bookmarkStart w:id="340" w:name="_Hlk50032703"/>
      <w:r>
        <w:rPr>
          <w:rFonts w:hint="eastAsia" w:asciiTheme="minorEastAsia" w:hAnsiTheme="minorEastAsia" w:eastAsiaTheme="minorEastAsia"/>
        </w:rPr>
        <w:t>■設置方法の詳細</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977"/>
        <w:gridCol w:w="1417"/>
        <w:gridCol w:w="4536"/>
      </w:tblGrid>
      <w:tr>
        <w:trPr/>
        <w:tc>
          <w:tcPr>
            <w:tcW w:w="297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bookmarkEnd w:id="340"/>
          </w:p>
        </w:tc>
        <w:tc>
          <w:tcPr>
            <w:tcW w:w="141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設置方法</w:t>
            </w:r>
          </w:p>
        </w:tc>
        <w:tc>
          <w:tcPr>
            <w:tcW w:w="4536"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具体的内容</w:t>
            </w:r>
          </w:p>
        </w:tc>
      </w:tr>
      <w:tr>
        <w:trPr/>
        <w:tc>
          <w:tcPr>
            <w:tcW w:w="297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保健、医療、障害福祉、保育、教育等の関係機関等が連携を図るための協議の場の設置</w:t>
            </w:r>
          </w:p>
        </w:tc>
        <w:tc>
          <w:tcPr>
            <w:tcW w:w="1417"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新規設置</w:t>
            </w:r>
          </w:p>
        </w:tc>
        <w:tc>
          <w:tcPr>
            <w:tcW w:w="4536"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令和元年度に保健、医療、福祉関係者との協議の場を単独設置。</w:t>
            </w:r>
          </w:p>
        </w:tc>
      </w:tr>
    </w:tbl>
    <w:p>
      <w:pPr>
        <w:pStyle w:val="83"/>
        <w:spacing w:line="0" w:lineRule="atLeast"/>
        <w:ind w:left="672" w:firstLine="204"/>
        <w:rPr>
          <w:rFonts w:hint="default"/>
          <w:sz w:val="20"/>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895"/>
        <w:gridCol w:w="940"/>
        <w:gridCol w:w="992"/>
        <w:gridCol w:w="992"/>
        <w:gridCol w:w="993"/>
        <w:gridCol w:w="3118"/>
      </w:tblGrid>
      <w:tr>
        <w:trPr/>
        <w:tc>
          <w:tcPr>
            <w:tcW w:w="1895"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940" w:type="dxa"/>
            <w:vMerge w:val="restart"/>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w:t>
            </w:r>
          </w:p>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人数</w:t>
            </w:r>
          </w:p>
        </w:tc>
        <w:tc>
          <w:tcPr>
            <w:tcW w:w="2977" w:type="dxa"/>
            <w:gridSpan w:val="3"/>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配置時期及び人数</w:t>
            </w:r>
            <w:r>
              <w:rPr>
                <w:rFonts w:hint="eastAsia" w:asciiTheme="minorEastAsia" w:hAnsiTheme="minorEastAsia" w:eastAsiaTheme="minorEastAsia"/>
                <w:sz w:val="20"/>
              </w:rPr>
              <w:tab/>
            </w:r>
          </w:p>
        </w:tc>
        <w:tc>
          <w:tcPr>
            <w:tcW w:w="3118"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備考</w:t>
            </w:r>
          </w:p>
        </w:tc>
      </w:tr>
      <w:tr>
        <w:trPr/>
        <w:tc>
          <w:tcPr>
            <w:tcW w:w="1895" w:type="dxa"/>
            <w:vMerge w:val="continue"/>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940" w:type="dxa"/>
            <w:vMerge w:val="continue"/>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p>
        </w:tc>
        <w:tc>
          <w:tcPr>
            <w:tcW w:w="992"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5"/>
                <w:sz w:val="20"/>
              </w:rPr>
              <w:t>令和６年</w:t>
            </w:r>
          </w:p>
        </w:tc>
        <w:tc>
          <w:tcPr>
            <w:tcW w:w="992"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5"/>
                <w:sz w:val="20"/>
              </w:rPr>
              <w:t>令和７年</w:t>
            </w:r>
          </w:p>
        </w:tc>
        <w:tc>
          <w:tcPr>
            <w:tcW w:w="993"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5"/>
                <w:sz w:val="20"/>
              </w:rPr>
              <w:t>令和８年</w:t>
            </w:r>
          </w:p>
        </w:tc>
        <w:tc>
          <w:tcPr>
            <w:tcW w:w="3118" w:type="dxa"/>
            <w:vMerge w:val="continue"/>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p>
        </w:tc>
      </w:tr>
      <w:tr>
        <w:trPr/>
        <w:tc>
          <w:tcPr>
            <w:tcW w:w="1895"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医療的ケア児等に関するコーディネーターの配置</w:t>
            </w:r>
          </w:p>
        </w:tc>
        <w:tc>
          <w:tcPr>
            <w:tcW w:w="940" w:type="dxa"/>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1</w:t>
            </w:r>
          </w:p>
        </w:tc>
        <w:tc>
          <w:tcPr>
            <w:tcW w:w="992"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w:t>
            </w:r>
          </w:p>
        </w:tc>
        <w:tc>
          <w:tcPr>
            <w:tcW w:w="992"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p>
        </w:tc>
        <w:tc>
          <w:tcPr>
            <w:tcW w:w="993" w:type="dxa"/>
            <w:vAlign w:val="center"/>
          </w:tcPr>
          <w:p>
            <w:pPr>
              <w:pStyle w:val="0"/>
              <w:autoSpaceDE w:val="0"/>
              <w:autoSpaceDN w:val="0"/>
              <w:spacing w:line="0" w:lineRule="atLeast"/>
              <w:jc w:val="center"/>
              <w:rPr>
                <w:rFonts w:hint="default" w:asciiTheme="minorEastAsia" w:hAnsiTheme="minorEastAsia" w:eastAsiaTheme="minorEastAsia"/>
                <w:sz w:val="20"/>
              </w:rPr>
            </w:pPr>
          </w:p>
        </w:tc>
        <w:tc>
          <w:tcPr>
            <w:tcW w:w="3118"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6"/>
                <w:w w:val="95"/>
                <w:sz w:val="20"/>
              </w:rPr>
            </w:pPr>
          </w:p>
        </w:tc>
      </w:tr>
    </w:tbl>
    <w:p>
      <w:pPr>
        <w:pStyle w:val="83"/>
        <w:spacing w:line="0" w:lineRule="atLeast"/>
        <w:ind w:left="672" w:firstLine="164"/>
        <w:rPr>
          <w:rFonts w:hint="default"/>
          <w:sz w:val="16"/>
        </w:rPr>
      </w:pPr>
    </w:p>
    <w:p>
      <w:pPr>
        <w:pStyle w:val="0"/>
        <w:rPr>
          <w:rFonts w:hint="default"/>
          <w:sz w:val="16"/>
        </w:rPr>
      </w:pPr>
      <w:r>
        <w:rPr>
          <w:rFonts w:hint="default"/>
          <w:sz w:val="16"/>
        </w:rPr>
        <w:br w:type="page"/>
      </w:r>
    </w:p>
    <w:p>
      <w:pPr>
        <w:pStyle w:val="80"/>
        <w:spacing w:after="92" w:afterLines="0" w:afterAutospacing="0"/>
        <w:rPr>
          <w:rFonts w:hint="default"/>
        </w:rPr>
      </w:pPr>
      <w:bookmarkStart w:id="341" w:name="_Toc162263683"/>
      <w:bookmarkStart w:id="342" w:name="_Toc59549986"/>
      <w:bookmarkStart w:id="343" w:name="_Toc67040257"/>
      <w:r>
        <w:rPr>
          <w:rFonts w:hint="eastAsia"/>
        </w:rPr>
        <w:t>２．第３期のサービス別見込量</w:t>
      </w:r>
      <w:bookmarkEnd w:id="341"/>
      <w:bookmarkEnd w:id="342"/>
      <w:bookmarkEnd w:id="343"/>
    </w:p>
    <w:p>
      <w:pPr>
        <w:pStyle w:val="81"/>
        <w:spacing w:after="37" w:afterLines="0" w:afterAutospacing="0"/>
        <w:ind w:left="224"/>
        <w:rPr>
          <w:rFonts w:hint="default"/>
        </w:rPr>
      </w:pPr>
      <w:bookmarkStart w:id="344" w:name="_Toc59549987"/>
      <w:bookmarkStart w:id="345" w:name="_Toc67040258"/>
      <w:r>
        <w:rPr>
          <w:rFonts w:hint="default"/>
        </w:rPr>
        <w:t>(</w:t>
      </w:r>
      <w:r>
        <w:rPr>
          <w:rFonts w:hint="eastAsia"/>
        </w:rPr>
        <w:t>１</w:t>
      </w:r>
      <w:r>
        <w:rPr>
          <w:rFonts w:hint="default"/>
        </w:rPr>
        <w:t>)</w:t>
      </w:r>
      <w:r>
        <w:rPr>
          <w:rFonts w:hint="eastAsia"/>
        </w:rPr>
        <w:t>障害児通所支援</w:t>
      </w:r>
      <w:bookmarkEnd w:id="344"/>
      <w:bookmarkEnd w:id="345"/>
    </w:p>
    <w:p>
      <w:pPr>
        <w:pStyle w:val="84"/>
        <w:ind w:left="672"/>
        <w:rPr>
          <w:rFonts w:hint="default"/>
        </w:rPr>
      </w:pPr>
      <w:r>
        <w:rPr>
          <w:rFonts w:hint="eastAsia"/>
        </w:rPr>
        <w:t>ｱ</w:t>
      </w:r>
      <w:r>
        <w:rPr>
          <w:rFonts w:hint="eastAsia"/>
        </w:rPr>
        <w:t>)</w:t>
      </w:r>
      <w:r>
        <w:rPr>
          <w:rFonts w:hint="eastAsia"/>
        </w:rPr>
        <w:t>児童発達支援</w:t>
      </w:r>
    </w:p>
    <w:p>
      <w:pPr>
        <w:pStyle w:val="89"/>
        <w:spacing w:line="340" w:lineRule="exact"/>
        <w:ind w:left="897" w:leftChars="400" w:firstLine="214"/>
        <w:rPr>
          <w:rFonts w:hint="default"/>
          <w:spacing w:val="0"/>
        </w:rPr>
      </w:pPr>
      <w:r>
        <w:rPr>
          <w:rFonts w:hint="eastAsia"/>
          <w:spacing w:val="0"/>
        </w:rPr>
        <w:t>日常生活における基本的な動作・知識・集団生活への適応訓練を行います。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spacing w:line="340" w:lineRule="exact"/>
        <w:ind w:left="1009" w:leftChars="450" w:firstLine="214"/>
        <w:rPr>
          <w:rFonts w:hint="default"/>
          <w:spacing w:val="0"/>
        </w:rPr>
      </w:pPr>
      <w:r>
        <w:rPr>
          <w:rFonts w:hint="eastAsia"/>
          <w:spacing w:val="0"/>
        </w:rPr>
        <w:t>令和２年度からの過去３年間の利用者数は</w:t>
      </w:r>
      <w:r>
        <w:rPr>
          <w:rFonts w:hint="default"/>
          <w:spacing w:val="0"/>
        </w:rPr>
        <w:t>、年度によって増減があるため、令</w:t>
      </w:r>
      <w:r>
        <w:rPr>
          <w:rFonts w:hint="eastAsia"/>
          <w:spacing w:val="0"/>
        </w:rPr>
        <w:t>和６</w:t>
      </w:r>
      <w:r>
        <w:rPr>
          <w:rFonts w:hint="default"/>
          <w:spacing w:val="0"/>
        </w:rPr>
        <w:t>年度は、過去</w:t>
      </w:r>
      <w:r>
        <w:rPr>
          <w:rFonts w:hint="eastAsia"/>
          <w:spacing w:val="0"/>
        </w:rPr>
        <w:t>３年</w:t>
      </w:r>
      <w:r>
        <w:rPr>
          <w:rFonts w:hint="default"/>
          <w:spacing w:val="0"/>
        </w:rPr>
        <w:t>間実績平均値と令和</w:t>
      </w:r>
      <w:r>
        <w:rPr>
          <w:rFonts w:hint="eastAsia"/>
          <w:spacing w:val="0"/>
        </w:rPr>
        <w:t>５年度の見込み数の平均を見込みます。令和６年度</w:t>
      </w:r>
      <w:r>
        <w:rPr>
          <w:rFonts w:hint="default"/>
          <w:spacing w:val="0"/>
        </w:rPr>
        <w:t>以降は微増を見込み毎年度</w:t>
      </w:r>
      <w:r>
        <w:rPr>
          <w:rFonts w:hint="default"/>
          <w:spacing w:val="0"/>
        </w:rPr>
        <w:t>5</w:t>
      </w:r>
      <w:r>
        <w:rPr>
          <w:rFonts w:hint="default"/>
          <w:spacing w:val="0"/>
        </w:rPr>
        <w:t>人増を見込みます。</w:t>
      </w:r>
    </w:p>
    <w:p>
      <w:pPr>
        <w:pStyle w:val="89"/>
        <w:spacing w:line="340" w:lineRule="exact"/>
        <w:ind w:left="1009" w:leftChars="450" w:firstLine="214"/>
        <w:rPr>
          <w:rFonts w:hint="default"/>
          <w:spacing w:val="0"/>
        </w:rPr>
      </w:pPr>
      <w:r>
        <w:rPr>
          <w:rFonts w:hint="eastAsia"/>
          <w:spacing w:val="0"/>
        </w:rPr>
        <w:t>利用量は、過去３</w:t>
      </w:r>
      <w:r>
        <w:rPr>
          <w:rFonts w:hint="default"/>
          <w:spacing w:val="0"/>
        </w:rPr>
        <w:t>年間実績平均値の一人当たり平均利用日数</w:t>
      </w:r>
      <w:r>
        <w:rPr>
          <w:rFonts w:hint="default"/>
          <w:spacing w:val="0"/>
        </w:rPr>
        <w:t>(11.2</w:t>
      </w:r>
      <w:r>
        <w:rPr>
          <w:rFonts w:hint="default"/>
          <w:spacing w:val="0"/>
        </w:rPr>
        <w:t>日</w:t>
      </w:r>
      <w:r>
        <w:rPr>
          <w:rFonts w:hint="default"/>
          <w:spacing w:val="0"/>
        </w:rPr>
        <w:t>)</w:t>
      </w:r>
      <w:r>
        <w:rPr>
          <w:rFonts w:hint="default"/>
          <w:spacing w:val="0"/>
        </w:rPr>
        <w:t>を、令和</w:t>
      </w:r>
      <w:r>
        <w:rPr>
          <w:rFonts w:hint="eastAsia"/>
          <w:spacing w:val="0"/>
        </w:rPr>
        <w:t>６</w:t>
      </w:r>
      <w:r>
        <w:rPr>
          <w:rFonts w:hint="default"/>
          <w:spacing w:val="0"/>
        </w:rPr>
        <w:t>年度以降の利用者数の見込に乗じて見込みました。</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346" w:name="児童発達支援"/>
            <w:r>
              <w:rPr>
                <w:rFonts w:hint="eastAsia"/>
              </w:rPr>
              <w:t>利用者数</w:t>
            </w:r>
            <w:bookmarkEnd w:id="346"/>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4</w:t>
            </w:r>
            <w:r>
              <w:rPr>
                <w:rFonts w:hint="eastAsia"/>
              </w:rPr>
              <w:t>4</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50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5</w:t>
            </w:r>
            <w:r>
              <w:rPr>
                <w:rFonts w:hint="eastAsia"/>
              </w:rPr>
              <w:t>6</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72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77</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82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63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89</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68</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18</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39</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r>
    </w:tbl>
    <w:p>
      <w:pPr>
        <w:pStyle w:val="0"/>
        <w:spacing w:line="160" w:lineRule="exact"/>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sz w:val="22"/>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sz w:val="22"/>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sz w:val="22"/>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sz w:val="22"/>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sz w:val="22"/>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sz w:val="22"/>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647</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865</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969</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806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862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918</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812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949</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676</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165</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84</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r>
              <w:rPr>
                <w:rFonts w:hint="default"/>
              </w:rPr>
              <w:t>293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17" w:beforeLines="5" w:beforeAutospacing="0" w:after="17" w:afterLines="5" w:afterAutospacing="0"/>
              <w:rPr>
                <w:rFonts w:hint="default"/>
              </w:rPr>
            </w:pPr>
            <w:r>
              <w:rPr>
                <w:rFonts w:hint="eastAsia"/>
              </w:rPr>
              <w:t>資料：保健福祉課　　・令和５年度は、見込みの数値。</w:t>
            </w:r>
          </w:p>
        </w:tc>
      </w:tr>
    </w:tbl>
    <w:p>
      <w:pPr>
        <w:pStyle w:val="0"/>
        <w:widowControl w:val="1"/>
        <w:spacing w:line="340" w:lineRule="exact"/>
        <w:ind w:left="438" w:firstLine="224" w:firstLineChars="100"/>
        <w:rPr>
          <w:rFonts w:hint="default" w:ascii="ＭＳ ゴシック" w:hAnsi="ＭＳ ゴシック" w:eastAsia="ＭＳ ゴシック"/>
        </w:rPr>
      </w:pPr>
    </w:p>
    <w:p>
      <w:pPr>
        <w:pStyle w:val="0"/>
        <w:widowControl w:val="1"/>
        <w:spacing w:line="340" w:lineRule="exact"/>
        <w:ind w:left="438" w:firstLine="224" w:firstLineChars="100"/>
        <w:rPr>
          <w:rFonts w:hint="default" w:ascii="ＭＳ ゴシック" w:hAnsi="ＭＳ ゴシック" w:eastAsia="ＭＳ ゴシック"/>
        </w:rPr>
      </w:pPr>
    </w:p>
    <w:p>
      <w:pPr>
        <w:pStyle w:val="84"/>
        <w:ind w:left="672"/>
        <w:rPr>
          <w:rFonts w:hint="default"/>
        </w:rPr>
      </w:pPr>
      <w:r>
        <w:rPr>
          <w:rFonts w:hint="default"/>
        </w:rPr>
        <w:t>ｲ</w:t>
      </w:r>
      <w:r>
        <w:rPr>
          <w:rFonts w:hint="default"/>
        </w:rPr>
        <w:t>)</w:t>
      </w:r>
      <w:r>
        <w:rPr>
          <w:rFonts w:hint="eastAsia"/>
        </w:rPr>
        <w:t>医療型児童発達支援</w:t>
      </w:r>
    </w:p>
    <w:p>
      <w:pPr>
        <w:pStyle w:val="89"/>
        <w:spacing w:line="340" w:lineRule="exact"/>
        <w:ind w:left="897" w:leftChars="400" w:firstLine="214"/>
        <w:rPr>
          <w:rFonts w:hint="default"/>
          <w:spacing w:val="0"/>
        </w:rPr>
      </w:pPr>
      <w:r>
        <w:rPr>
          <w:rFonts w:hint="eastAsia"/>
          <w:spacing w:val="0"/>
        </w:rPr>
        <w:t>肢体不自由のある児童について、医療型児童発達支援センター又は指定医療機関等に通わせ、児童発達支援及び治療を行います。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spacing w:line="340" w:lineRule="exact"/>
        <w:ind w:left="1009" w:leftChars="450" w:firstLine="214"/>
        <w:rPr>
          <w:rFonts w:hint="default"/>
          <w:spacing w:val="0"/>
        </w:rPr>
      </w:pPr>
      <w:r>
        <w:rPr>
          <w:rFonts w:hint="eastAsia"/>
          <w:spacing w:val="0"/>
        </w:rPr>
        <w:t>令和６</w:t>
      </w:r>
      <w:r>
        <w:rPr>
          <w:rFonts w:hint="default"/>
          <w:spacing w:val="0"/>
        </w:rPr>
        <w:t>年度は、前年度利用者がサービスを継続利用するものと見込まれるため、令和</w:t>
      </w:r>
      <w:r>
        <w:rPr>
          <w:rFonts w:hint="eastAsia"/>
          <w:spacing w:val="0"/>
        </w:rPr>
        <w:t>５</w:t>
      </w:r>
      <w:r>
        <w:rPr>
          <w:rFonts w:hint="default"/>
          <w:spacing w:val="0"/>
        </w:rPr>
        <w:t>年度見込み数と同数としています。令和</w:t>
      </w:r>
      <w:r>
        <w:rPr>
          <w:rFonts w:hint="eastAsia"/>
          <w:spacing w:val="0"/>
        </w:rPr>
        <w:t>７年</w:t>
      </w:r>
      <w:r>
        <w:rPr>
          <w:rFonts w:hint="default"/>
          <w:spacing w:val="0"/>
        </w:rPr>
        <w:t>度以降は、利用ニーズが今後増えることを想定し利用者を</w:t>
      </w:r>
      <w:r>
        <w:rPr>
          <w:rFonts w:hint="default"/>
          <w:spacing w:val="0"/>
        </w:rPr>
        <w:t>1</w:t>
      </w:r>
      <w:r>
        <w:rPr>
          <w:rFonts w:hint="default"/>
          <w:spacing w:val="0"/>
        </w:rPr>
        <w:t>人増で見込みました。</w:t>
      </w:r>
    </w:p>
    <w:p>
      <w:pPr>
        <w:pStyle w:val="89"/>
        <w:spacing w:line="340" w:lineRule="exact"/>
        <w:ind w:left="1009" w:leftChars="450" w:firstLine="214"/>
        <w:rPr>
          <w:rFonts w:hint="default"/>
          <w:spacing w:val="0"/>
        </w:rPr>
      </w:pPr>
      <w:r>
        <w:rPr>
          <w:rFonts w:hint="eastAsia"/>
          <w:spacing w:val="0"/>
        </w:rPr>
        <w:t>利用量は、過去３</w:t>
      </w:r>
      <w:r>
        <w:rPr>
          <w:rFonts w:hint="default"/>
          <w:spacing w:val="0"/>
        </w:rPr>
        <w:t>年間実績平均値の一人当たり平均</w:t>
      </w:r>
      <w:r>
        <w:rPr>
          <w:rFonts w:hint="eastAsia"/>
          <w:spacing w:val="0"/>
        </w:rPr>
        <w:t>利用</w:t>
      </w:r>
      <w:r>
        <w:rPr>
          <w:rFonts w:hint="default"/>
          <w:spacing w:val="0"/>
        </w:rPr>
        <w:t>日数</w:t>
      </w:r>
      <w:r>
        <w:rPr>
          <w:rFonts w:hint="default"/>
          <w:spacing w:val="0"/>
        </w:rPr>
        <w:t>(7.1</w:t>
      </w:r>
      <w:r>
        <w:rPr>
          <w:rFonts w:hint="default"/>
          <w:spacing w:val="0"/>
        </w:rPr>
        <w:t>日</w:t>
      </w:r>
      <w:r>
        <w:rPr>
          <w:rFonts w:hint="default"/>
          <w:spacing w:val="0"/>
        </w:rPr>
        <w:t>)</w:t>
      </w:r>
      <w:r>
        <w:rPr>
          <w:rFonts w:hint="default"/>
          <w:spacing w:val="0"/>
        </w:rPr>
        <w:t>を、令和</w:t>
      </w:r>
      <w:r>
        <w:rPr>
          <w:rFonts w:hint="eastAsia"/>
          <w:spacing w:val="0"/>
        </w:rPr>
        <w:t>６年</w:t>
      </w:r>
      <w:r>
        <w:rPr>
          <w:rFonts w:hint="default"/>
          <w:spacing w:val="0"/>
        </w:rPr>
        <w:t>度以降の利用者数の見込みに乗じて見込みました。</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347" w:name="医療型児童発達支援"/>
            <w:r>
              <w:rPr>
                <w:rFonts w:hint="eastAsia"/>
              </w:rPr>
              <w:t>利用者数</w:t>
            </w:r>
            <w:bookmarkEnd w:id="347"/>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4</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2</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r>
    </w:tbl>
    <w:p>
      <w:pPr>
        <w:pStyle w:val="0"/>
        <w:spacing w:line="160" w:lineRule="exact"/>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22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33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33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21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28</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28</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17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12</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r>
              <w:rPr>
                <w:rFonts w:hint="default"/>
              </w:rPr>
              <w:t>12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r>
              <w:rPr>
                <w:rFonts w:hint="default"/>
              </w:rPr>
              <w:t>16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r>
              <w:rPr>
                <w:rFonts w:hint="default"/>
              </w:rPr>
              <w:t>21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spacing w:line="80" w:lineRule="exact"/>
        <w:rPr>
          <w:rFonts w:hint="default" w:ascii="ＭＳ ゴシック" w:hAnsi="ＭＳ ゴシック" w:eastAsia="ＭＳ ゴシック"/>
        </w:rPr>
      </w:pPr>
    </w:p>
    <w:p>
      <w:pPr>
        <w:pStyle w:val="84"/>
        <w:ind w:left="672"/>
        <w:rPr>
          <w:rFonts w:hint="default"/>
        </w:rPr>
      </w:pPr>
      <w:r>
        <w:rPr>
          <w:rFonts w:hint="default"/>
        </w:rPr>
        <w:br w:type="page"/>
      </w:r>
      <w:r>
        <w:rPr>
          <w:rFonts w:hint="default"/>
        </w:rPr>
        <w:t>ｳ</w:t>
      </w:r>
      <w:r>
        <w:rPr>
          <w:rFonts w:hint="default"/>
        </w:rPr>
        <w:t>)</w:t>
      </w:r>
      <w:r>
        <w:rPr>
          <w:rFonts w:hint="eastAsia"/>
        </w:rPr>
        <w:t>放課後等デイサービス</w:t>
      </w:r>
    </w:p>
    <w:p>
      <w:pPr>
        <w:pStyle w:val="89"/>
        <w:spacing w:line="350" w:lineRule="exact"/>
        <w:ind w:left="897" w:leftChars="400" w:firstLine="214"/>
        <w:rPr>
          <w:rFonts w:hint="default"/>
          <w:spacing w:val="0"/>
        </w:rPr>
      </w:pPr>
      <w:r>
        <w:rPr>
          <w:rFonts w:hint="eastAsia"/>
          <w:spacing w:val="0"/>
        </w:rPr>
        <w:t>学校授業終了後又は休日において生活能力の向上のために必要な訓練、社会との交流を行います。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spacing w:line="350" w:lineRule="exact"/>
        <w:ind w:left="1009" w:leftChars="450" w:firstLine="214"/>
        <w:rPr>
          <w:rFonts w:hint="default"/>
          <w:spacing w:val="0"/>
        </w:rPr>
      </w:pPr>
      <w:r>
        <w:rPr>
          <w:rFonts w:hint="eastAsia"/>
          <w:spacing w:val="0"/>
        </w:rPr>
        <w:t>令和２年度からの過去３年間の利用者数は、令和３年度にお</w:t>
      </w:r>
      <w:r>
        <w:rPr>
          <w:rFonts w:hint="default"/>
          <w:spacing w:val="0"/>
        </w:rPr>
        <w:t>いて微減があるものの、基本的に増加傾向にあります</w:t>
      </w:r>
      <w:r>
        <w:rPr>
          <w:rFonts w:hint="eastAsia"/>
          <w:spacing w:val="0"/>
        </w:rPr>
        <w:t>。令和３年度から令和５年度</w:t>
      </w:r>
      <w:r>
        <w:rPr>
          <w:rFonts w:hint="default"/>
          <w:spacing w:val="0"/>
        </w:rPr>
        <w:t>見込数において、毎年度約</w:t>
      </w:r>
      <w:r>
        <w:rPr>
          <w:rFonts w:hint="default"/>
          <w:spacing w:val="0"/>
        </w:rPr>
        <w:t>20</w:t>
      </w:r>
      <w:r>
        <w:rPr>
          <w:rFonts w:hint="default"/>
          <w:spacing w:val="0"/>
        </w:rPr>
        <w:t>人の増となっていることから、令和</w:t>
      </w:r>
      <w:r>
        <w:rPr>
          <w:rFonts w:hint="eastAsia"/>
          <w:spacing w:val="0"/>
        </w:rPr>
        <w:t>６年</w:t>
      </w:r>
      <w:r>
        <w:rPr>
          <w:rFonts w:hint="default"/>
          <w:spacing w:val="0"/>
        </w:rPr>
        <w:t>度以降は毎年度</w:t>
      </w:r>
      <w:r>
        <w:rPr>
          <w:rFonts w:hint="default"/>
          <w:spacing w:val="0"/>
        </w:rPr>
        <w:t>20</w:t>
      </w:r>
      <w:r>
        <w:rPr>
          <w:rFonts w:hint="default"/>
          <w:spacing w:val="0"/>
        </w:rPr>
        <w:t>人の増で見込みます。</w:t>
      </w:r>
    </w:p>
    <w:p>
      <w:pPr>
        <w:pStyle w:val="89"/>
        <w:spacing w:line="350" w:lineRule="exact"/>
        <w:ind w:left="1009" w:leftChars="450" w:firstLine="214"/>
        <w:rPr>
          <w:rFonts w:hint="default"/>
          <w:spacing w:val="0"/>
        </w:rPr>
      </w:pPr>
      <w:r>
        <w:rPr>
          <w:rFonts w:hint="eastAsia"/>
          <w:spacing w:val="0"/>
        </w:rPr>
        <w:t>利用量は、過去３</w:t>
      </w:r>
      <w:r>
        <w:rPr>
          <w:rFonts w:hint="default"/>
          <w:spacing w:val="0"/>
        </w:rPr>
        <w:t>年間の</w:t>
      </w:r>
      <w:r>
        <w:rPr>
          <w:rFonts w:hint="default"/>
          <w:spacing w:val="0"/>
        </w:rPr>
        <w:t>1</w:t>
      </w:r>
      <w:r>
        <w:rPr>
          <w:rFonts w:hint="default"/>
          <w:spacing w:val="0"/>
        </w:rPr>
        <w:t>人あたりの平均利用日数</w:t>
      </w:r>
      <w:r>
        <w:rPr>
          <w:rFonts w:hint="default"/>
          <w:spacing w:val="0"/>
        </w:rPr>
        <w:t>(16.4</w:t>
      </w:r>
      <w:r>
        <w:rPr>
          <w:rFonts w:hint="default"/>
          <w:spacing w:val="0"/>
        </w:rPr>
        <w:t>日</w:t>
      </w:r>
      <w:r>
        <w:rPr>
          <w:rFonts w:hint="default"/>
          <w:spacing w:val="0"/>
        </w:rPr>
        <w:t>)</w:t>
      </w:r>
      <w:r>
        <w:rPr>
          <w:rFonts w:hint="default"/>
          <w:spacing w:val="0"/>
        </w:rPr>
        <w:t>を、令和</w:t>
      </w:r>
      <w:r>
        <w:rPr>
          <w:rFonts w:hint="eastAsia"/>
          <w:spacing w:val="0"/>
        </w:rPr>
        <w:t>６年</w:t>
      </w:r>
      <w:r>
        <w:rPr>
          <w:rFonts w:hint="default"/>
          <w:spacing w:val="0"/>
        </w:rPr>
        <w:t>度以降の利用者数の見込みに乗じて見込みました。</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348" w:name="放課後等デイサービス"/>
            <w:r>
              <w:rPr>
                <w:rFonts w:hint="eastAsia"/>
              </w:rPr>
              <w:t>利用者数</w:t>
            </w:r>
            <w:bookmarkEnd w:id="348"/>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154</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164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171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206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226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246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147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165</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186</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r>
              <w:rPr>
                <w:rFonts w:hint="default"/>
              </w:rPr>
              <w:t>7</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15</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r>
    </w:tbl>
    <w:p>
      <w:pPr>
        <w:pStyle w:val="0"/>
        <w:spacing w:line="160" w:lineRule="exact"/>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2,849</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3,034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3,164</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3,378</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3,706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4,034</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2,448</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2,689</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2,653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r>
              <w:rPr>
                <w:rFonts w:hint="default"/>
              </w:rPr>
              <w:t>401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r>
              <w:rPr>
                <w:rFonts w:hint="default"/>
              </w:rPr>
              <w:t>345</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r>
              <w:rPr>
                <w:rFonts w:hint="default"/>
              </w:rPr>
              <w:t>511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5"/>
        <w:rPr>
          <w:rFonts w:hint="default"/>
        </w:rPr>
      </w:pPr>
    </w:p>
    <w:p>
      <w:pPr>
        <w:pStyle w:val="84"/>
        <w:ind w:left="672"/>
        <w:rPr>
          <w:rFonts w:hint="default"/>
        </w:rPr>
      </w:pPr>
      <w:r>
        <w:rPr>
          <w:rFonts w:hint="default"/>
        </w:rPr>
        <w:t>ｴ</w:t>
      </w:r>
      <w:r>
        <w:rPr>
          <w:rFonts w:hint="default"/>
        </w:rPr>
        <w:t>)</w:t>
      </w:r>
      <w:r>
        <w:rPr>
          <w:rFonts w:hint="eastAsia"/>
        </w:rPr>
        <w:t>保育所等訪問支援</w:t>
      </w:r>
    </w:p>
    <w:p>
      <w:pPr>
        <w:pStyle w:val="89"/>
        <w:spacing w:line="350" w:lineRule="exact"/>
        <w:ind w:left="897" w:leftChars="400" w:firstLine="214"/>
        <w:rPr>
          <w:rFonts w:hint="default"/>
          <w:spacing w:val="0"/>
        </w:rPr>
      </w:pPr>
      <w:r>
        <w:rPr>
          <w:rFonts w:hint="eastAsia"/>
          <w:spacing w:val="0"/>
        </w:rPr>
        <w:t>保育所や集団生活を営む施設等を訪問し、障がい児以外の児童との集団生活への適応のための専門的な支援を行います。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spacing w:line="350" w:lineRule="exact"/>
        <w:ind w:left="1009" w:leftChars="450" w:firstLine="214"/>
        <w:rPr>
          <w:rFonts w:hint="default"/>
          <w:spacing w:val="0"/>
        </w:rPr>
      </w:pPr>
      <w:r>
        <w:rPr>
          <w:rFonts w:hint="eastAsia"/>
          <w:spacing w:val="0"/>
        </w:rPr>
        <w:t>令和２年度からの過去３年間の利用者数は、年々増加傾向にあります。増加率は毎年度差があるため、令和２年度から令和５年度見込み数の各前</w:t>
      </w:r>
      <w:r>
        <w:rPr>
          <w:rFonts w:hint="default"/>
          <w:spacing w:val="0"/>
        </w:rPr>
        <w:t>年度比増加数平均値</w:t>
      </w:r>
      <w:r>
        <w:rPr>
          <w:rFonts w:hint="default"/>
          <w:spacing w:val="0"/>
        </w:rPr>
        <w:t>(8</w:t>
      </w:r>
      <w:r>
        <w:rPr>
          <w:rFonts w:hint="default"/>
          <w:spacing w:val="0"/>
        </w:rPr>
        <w:t>増</w:t>
      </w:r>
      <w:r>
        <w:rPr>
          <w:rFonts w:hint="default"/>
          <w:spacing w:val="0"/>
        </w:rPr>
        <w:t>)</w:t>
      </w:r>
      <w:r>
        <w:rPr>
          <w:rFonts w:hint="default"/>
          <w:spacing w:val="0"/>
        </w:rPr>
        <w:t>を増加数と見込み、令和</w:t>
      </w:r>
      <w:r>
        <w:rPr>
          <w:rFonts w:hint="eastAsia"/>
          <w:spacing w:val="0"/>
        </w:rPr>
        <w:t>６年</w:t>
      </w:r>
      <w:r>
        <w:rPr>
          <w:rFonts w:hint="default"/>
          <w:spacing w:val="0"/>
        </w:rPr>
        <w:t>度以降の見込みに反映しています。</w:t>
      </w:r>
    </w:p>
    <w:p>
      <w:pPr>
        <w:pStyle w:val="89"/>
        <w:spacing w:line="350" w:lineRule="exact"/>
        <w:ind w:left="1009" w:leftChars="450" w:firstLine="214"/>
        <w:rPr>
          <w:rFonts w:hint="default"/>
          <w:spacing w:val="0"/>
        </w:rPr>
      </w:pPr>
      <w:r>
        <w:rPr>
          <w:rFonts w:hint="eastAsia"/>
          <w:spacing w:val="0"/>
        </w:rPr>
        <w:t>利用量は、過去３年</w:t>
      </w:r>
      <w:r>
        <w:rPr>
          <w:rFonts w:hint="default"/>
          <w:spacing w:val="0"/>
        </w:rPr>
        <w:t>間の</w:t>
      </w:r>
      <w:r>
        <w:rPr>
          <w:rFonts w:hint="default"/>
          <w:spacing w:val="0"/>
        </w:rPr>
        <w:t>1</w:t>
      </w:r>
      <w:r>
        <w:rPr>
          <w:rFonts w:hint="default"/>
          <w:spacing w:val="0"/>
        </w:rPr>
        <w:t>人あたりの平均利用日数</w:t>
      </w:r>
      <w:r>
        <w:rPr>
          <w:rFonts w:hint="default"/>
          <w:spacing w:val="0"/>
        </w:rPr>
        <w:t>(2.3</w:t>
      </w:r>
      <w:r>
        <w:rPr>
          <w:rFonts w:hint="default"/>
          <w:spacing w:val="0"/>
        </w:rPr>
        <w:t>日</w:t>
      </w:r>
      <w:r>
        <w:rPr>
          <w:rFonts w:hint="default"/>
          <w:spacing w:val="0"/>
        </w:rPr>
        <w:t>)</w:t>
      </w:r>
      <w:r>
        <w:rPr>
          <w:rFonts w:hint="default"/>
          <w:spacing w:val="0"/>
        </w:rPr>
        <w:t>を、令</w:t>
      </w:r>
      <w:r>
        <w:rPr>
          <w:rFonts w:hint="eastAsia"/>
          <w:spacing w:val="0"/>
        </w:rPr>
        <w:t>和６年</w:t>
      </w:r>
      <w:r>
        <w:rPr>
          <w:rFonts w:hint="default"/>
          <w:spacing w:val="0"/>
        </w:rPr>
        <w:t>度以降の利用者数の見込みに乗じて見込みました。</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349" w:name="保育所等訪問支援"/>
            <w:r>
              <w:rPr>
                <w:rFonts w:hint="eastAsia"/>
              </w:rPr>
              <w:t>利用者数</w:t>
            </w:r>
            <w:bookmarkEnd w:id="349"/>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35</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37</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39</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51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59</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67</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23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39</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43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r>
              <w:rPr>
                <w:rFonts w:hint="default"/>
              </w:rPr>
              <w:t>12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2</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4</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r>
    </w:tbl>
    <w:p>
      <w:pPr>
        <w:pStyle w:val="0"/>
        <w:spacing w:line="160" w:lineRule="exact"/>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88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93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85</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117</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136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154</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50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99</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108</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r>
              <w:rPr>
                <w:rFonts w:hint="default"/>
              </w:rPr>
              <w:t>38</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23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84"/>
        <w:ind w:left="672"/>
        <w:rPr>
          <w:rFonts w:hint="default"/>
        </w:rPr>
      </w:pPr>
      <w:r>
        <w:rPr>
          <w:rFonts w:hint="default"/>
        </w:rPr>
        <w:br w:type="page"/>
      </w:r>
      <w:r>
        <w:rPr>
          <w:rFonts w:hint="default"/>
        </w:rPr>
        <w:t>ｵ</w:t>
      </w:r>
      <w:r>
        <w:rPr>
          <w:rFonts w:hint="default"/>
        </w:rPr>
        <w:t>)</w:t>
      </w:r>
      <w:r>
        <w:rPr>
          <w:rFonts w:hint="eastAsia"/>
        </w:rPr>
        <w:t>居宅訪問型児童発達支援</w:t>
      </w:r>
    </w:p>
    <w:p>
      <w:pPr>
        <w:pStyle w:val="89"/>
        <w:ind w:left="897" w:leftChars="400" w:firstLine="214"/>
        <w:rPr>
          <w:rFonts w:hint="default"/>
          <w:spacing w:val="0"/>
        </w:rPr>
      </w:pPr>
      <w:r>
        <w:rPr>
          <w:rFonts w:hint="eastAsia"/>
          <w:spacing w:val="0"/>
        </w:rPr>
        <w:t>居宅訪問型児童発達支援は、平成</w:t>
      </w:r>
      <w:r>
        <w:rPr>
          <w:rFonts w:hint="eastAsia"/>
          <w:spacing w:val="0"/>
        </w:rPr>
        <w:t>30</w:t>
      </w:r>
      <w:r>
        <w:rPr>
          <w:rFonts w:hint="eastAsia"/>
          <w:spacing w:val="0"/>
        </w:rPr>
        <w:t>年度から新しく導入されたサービスです。重度の障がい等により外出が困難な障がい児の自宅を訪問し、発達支援を行うものです。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eastAsia"/>
          <w:spacing w:val="0"/>
        </w:rPr>
        <w:t>令和２年度からの過去３年</w:t>
      </w:r>
      <w:r>
        <w:rPr>
          <w:rFonts w:hint="default"/>
          <w:spacing w:val="0"/>
        </w:rPr>
        <w:t>間</w:t>
      </w:r>
      <w:r>
        <w:rPr>
          <w:rFonts w:hint="default"/>
          <w:spacing w:val="0"/>
        </w:rPr>
        <w:t>(</w:t>
      </w:r>
      <w:r>
        <w:rPr>
          <w:rFonts w:hint="default"/>
          <w:spacing w:val="0"/>
        </w:rPr>
        <w:t>各年度</w:t>
      </w:r>
      <w:r>
        <w:rPr>
          <w:rFonts w:hint="eastAsia"/>
          <w:spacing w:val="0"/>
        </w:rPr>
        <w:t>３月</w:t>
      </w:r>
      <w:r>
        <w:rPr>
          <w:rFonts w:hint="default"/>
          <w:spacing w:val="0"/>
        </w:rPr>
        <w:t>サービス提供</w:t>
      </w:r>
      <w:r>
        <w:rPr>
          <w:rFonts w:hint="default"/>
          <w:spacing w:val="0"/>
        </w:rPr>
        <w:t>)</w:t>
      </w:r>
      <w:r>
        <w:rPr>
          <w:rFonts w:hint="eastAsia"/>
          <w:spacing w:val="0"/>
        </w:rPr>
        <w:t>の</w:t>
      </w:r>
      <w:r>
        <w:rPr>
          <w:rFonts w:hint="default"/>
          <w:spacing w:val="0"/>
        </w:rPr>
        <w:t>利用実績はありませんが、令和</w:t>
      </w:r>
      <w:r>
        <w:rPr>
          <w:rFonts w:hint="eastAsia"/>
          <w:spacing w:val="0"/>
        </w:rPr>
        <w:t>４年</w:t>
      </w:r>
      <w:r>
        <w:rPr>
          <w:rFonts w:hint="default"/>
          <w:spacing w:val="0"/>
        </w:rPr>
        <w:t>度におい</w:t>
      </w:r>
      <w:r>
        <w:rPr>
          <w:rFonts w:hint="eastAsia"/>
          <w:spacing w:val="0"/>
        </w:rPr>
        <w:t>て３月以</w:t>
      </w:r>
      <w:r>
        <w:rPr>
          <w:rFonts w:hint="default"/>
          <w:spacing w:val="0"/>
        </w:rPr>
        <w:t>外の月で利用実績があります。今</w:t>
      </w:r>
      <w:r>
        <w:rPr>
          <w:rFonts w:hint="eastAsia"/>
          <w:spacing w:val="0"/>
        </w:rPr>
        <w:t>後令和４年度同様に</w:t>
      </w:r>
      <w:r>
        <w:rPr>
          <w:rFonts w:hint="default"/>
          <w:spacing w:val="0"/>
        </w:rPr>
        <w:t>サービス利用の可能性があるため、令</w:t>
      </w:r>
      <w:r>
        <w:rPr>
          <w:rFonts w:hint="eastAsia"/>
          <w:spacing w:val="0"/>
        </w:rPr>
        <w:t>和６年</w:t>
      </w:r>
      <w:r>
        <w:rPr>
          <w:rFonts w:hint="default"/>
          <w:spacing w:val="0"/>
        </w:rPr>
        <w:t>度以降に</w:t>
      </w:r>
      <w:r>
        <w:rPr>
          <w:rFonts w:hint="default"/>
          <w:spacing w:val="0"/>
        </w:rPr>
        <w:t>1</w:t>
      </w:r>
      <w:r>
        <w:rPr>
          <w:rFonts w:hint="default"/>
          <w:spacing w:val="0"/>
        </w:rPr>
        <w:t>人</w:t>
      </w:r>
      <w:r>
        <w:rPr>
          <w:rFonts w:hint="eastAsia"/>
          <w:spacing w:val="0"/>
        </w:rPr>
        <w:t>を</w:t>
      </w:r>
      <w:r>
        <w:rPr>
          <w:rFonts w:hint="default"/>
          <w:spacing w:val="0"/>
        </w:rPr>
        <w:t>見込みました。</w:t>
      </w:r>
    </w:p>
    <w:p>
      <w:pPr>
        <w:pStyle w:val="89"/>
        <w:ind w:left="1009" w:leftChars="450" w:firstLine="214"/>
        <w:rPr>
          <w:rFonts w:hint="default"/>
          <w:spacing w:val="0"/>
        </w:rPr>
      </w:pPr>
      <w:r>
        <w:rPr>
          <w:rFonts w:hint="eastAsia"/>
          <w:spacing w:val="0"/>
        </w:rPr>
        <w:t>過去の実績と同数の利用日数</w:t>
      </w:r>
      <w:r>
        <w:rPr>
          <w:rFonts w:hint="default"/>
          <w:spacing w:val="0"/>
        </w:rPr>
        <w:t>(6</w:t>
      </w:r>
      <w:r>
        <w:rPr>
          <w:rFonts w:hint="default"/>
          <w:spacing w:val="0"/>
        </w:rPr>
        <w:t>日</w:t>
      </w:r>
      <w:r>
        <w:rPr>
          <w:rFonts w:hint="default"/>
          <w:spacing w:val="0"/>
        </w:rPr>
        <w:t>)</w:t>
      </w:r>
      <w:r>
        <w:rPr>
          <w:rFonts w:hint="default"/>
          <w:spacing w:val="0"/>
        </w:rPr>
        <w:t>を見込みました。</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bookmarkStart w:id="350" w:name="居宅訪問型児童発達支援"/>
            <w:r>
              <w:rPr>
                <w:rFonts w:hint="eastAsia"/>
              </w:rPr>
              <w:t>利用者数</w:t>
            </w:r>
            <w:bookmarkEnd w:id="350"/>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r>
    </w:tbl>
    <w:p>
      <w:pPr>
        <w:pStyle w:val="0"/>
        <w:spacing w:line="160" w:lineRule="exact"/>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p>
    <w:p>
      <w:pPr>
        <w:pStyle w:val="0"/>
        <w:ind w:left="438" w:firstLine="209"/>
        <w:rPr>
          <w:rFonts w:hint="default"/>
        </w:rPr>
      </w:pPr>
    </w:p>
    <w:p>
      <w:pPr>
        <w:pStyle w:val="84"/>
        <w:ind w:left="672"/>
        <w:rPr>
          <w:rFonts w:hint="default"/>
        </w:rPr>
      </w:pPr>
      <w:r>
        <w:rPr>
          <w:rFonts w:hint="default"/>
        </w:rPr>
        <w:t>ｶ</w:t>
      </w:r>
      <w:r>
        <w:rPr>
          <w:rFonts w:hint="default"/>
        </w:rPr>
        <w:t>)</w:t>
      </w:r>
      <w:r>
        <w:rPr>
          <w:rFonts w:hint="eastAsia"/>
        </w:rPr>
        <w:t>障害児相談支援</w:t>
      </w:r>
    </w:p>
    <w:p>
      <w:pPr>
        <w:pStyle w:val="89"/>
        <w:ind w:left="897" w:leftChars="400" w:firstLine="214"/>
        <w:rPr>
          <w:rFonts w:hint="default"/>
          <w:spacing w:val="0"/>
        </w:rPr>
      </w:pPr>
      <w:r>
        <w:rPr>
          <w:rFonts w:hint="eastAsia"/>
          <w:spacing w:val="0"/>
        </w:rPr>
        <w:t>障がい児が障害児通所支援を利用する際、障害児支援利用計画を作成し、必要に応じて計画の変更、事業所との調整、情報提供などの支援を行います。</w:t>
      </w:r>
    </w:p>
    <w:p>
      <w:pPr>
        <w:pStyle w:val="89"/>
        <w:spacing w:before="70" w:beforeLines="20" w:beforeAutospacing="0"/>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89"/>
        <w:ind w:left="1009" w:leftChars="450" w:firstLine="214"/>
        <w:rPr>
          <w:rFonts w:hint="default"/>
          <w:spacing w:val="0"/>
        </w:rPr>
      </w:pPr>
      <w:r>
        <w:rPr>
          <w:rFonts w:hint="eastAsia"/>
          <w:spacing w:val="0"/>
        </w:rPr>
        <w:t>令和２年度からの過去３年間の利用者数は、令和３年</w:t>
      </w:r>
      <w:r>
        <w:rPr>
          <w:rFonts w:hint="default"/>
          <w:spacing w:val="0"/>
        </w:rPr>
        <w:t>度において微減があるものの、基本的に増加傾向にあります。令</w:t>
      </w:r>
      <w:r>
        <w:rPr>
          <w:rFonts w:hint="eastAsia"/>
          <w:spacing w:val="0"/>
        </w:rPr>
        <w:t>和３年度から令和５年度見込</w:t>
      </w:r>
      <w:r>
        <w:rPr>
          <w:rFonts w:hint="default"/>
          <w:spacing w:val="0"/>
        </w:rPr>
        <w:t>数において、毎年度約</w:t>
      </w:r>
      <w:r>
        <w:rPr>
          <w:rFonts w:hint="default"/>
          <w:spacing w:val="0"/>
        </w:rPr>
        <w:t>6</w:t>
      </w:r>
      <w:r>
        <w:rPr>
          <w:rFonts w:hint="default"/>
          <w:spacing w:val="0"/>
        </w:rPr>
        <w:t>人の増となっていることから、令</w:t>
      </w:r>
      <w:r>
        <w:rPr>
          <w:rFonts w:hint="eastAsia"/>
          <w:spacing w:val="0"/>
        </w:rPr>
        <w:t>和６年度</w:t>
      </w:r>
      <w:r>
        <w:rPr>
          <w:rFonts w:hint="default"/>
          <w:spacing w:val="0"/>
        </w:rPr>
        <w:t>以降は毎年度</w:t>
      </w:r>
      <w:r>
        <w:rPr>
          <w:rFonts w:hint="default"/>
          <w:spacing w:val="0"/>
        </w:rPr>
        <w:t>6</w:t>
      </w:r>
      <w:r>
        <w:rPr>
          <w:rFonts w:hint="default"/>
          <w:spacing w:val="0"/>
        </w:rPr>
        <w:t>人の増で見込みます。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利用者数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75</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92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109</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96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102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108</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65</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66</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default"/>
              </w:rPr>
              <w:t>90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6"/>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r>
              <w:rPr>
                <w:rFonts w:hint="default"/>
              </w:rPr>
              <w:t>10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r>
              <w:rPr>
                <w:rFonts w:hint="default"/>
              </w:rPr>
              <w:t>26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88"/>
              <w:spacing w:before="5" w:beforeLines="0" w:beforeAutospacing="0" w:after="5" w:afterLines="0" w:afterAutospacing="0"/>
              <w:rPr>
                <w:rFonts w:hint="default"/>
              </w:rPr>
            </w:pPr>
            <w:r>
              <w:rPr>
                <w:rFonts w:hint="eastAsia"/>
              </w:rPr>
              <w:t>△</w:t>
            </w:r>
            <w:r>
              <w:rPr>
                <w:rFonts w:hint="default"/>
              </w:rPr>
              <w:t>19</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88"/>
              <w:spacing w:before="5" w:beforeLines="0" w:beforeAutospacing="0" w:after="5" w:afterLines="0" w:afterAutospacing="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87"/>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rPr>
          <w:rFonts w:hint="default"/>
          <w:sz w:val="21"/>
        </w:rPr>
      </w:pPr>
      <w:r>
        <w:rPr>
          <w:rFonts w:hint="default"/>
        </w:rPr>
        <w:br w:type="page"/>
      </w:r>
    </w:p>
    <w:p>
      <w:pPr>
        <w:pStyle w:val="89"/>
        <w:ind w:left="448" w:firstLine="0" w:firstLineChars="0"/>
        <w:rPr>
          <w:rFonts w:hint="default" w:asciiTheme="majorEastAsia" w:hAnsiTheme="majorEastAsia" w:eastAsiaTheme="majorEastAsia"/>
          <w:spacing w:val="0"/>
        </w:rPr>
      </w:pPr>
      <w:r>
        <w:rPr>
          <w:rFonts w:hint="eastAsia" w:asciiTheme="majorEastAsia" w:hAnsiTheme="majorEastAsia" w:eastAsiaTheme="majorEastAsia"/>
          <w:spacing w:val="0"/>
        </w:rPr>
        <w:t>【障害児通所支援事業の実績及び見込み一覧】</w:t>
      </w:r>
    </w:p>
    <w:tbl>
      <w:tblPr>
        <w:tblStyle w:val="11"/>
        <w:tblW w:w="9077" w:type="dxa"/>
        <w:tblInd w:w="562" w:type="dxa"/>
        <w:tblLayout w:type="fixed"/>
        <w:tblCellMar>
          <w:left w:w="99" w:type="dxa"/>
          <w:right w:w="99" w:type="dxa"/>
        </w:tblCellMar>
        <w:tblLook w:firstRow="1" w:lastRow="0" w:firstColumn="1" w:lastColumn="0" w:noHBand="0" w:noVBand="1" w:val="04A0"/>
      </w:tblPr>
      <w:tblGrid>
        <w:gridCol w:w="2408"/>
        <w:gridCol w:w="993"/>
        <w:gridCol w:w="761"/>
        <w:gridCol w:w="14"/>
        <w:gridCol w:w="804"/>
        <w:gridCol w:w="12"/>
        <w:gridCol w:w="807"/>
        <w:gridCol w:w="9"/>
        <w:gridCol w:w="809"/>
        <w:gridCol w:w="7"/>
        <w:gridCol w:w="816"/>
        <w:gridCol w:w="818"/>
        <w:gridCol w:w="819"/>
      </w:tblGrid>
      <w:tr>
        <w:trPr/>
        <w:tc>
          <w:tcPr>
            <w:tcW w:w="2408"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993"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761"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単位</w:t>
            </w:r>
          </w:p>
        </w:tc>
        <w:tc>
          <w:tcPr>
            <w:tcW w:w="2455" w:type="dxa"/>
            <w:gridSpan w:val="6"/>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実績値</w:t>
            </w:r>
          </w:p>
        </w:tc>
        <w:tc>
          <w:tcPr>
            <w:tcW w:w="2460" w:type="dxa"/>
            <w:gridSpan w:val="4"/>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計画値</w:t>
            </w:r>
          </w:p>
        </w:tc>
      </w:tr>
      <w:tr>
        <w:trPr/>
        <w:tc>
          <w:tcPr>
            <w:tcW w:w="240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993"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761"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818"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pacing w:val="-6"/>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３年度</w:t>
            </w:r>
          </w:p>
        </w:tc>
        <w:tc>
          <w:tcPr>
            <w:tcW w:w="819"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４年度</w:t>
            </w:r>
          </w:p>
        </w:tc>
        <w:tc>
          <w:tcPr>
            <w:tcW w:w="818"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５年度</w:t>
            </w:r>
          </w:p>
        </w:tc>
        <w:tc>
          <w:tcPr>
            <w:tcW w:w="823"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６</w:t>
            </w:r>
            <w:r>
              <w:rPr>
                <w:rFonts w:hint="default" w:asciiTheme="minorEastAsia" w:hAnsiTheme="minorEastAsia" w:eastAsiaTheme="minorEastAsia"/>
                <w:sz w:val="20"/>
              </w:rPr>
              <w:t>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７</w:t>
            </w:r>
            <w:r>
              <w:rPr>
                <w:rFonts w:hint="default" w:asciiTheme="minorEastAsia" w:hAnsiTheme="minorEastAsia" w:eastAsiaTheme="minorEastAsia"/>
                <w:sz w:val="20"/>
              </w:rPr>
              <w:t>年度</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８</w:t>
            </w:r>
            <w:r>
              <w:rPr>
                <w:rFonts w:hint="default" w:asciiTheme="minorEastAsia" w:hAnsiTheme="minorEastAsia" w:eastAsiaTheme="minorEastAsia"/>
                <w:sz w:val="20"/>
              </w:rPr>
              <w:t>年度</w:t>
            </w:r>
          </w:p>
        </w:tc>
      </w:tr>
      <w:tr>
        <w:trPr/>
        <w:tc>
          <w:tcPr>
            <w:tcW w:w="2408"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児童発達支援</w:t>
            </w:r>
          </w:p>
        </w:tc>
        <w:tc>
          <w:tcPr>
            <w:tcW w:w="99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775"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63</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89</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68</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77</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82</w:t>
            </w:r>
          </w:p>
        </w:tc>
      </w:tr>
      <w:tr>
        <w:trPr/>
        <w:tc>
          <w:tcPr>
            <w:tcW w:w="240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812</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949</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676</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806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862</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918</w:t>
            </w:r>
          </w:p>
        </w:tc>
      </w:tr>
      <w:tr>
        <w:trPr/>
        <w:tc>
          <w:tcPr>
            <w:tcW w:w="2408"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医療型児童発達支援</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r>
      <w:tr>
        <w:trPr/>
        <w:tc>
          <w:tcPr>
            <w:tcW w:w="240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28</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28</w:t>
            </w:r>
          </w:p>
        </w:tc>
      </w:tr>
      <w:tr>
        <w:trPr/>
        <w:tc>
          <w:tcPr>
            <w:tcW w:w="2408"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放課後等デイサービス</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147</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165</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186</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226</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246</w:t>
            </w:r>
          </w:p>
        </w:tc>
      </w:tr>
      <w:tr>
        <w:trPr/>
        <w:tc>
          <w:tcPr>
            <w:tcW w:w="240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2,448</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2,689</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2,653</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3,378</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3,706</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4,034</w:t>
            </w:r>
          </w:p>
        </w:tc>
      </w:tr>
      <w:tr>
        <w:trPr/>
        <w:tc>
          <w:tcPr>
            <w:tcW w:w="2408"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保育所等訪問支援</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23</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39</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43</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59</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67</w:t>
            </w:r>
          </w:p>
        </w:tc>
      </w:tr>
      <w:tr>
        <w:trPr/>
        <w:tc>
          <w:tcPr>
            <w:tcW w:w="240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50</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99</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108</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117</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136</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154</w:t>
            </w:r>
          </w:p>
        </w:tc>
      </w:tr>
      <w:tr>
        <w:trPr/>
        <w:tc>
          <w:tcPr>
            <w:tcW w:w="2408"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居宅訪問型児童発達支援</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c>
          <w:tcPr>
            <w:tcW w:w="240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r>
      <w:tr>
        <w:trPr/>
        <w:tc>
          <w:tcPr>
            <w:tcW w:w="240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障害児相談支援</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65</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66</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90</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102</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108</w:t>
            </w:r>
          </w:p>
        </w:tc>
      </w:tr>
    </w:tbl>
    <w:p>
      <w:pPr>
        <w:pStyle w:val="89"/>
        <w:ind w:left="560" w:leftChars="250" w:firstLine="0" w:firstLineChars="0"/>
        <w:rPr>
          <w:rFonts w:hint="default"/>
        </w:rPr>
      </w:pPr>
      <w:r>
        <w:rPr>
          <w:rFonts w:hint="eastAsia"/>
        </w:rPr>
        <w:t>※令和５年度は、見込みの数値。</w:t>
      </w:r>
    </w:p>
    <w:p>
      <w:pPr>
        <w:pStyle w:val="0"/>
        <w:ind w:left="560" w:leftChars="250" w:firstLine="214" w:firstLineChars="100"/>
        <w:rPr>
          <w:rFonts w:hint="default" w:asciiTheme="minorEastAsia" w:hAnsiTheme="minorEastAsia" w:eastAsiaTheme="minorEastAsia"/>
          <w:sz w:val="21"/>
        </w:rPr>
      </w:pPr>
    </w:p>
    <w:p>
      <w:pPr>
        <w:pStyle w:val="0"/>
        <w:ind w:left="560" w:leftChars="250" w:firstLine="214" w:firstLineChars="100"/>
        <w:rPr>
          <w:rFonts w:hint="default" w:asciiTheme="minorEastAsia" w:hAnsiTheme="minorEastAsia" w:eastAsiaTheme="minorEastAsia"/>
          <w:sz w:val="21"/>
        </w:rPr>
      </w:pPr>
    </w:p>
    <w:p>
      <w:pPr>
        <w:pStyle w:val="81"/>
        <w:spacing w:after="37" w:afterLines="0" w:afterAutospacing="0"/>
        <w:ind w:left="224"/>
        <w:rPr>
          <w:rFonts w:hint="default"/>
        </w:rPr>
      </w:pPr>
      <w:bookmarkStart w:id="351" w:name="_Toc67040259"/>
      <w:r>
        <w:rPr>
          <w:rFonts w:hint="default"/>
        </w:rPr>
        <w:t>(</w:t>
      </w:r>
      <w:r>
        <w:rPr>
          <w:rFonts w:hint="eastAsia"/>
        </w:rPr>
        <w:t>２</w:t>
      </w:r>
      <w:r>
        <w:rPr>
          <w:rFonts w:hint="eastAsia"/>
        </w:rPr>
        <w:t>)</w:t>
      </w:r>
      <w:r>
        <w:rPr>
          <w:rFonts w:hint="eastAsia"/>
        </w:rPr>
        <w:t>障害児通所支援のサービス見込量確保のための方策</w:t>
      </w:r>
      <w:bookmarkEnd w:id="351"/>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本町では利用者のニーズを満たす供給量を確保するために、各サービスの利用状況を把握し、サービスの提供が不足しないよう民間等の事業者との連携を図ります。</w:t>
      </w:r>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また、サービス量の確保とともに、質の高いサービスの提供が不可欠であるため、利用者の声を把握することに努め、状況に応じて事業者への指導を行うなど、質の低下を防ぐように努めます。</w:t>
      </w:r>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実績の乏しいサービスについては利用の周知を図るほか、サービス提供事業所がないサービスについては、本町のサービス利用状況等の情報提供により事業者の参入促進を図ります。</w:t>
      </w:r>
    </w:p>
    <w:p>
      <w:pPr>
        <w:pStyle w:val="0"/>
        <w:widowControl w:val="1"/>
        <w:jc w:val="left"/>
        <w:rPr>
          <w:rFonts w:hint="default" w:asciiTheme="minorEastAsia" w:hAnsiTheme="minorEastAsia" w:eastAsiaTheme="minorEastAsia"/>
          <w:sz w:val="21"/>
        </w:rPr>
      </w:pPr>
    </w:p>
    <w:p>
      <w:pPr>
        <w:pStyle w:val="0"/>
        <w:ind w:left="560" w:leftChars="250" w:firstLine="214" w:firstLineChars="100"/>
        <w:rPr>
          <w:rFonts w:hint="default" w:asciiTheme="minorEastAsia" w:hAnsiTheme="minorEastAsia" w:eastAsiaTheme="minorEastAsia"/>
          <w:sz w:val="21"/>
        </w:rPr>
      </w:pPr>
    </w:p>
    <w:p>
      <w:pPr>
        <w:pStyle w:val="0"/>
        <w:ind w:left="560" w:leftChars="250" w:firstLine="214" w:firstLineChars="100"/>
        <w:rPr>
          <w:rFonts w:hint="default" w:asciiTheme="minorEastAsia" w:hAnsiTheme="minorEastAsia" w:eastAsiaTheme="minorEastAsia"/>
          <w:sz w:val="21"/>
        </w:rPr>
      </w:pPr>
    </w:p>
    <w:p>
      <w:pPr>
        <w:pStyle w:val="0"/>
        <w:ind w:left="560" w:leftChars="250" w:firstLine="214" w:firstLineChars="100"/>
        <w:rPr>
          <w:rFonts w:hint="default" w:asciiTheme="minorEastAsia" w:hAnsiTheme="minorEastAsia" w:eastAsiaTheme="minorEastAsia"/>
          <w:sz w:val="21"/>
        </w:rPr>
      </w:pPr>
    </w:p>
    <w:p>
      <w:pPr>
        <w:pStyle w:val="0"/>
        <w:widowControl w:val="1"/>
        <w:jc w:val="left"/>
        <w:rPr>
          <w:rFonts w:hint="default" w:asciiTheme="minorEastAsia" w:hAnsiTheme="minorEastAsia" w:eastAsiaTheme="minorEastAsia"/>
          <w:sz w:val="21"/>
        </w:rPr>
      </w:pPr>
      <w:r>
        <w:rPr>
          <w:rFonts w:hint="default" w:asciiTheme="minorEastAsia" w:hAnsiTheme="minorEastAsia" w:eastAsiaTheme="minorEastAsia"/>
          <w:sz w:val="21"/>
        </w:rPr>
        <w:br w:type="page"/>
      </w:r>
    </w:p>
    <w:p>
      <w:pPr>
        <w:pStyle w:val="22"/>
        <w:spacing w:after="296" w:afterLines="0" w:afterAutospacing="0"/>
        <w:rPr>
          <w:rFonts w:hint="default"/>
        </w:rPr>
      </w:pPr>
      <w:bookmarkStart w:id="352" w:name="_Toc162263684"/>
      <w:r>
        <w:rPr>
          <w:rFonts w:hint="default"/>
        </w:rPr>
        <w:t>第</w:t>
      </w:r>
      <w:r>
        <w:rPr>
          <w:rFonts w:hint="eastAsia"/>
        </w:rPr>
        <w:t>７</w:t>
      </w:r>
      <w:r>
        <w:rPr>
          <w:rFonts w:hint="default"/>
        </w:rPr>
        <w:t>章　</w:t>
      </w:r>
      <w:r>
        <w:rPr>
          <w:rFonts w:hint="eastAsia"/>
        </w:rPr>
        <w:t>計画の推進に向けて</w:t>
      </w:r>
      <w:bookmarkEnd w:id="352"/>
    </w:p>
    <w:p>
      <w:pPr>
        <w:pStyle w:val="80"/>
        <w:spacing w:after="92" w:afterLines="0" w:afterAutospacing="0"/>
        <w:rPr>
          <w:rFonts w:hint="default"/>
        </w:rPr>
      </w:pPr>
      <w:bookmarkStart w:id="353" w:name="_Toc162263685"/>
      <w:r>
        <w:rPr>
          <w:rFonts w:hint="eastAsia"/>
        </w:rPr>
        <w:t>１．庁内計画推進体制の整備</w:t>
      </w:r>
      <w:bookmarkEnd w:id="353"/>
    </w:p>
    <w:p>
      <w:pPr>
        <w:pStyle w:val="0"/>
        <w:ind w:left="448" w:leftChars="200" w:firstLine="214" w:firstLineChars="100"/>
        <w:rPr>
          <w:rFonts w:hint="default"/>
          <w:sz w:val="21"/>
        </w:rPr>
      </w:pPr>
      <w:r>
        <w:rPr>
          <w:rFonts w:hint="eastAsia"/>
          <w:sz w:val="21"/>
        </w:rPr>
        <w:t>本計画は、保健、福祉、医療の分野に限らず、教育、雇用・就労、住環境、都市整備、障がい児・者の日常生活及び社会参加にかかわる様々な分野に及ぶことから、町の全ての部署に計画の周知と啓発を行うとともに、障がい福祉の担当課を中心に関係課との連携を密にし、全庁的な計画の推進体制を整えます。</w:t>
      </w:r>
    </w:p>
    <w:p>
      <w:pPr>
        <w:pStyle w:val="0"/>
        <w:ind w:left="448" w:leftChars="200" w:firstLine="214" w:firstLineChars="100"/>
        <w:rPr>
          <w:rFonts w:hint="default"/>
          <w:sz w:val="21"/>
        </w:rPr>
      </w:pPr>
    </w:p>
    <w:p>
      <w:pPr>
        <w:pStyle w:val="80"/>
        <w:spacing w:after="92" w:afterLines="0" w:afterAutospacing="0"/>
        <w:rPr>
          <w:rFonts w:hint="default"/>
        </w:rPr>
      </w:pPr>
      <w:bookmarkStart w:id="354" w:name="_Toc162263686"/>
      <w:bookmarkStart w:id="355" w:name="_Toc505592300"/>
      <w:r>
        <w:rPr>
          <w:rFonts w:hint="eastAsia"/>
        </w:rPr>
        <w:t>２．地域及び関係機関等との連携</w:t>
      </w:r>
      <w:bookmarkEnd w:id="354"/>
      <w:bookmarkEnd w:id="355"/>
    </w:p>
    <w:p>
      <w:pPr>
        <w:pStyle w:val="0"/>
        <w:ind w:left="448" w:leftChars="200" w:firstLine="214" w:firstLineChars="100"/>
        <w:rPr>
          <w:rFonts w:hint="default"/>
          <w:sz w:val="21"/>
        </w:rPr>
      </w:pPr>
      <w:r>
        <w:rPr>
          <w:rFonts w:hint="eastAsia"/>
          <w:sz w:val="21"/>
        </w:rPr>
        <w:t>本計画は行政が中心となって進めていく計画ですが、国、県との連携とともに計画に係わる全ての事業所をはじめ、医療機関、町社会福祉協議会、町民生委員・児童委員連合会、町障がい者団体及び住民やボランティア等の理解・協力、参画がなければ計画の成果を上げることは困難です。このため、これらの多様な主体と連携を密にし、障がい者が尊厳を保ちながら、身近な地域で生き生きと日常生活や社会活動ができるよう、支援ネットワーク体制の充実を図ります。</w:t>
      </w:r>
    </w:p>
    <w:p>
      <w:pPr>
        <w:pStyle w:val="0"/>
        <w:ind w:left="448" w:leftChars="200" w:firstLine="214" w:firstLineChars="100"/>
        <w:rPr>
          <w:rFonts w:hint="default"/>
          <w:sz w:val="21"/>
        </w:rPr>
      </w:pPr>
      <w:r>
        <w:rPr>
          <w:rFonts w:hint="eastAsia"/>
          <w:sz w:val="21"/>
        </w:rPr>
        <w:t>また、近隣市町村とは広域的な調整が図られるよう連携します。</w:t>
      </w:r>
    </w:p>
    <w:p>
      <w:pPr>
        <w:pStyle w:val="0"/>
        <w:ind w:left="448" w:leftChars="200" w:firstLine="214" w:firstLineChars="100"/>
        <w:rPr>
          <w:rFonts w:hint="default"/>
          <w:sz w:val="21"/>
        </w:rPr>
      </w:pPr>
    </w:p>
    <w:p>
      <w:pPr>
        <w:pStyle w:val="80"/>
        <w:spacing w:after="92" w:afterLines="0" w:afterAutospacing="0"/>
        <w:rPr>
          <w:rFonts w:hint="default"/>
        </w:rPr>
      </w:pPr>
      <w:bookmarkStart w:id="356" w:name="_Toc162263687"/>
      <w:bookmarkStart w:id="357" w:name="_Toc505592301"/>
      <w:r>
        <w:rPr>
          <w:rFonts w:hint="eastAsia"/>
        </w:rPr>
        <w:t>３．人材の確保</w:t>
      </w:r>
      <w:bookmarkEnd w:id="356"/>
      <w:bookmarkEnd w:id="357"/>
    </w:p>
    <w:p>
      <w:pPr>
        <w:pStyle w:val="0"/>
        <w:ind w:left="448" w:leftChars="200" w:firstLine="214" w:firstLineChars="100"/>
        <w:rPr>
          <w:rFonts w:hint="default"/>
          <w:sz w:val="21"/>
        </w:rPr>
      </w:pPr>
      <w:r>
        <w:rPr>
          <w:rFonts w:hint="eastAsia"/>
          <w:sz w:val="21"/>
        </w:rPr>
        <w:t>本計画では、相談支援体制の充実、特別な配慮を必要とする子の療育・保育・教育の充実、障がいを予防するための保健活動の推進、権利擁護の推進及び障害福祉サービスや障害児通所支援の充実等多様な施策を掲げています。これらの取り組みにおいては相談支援員や心理士、保育士や特別支援教育支援員、保健活動従事者、その他サービス提供等にかかる専門員等の人材確保が不可欠です。そのため、関係機関やサービス提供事業所等との連携、地域人材の活用などにより、必要となる人材の確保に取り組みます。また、国や県に対し、財政的支援とともに人材確保について要請していきます。</w:t>
      </w:r>
    </w:p>
    <w:p>
      <w:pPr>
        <w:pStyle w:val="0"/>
        <w:ind w:left="448" w:leftChars="200" w:firstLine="214" w:firstLineChars="100"/>
        <w:rPr>
          <w:rFonts w:hint="default"/>
          <w:sz w:val="21"/>
        </w:rPr>
      </w:pPr>
    </w:p>
    <w:p>
      <w:pPr>
        <w:pStyle w:val="80"/>
        <w:spacing w:after="92" w:afterLines="0" w:afterAutospacing="0"/>
        <w:rPr>
          <w:rFonts w:hint="default"/>
        </w:rPr>
      </w:pPr>
      <w:bookmarkStart w:id="358" w:name="_Toc162263688"/>
      <w:bookmarkStart w:id="359" w:name="_Toc505592302"/>
      <w:r>
        <w:rPr>
          <w:rFonts w:hint="eastAsia"/>
        </w:rPr>
        <w:t>４．計画の周知</w:t>
      </w:r>
      <w:bookmarkEnd w:id="358"/>
      <w:bookmarkEnd w:id="359"/>
    </w:p>
    <w:p>
      <w:pPr>
        <w:pStyle w:val="0"/>
        <w:ind w:left="448" w:leftChars="200" w:firstLine="214" w:firstLineChars="100"/>
        <w:rPr>
          <w:rFonts w:hint="default"/>
          <w:sz w:val="21"/>
        </w:rPr>
      </w:pPr>
      <w:r>
        <w:rPr>
          <w:rFonts w:hint="eastAsia"/>
          <w:sz w:val="21"/>
        </w:rPr>
        <w:t>地域住民や事業所、関係機関・団体等が障がい及び障がい者に対する理解を深め、本計画の推進に積極的に関わり、各施策の効果的な展開を図るために、町の広報紙やホームページ等、適切な機会を活用して、本計画の周知を図ります。</w:t>
      </w:r>
    </w:p>
    <w:p>
      <w:pPr>
        <w:pStyle w:val="0"/>
        <w:ind w:left="448" w:leftChars="200" w:firstLine="214" w:firstLineChars="100"/>
        <w:rPr>
          <w:rFonts w:hint="default"/>
          <w:sz w:val="21"/>
        </w:rPr>
      </w:pPr>
    </w:p>
    <w:p>
      <w:pPr>
        <w:pStyle w:val="0"/>
        <w:widowControl w:val="1"/>
        <w:jc w:val="left"/>
        <w:rPr>
          <w:rFonts w:hint="eastAsia" w:ascii="HGｺﾞｼｯｸM" w:hAnsi="HGｺﾞｼｯｸM" w:eastAsia="ＭＳ ゴシック"/>
          <w:sz w:val="26"/>
        </w:rPr>
      </w:pPr>
      <w:r>
        <w:rPr>
          <w:rFonts w:hint="default"/>
        </w:rPr>
        <w:br w:type="page"/>
      </w:r>
    </w:p>
    <w:p>
      <w:pPr>
        <w:pStyle w:val="80"/>
        <w:spacing w:after="92" w:afterLines="0" w:afterAutospacing="0"/>
        <w:rPr>
          <w:rFonts w:hint="default"/>
        </w:rPr>
      </w:pPr>
      <w:bookmarkStart w:id="360" w:name="_Toc162263689"/>
      <w:bookmarkStart w:id="361" w:name="_Toc505592303"/>
      <w:r>
        <w:rPr>
          <w:rFonts w:hint="eastAsia"/>
        </w:rPr>
        <w:t>５．計画の点検・評価</w:t>
      </w:r>
      <w:bookmarkEnd w:id="360"/>
      <w:bookmarkEnd w:id="361"/>
    </w:p>
    <w:p>
      <w:pPr>
        <w:pStyle w:val="0"/>
        <w:ind w:left="448" w:leftChars="200" w:firstLine="214" w:firstLineChars="100"/>
        <w:rPr>
          <w:rFonts w:hint="default"/>
          <w:sz w:val="21"/>
        </w:rPr>
      </w:pPr>
      <w:r>
        <w:rPr>
          <w:rFonts w:hint="eastAsia"/>
          <w:sz w:val="21"/>
        </w:rPr>
        <w:t>本計画の推進にあたっては、各々の取り組みの進捗管理が重要となります。また、障害者総合支援法</w:t>
      </w:r>
      <w:r>
        <w:rPr>
          <w:rFonts w:hint="eastAsia"/>
          <w:sz w:val="21"/>
        </w:rPr>
        <w:t>(</w:t>
      </w:r>
      <w:r>
        <w:rPr>
          <w:rFonts w:hint="eastAsia"/>
          <w:sz w:val="21"/>
        </w:rPr>
        <w:t>第</w:t>
      </w:r>
      <w:r>
        <w:rPr>
          <w:rFonts w:hint="eastAsia"/>
          <w:sz w:val="21"/>
        </w:rPr>
        <w:t>88</w:t>
      </w:r>
      <w:r>
        <w:rPr>
          <w:rFonts w:hint="eastAsia"/>
          <w:sz w:val="21"/>
        </w:rPr>
        <w:t>条の</w:t>
      </w:r>
      <w:r>
        <w:rPr>
          <w:rFonts w:hint="eastAsia"/>
          <w:sz w:val="21"/>
        </w:rPr>
        <w:t>2)</w:t>
      </w:r>
      <w:r>
        <w:rPr>
          <w:rFonts w:hint="eastAsia"/>
          <w:sz w:val="21"/>
        </w:rPr>
        <w:t>では、計画に定める事項について、定期的に調査、分析及び評価を行い、必要があると認めた時は、計画を変更するなどその他の必要な措置を講ずるとされています。そのため、「ＰＤＣＡサイクル」を導入し、少なくとも年に１回は進捗状況を点検・評価し、必要に応じて計画の見直しを行います。</w:t>
      </w:r>
    </w:p>
    <w:p>
      <w:pPr>
        <w:pStyle w:val="0"/>
        <w:ind w:left="448" w:leftChars="200" w:firstLine="214" w:firstLineChars="100"/>
        <w:rPr>
          <w:rFonts w:hint="default"/>
          <w:sz w:val="21"/>
        </w:rPr>
      </w:pPr>
      <w:r>
        <w:rPr>
          <w:rFonts w:hint="eastAsia"/>
          <w:sz w:val="21"/>
        </w:rPr>
        <w:t>そのためにも、施策の点検・評価の結果を「南風原町障がい者自立支援協議会」に報告し、協議会の意見・提言を得て計画の推進に活かします。</w:t>
      </w:r>
    </w:p>
    <w:p>
      <w:pPr>
        <w:pStyle w:val="0"/>
        <w:ind w:left="448" w:leftChars="200" w:firstLine="214" w:firstLineChars="100"/>
        <w:rPr>
          <w:rFonts w:hint="default"/>
          <w:sz w:val="21"/>
        </w:rPr>
      </w:pPr>
    </w:p>
    <w:p>
      <w:pPr>
        <w:pStyle w:val="0"/>
        <w:ind w:left="448" w:leftChars="200" w:firstLine="214" w:firstLineChars="100"/>
        <w:rPr>
          <w:rFonts w:hint="default"/>
          <w:sz w:val="21"/>
        </w:rPr>
      </w:pPr>
      <w:r>
        <w:rPr>
          <w:rFonts w:hint="default"/>
          <w:sz w:val="21"/>
        </w:rPr>
        <mc:AlternateContent>
          <mc:Choice Requires="wps">
            <w:drawing>
              <wp:anchor distT="0" distB="0" distL="114300" distR="114300" simplePos="0" relativeHeight="60" behindDoc="0" locked="0" layoutInCell="1" hidden="0" allowOverlap="1">
                <wp:simplePos x="0" y="0"/>
                <wp:positionH relativeFrom="column">
                  <wp:posOffset>1489075</wp:posOffset>
                </wp:positionH>
                <wp:positionV relativeFrom="paragraph">
                  <wp:posOffset>190500</wp:posOffset>
                </wp:positionV>
                <wp:extent cx="3218180" cy="285750"/>
                <wp:effectExtent l="0" t="0" r="635" b="635"/>
                <wp:wrapNone/>
                <wp:docPr id="1240" name="テキスト ボックス 802"/>
                <a:graphic xmlns:a="http://schemas.openxmlformats.org/drawingml/2006/main">
                  <a:graphicData uri="http://schemas.microsoft.com/office/word/2010/wordprocessingShape">
                    <wps:wsp>
                      <wps:cNvPr id="1240" name="テキスト ボックス 802"/>
                      <wps:cNvSpPr txBox="1">
                        <a:spLocks noChangeArrowheads="1"/>
                      </wps:cNvSpPr>
                      <wps:spPr>
                        <a:xfrm>
                          <a:off x="0" y="0"/>
                          <a:ext cx="3218180" cy="285750"/>
                        </a:xfrm>
                        <a:prstGeom prst="rect">
                          <a:avLst/>
                        </a:prstGeom>
                        <a:noFill/>
                        <a:ln>
                          <a:noFill/>
                        </a:ln>
                      </wps:spPr>
                      <wps:txbx>
                        <w:txbxContent>
                          <w:p>
                            <w:pPr>
                              <w:pStyle w:val="0"/>
                              <w:spacing w:line="0" w:lineRule="atLeast"/>
                              <w:ind w:left="224" w:hanging="224" w:hangingChars="100"/>
                              <w:jc w:val="center"/>
                              <w:rPr>
                                <w:rFonts w:hint="default" w:ascii="ＭＳ ゴシック" w:hAnsi="ＭＳ ゴシック" w:eastAsia="ＭＳ ゴシック"/>
                              </w:rPr>
                            </w:pPr>
                            <w:r>
                              <w:rPr>
                                <w:rFonts w:hint="eastAsia" w:ascii="ＭＳ ゴシック" w:hAnsi="ＭＳ ゴシック" w:eastAsia="ＭＳ ゴシック"/>
                              </w:rPr>
                              <w:t>（ＰＤＣＡ</w:t>
                            </w:r>
                            <w:r>
                              <w:rPr>
                                <w:rFonts w:hint="default" w:ascii="ＭＳ ゴシック" w:hAnsi="ＭＳ ゴシック" w:eastAsia="ＭＳ ゴシック"/>
                              </w:rPr>
                              <w:t>サイクルのプロセスのイメージ</w:t>
                            </w:r>
                            <w:r>
                              <w:rPr>
                                <w:rFonts w:hint="eastAsia" w:ascii="ＭＳ ゴシック" w:hAnsi="ＭＳ ゴシック" w:eastAsia="ＭＳ ゴシック"/>
                              </w:rPr>
                              <w:t>）</w:t>
                            </w:r>
                          </w:p>
                        </w:txbxContent>
                      </wps:txbx>
                      <wps:bodyPr rot="0" vertOverflow="overflow" horzOverflow="overflow" wrap="square" lIns="0" tIns="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802" style="mso-wrap-distance-right:9pt;mso-wrap-distance-bottom:0pt;margin-top:15pt;mso-position-vertical-relative:text;mso-position-horizontal-relative:text;v-text-anchor:middle;position:absolute;height:22.5pt;mso-wrap-distance-top:0pt;width:253.4pt;mso-wrap-distance-left:9pt;margin-left:117.25pt;z-index:60;" o:spid="_x0000_s1240" o:allowincell="t" o:allowoverlap="t" filled="f" stroked="f" o:spt="202" type="#_x0000_t202">
                <v:fill/>
                <v:textbox style="layout-flow:horizontal;" inset="0mm,0mm,0mm,0mm">
                  <w:txbxContent>
                    <w:p>
                      <w:pPr>
                        <w:pStyle w:val="0"/>
                        <w:spacing w:line="0" w:lineRule="atLeast"/>
                        <w:ind w:left="224" w:hanging="224" w:hangingChars="100"/>
                        <w:jc w:val="center"/>
                        <w:rPr>
                          <w:rFonts w:hint="default" w:ascii="ＭＳ ゴシック" w:hAnsi="ＭＳ ゴシック" w:eastAsia="ＭＳ ゴシック"/>
                        </w:rPr>
                      </w:pPr>
                      <w:r>
                        <w:rPr>
                          <w:rFonts w:hint="eastAsia" w:ascii="ＭＳ ゴシック" w:hAnsi="ＭＳ ゴシック" w:eastAsia="ＭＳ ゴシック"/>
                        </w:rPr>
                        <w:t>（ＰＤＣＡ</w:t>
                      </w:r>
                      <w:r>
                        <w:rPr>
                          <w:rFonts w:hint="default" w:ascii="ＭＳ ゴシック" w:hAnsi="ＭＳ ゴシック" w:eastAsia="ＭＳ ゴシック"/>
                        </w:rPr>
                        <w:t>サイクルのプロセスのイメージ</w:t>
                      </w:r>
                      <w:r>
                        <w:rPr>
                          <w:rFonts w:hint="eastAsia" w:ascii="ＭＳ ゴシック" w:hAnsi="ＭＳ ゴシック" w:eastAsia="ＭＳ ゴシック"/>
                        </w:rPr>
                        <w:t>）</w:t>
                      </w:r>
                    </w:p>
                  </w:txbxContent>
                </v:textbox>
                <v:imagedata o:title=""/>
                <w10:wrap type="none" anchorx="text" anchory="text"/>
              </v:shape>
            </w:pict>
          </mc:Fallback>
        </mc:AlternateContent>
      </w:r>
    </w:p>
    <w:p>
      <w:pPr>
        <w:pStyle w:val="0"/>
        <w:ind w:left="448" w:leftChars="200" w:firstLine="214" w:firstLineChars="100"/>
        <w:rPr>
          <w:rFonts w:hint="default"/>
          <w:sz w:val="21"/>
        </w:rPr>
      </w:pPr>
    </w:p>
    <w:p>
      <w:pPr>
        <w:pStyle w:val="0"/>
        <w:ind w:left="448" w:leftChars="200" w:firstLine="214" w:firstLineChars="100"/>
        <w:rPr>
          <w:rFonts w:hint="default"/>
          <w:sz w:val="21"/>
        </w:rPr>
      </w:pPr>
    </w:p>
    <w:p>
      <w:pPr>
        <w:pStyle w:val="0"/>
        <w:ind w:left="448" w:leftChars="200" w:firstLine="214" w:firstLineChars="100"/>
        <w:rPr>
          <w:rFonts w:hint="default"/>
          <w:sz w:val="21"/>
        </w:rPr>
      </w:pPr>
      <w:r>
        <w:rPr>
          <w:rFonts w:hint="default"/>
          <w:sz w:val="21"/>
        </w:rPr>
        <mc:AlternateContent>
          <mc:Choice Requires="wpg">
            <w:drawing>
              <wp:anchor distT="0" distB="0" distL="114300" distR="114300" simplePos="0" relativeHeight="61" behindDoc="0" locked="0" layoutInCell="1" hidden="0" allowOverlap="1">
                <wp:simplePos x="0" y="0"/>
                <wp:positionH relativeFrom="column">
                  <wp:posOffset>499110</wp:posOffset>
                </wp:positionH>
                <wp:positionV relativeFrom="paragraph">
                  <wp:posOffset>13335</wp:posOffset>
                </wp:positionV>
                <wp:extent cx="1957070" cy="954405"/>
                <wp:effectExtent l="635" t="635" r="635" b="635"/>
                <wp:wrapNone/>
                <wp:docPr id="1241" name="グループ化 191"/>
                <a:graphic xmlns:a="http://schemas.openxmlformats.org/drawingml/2006/main">
                  <a:graphicData uri="http://schemas.microsoft.com/office/word/2010/wordprocessingGroup">
                    <wpg:wgp>
                      <wpg:cNvGrpSpPr/>
                      <wpg:grpSpPr>
                        <a:xfrm>
                          <a:off x="0" y="0"/>
                          <a:ext cx="1957070" cy="954405"/>
                          <a:chOff x="0" y="0"/>
                          <a:chExt cx="1957705" cy="802005"/>
                        </a:xfrm>
                      </wpg:grpSpPr>
                      <wps:wsp>
                        <wps:cNvPr id="1242" name="角丸四角形 192"/>
                        <wps:cNvSpPr/>
                        <wps:spPr>
                          <a:xfrm>
                            <a:off x="0" y="0"/>
                            <a:ext cx="1957705" cy="802005"/>
                          </a:xfrm>
                          <a:prstGeom prst="roundRect">
                            <a:avLst/>
                          </a:prstGeom>
                          <a:solidFill>
                            <a:schemeClr val="bg1">
                              <a:lumMod val="85000"/>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43" name="テキスト ボックス 802"/>
                        <wps:cNvSpPr txBox="1">
                          <a:spLocks noChangeArrowheads="1"/>
                        </wps:cNvSpPr>
                        <wps:spPr>
                          <a:xfrm>
                            <a:off x="103506" y="64032"/>
                            <a:ext cx="1743005" cy="696352"/>
                          </a:xfrm>
                          <a:prstGeom prst="rect">
                            <a:avLst/>
                          </a:prstGeom>
                          <a:noFill/>
                          <a:ln>
                            <a:noFill/>
                          </a:ln>
                        </wps:spPr>
                        <wps:txbx>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④点検・評価や南風原町障がい者自立支援協議会の意見を踏まえ、必要があると認めるときは、計画の見直し等を実施。</w:t>
                              </w:r>
                            </w:p>
                          </w:txbxContent>
                        </wps:txbx>
                        <wps:bodyPr rot="0" vertOverflow="overflow" horzOverflow="overflow" wrap="square" lIns="0" tIns="0" rIns="0" bIns="0" anchor="ctr" anchorCtr="0" upright="1"/>
                      </wps:wsp>
                    </wpg:wgp>
                  </a:graphicData>
                </a:graphic>
              </wp:anchor>
            </w:drawing>
          </mc:Choice>
          <mc:Fallback>
            <w:pict>
              <v:group id="グループ化 191" style="mso-wrap-distance-right:9pt;mso-wrap-distance-bottom:0pt;margin-top:1.05pt;mso-position-vertical-relative:text;mso-position-horizontal-relative:text;position:absolute;height:75.150000000000006pt;mso-wrap-distance-top:0pt;width:154.1pt;mso-wrap-distance-left:9pt;margin-left:39.29pt;z-index:61;" coordsize="1957705,802005" coordorigin="0,0" o:spid="_x0000_s1241" o:allowincell="t" o:allowoverlap="t">
                <v:roundrect id="角丸四角形 192" style="height:802005;width:1957705;top:0;left:0;position:absolute;" o:spid="_x0000_s1242" filled="t" fillcolor="#d9d9d9" stroked="f" strokecolor="#42709c" strokeweight="1pt" o:spt="2" arcsize="10923f">
                  <v:fill opacity="49152f"/>
                  <v:stroke linestyle="single" miterlimit="8" endcap="flat" dashstyle="solid"/>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802" style="height:696352;width:1743005;top:64032;left:103506;v-text-anchor:middle;position:absolute;" o:spid="_x0000_s1243" filled="f" stroked="f" o:spt="202" type="#_x0000_t202">
                  <v:fill/>
                  <v:textbox style="layout-flow:horizontal;" inset="0mm,0mm,0mm,0mm">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④点検・評価や南風原町障がい者自立支援協議会の意見を踏まえ、必要があると認めるときは、計画の見直し等を実施。</w:t>
                        </w:r>
                      </w:p>
                    </w:txbxContent>
                  </v:textbox>
                  <v:imagedata o:title=""/>
                  <w10:wrap type="none" anchorx="text" anchory="text"/>
                </v:shape>
                <w10:wrap type="none" anchorx="text" anchory="text"/>
              </v:group>
            </w:pict>
          </mc:Fallback>
        </mc:AlternateContent>
      </w:r>
      <w:r>
        <w:rPr>
          <w:rFonts w:hint="default"/>
          <w:sz w:val="21"/>
        </w:rPr>
        <mc:AlternateContent>
          <mc:Choice Requires="wpg">
            <w:drawing>
              <wp:anchor distT="0" distB="0" distL="114300" distR="114300" simplePos="0" relativeHeight="64" behindDoc="0" locked="0" layoutInCell="1" hidden="0" allowOverlap="1">
                <wp:simplePos x="0" y="0"/>
                <wp:positionH relativeFrom="column">
                  <wp:posOffset>3660140</wp:posOffset>
                </wp:positionH>
                <wp:positionV relativeFrom="paragraph">
                  <wp:posOffset>9525</wp:posOffset>
                </wp:positionV>
                <wp:extent cx="1957705" cy="954405"/>
                <wp:effectExtent l="635" t="635" r="635" b="635"/>
                <wp:wrapNone/>
                <wp:docPr id="1244" name="グループ化 194"/>
                <a:graphic xmlns:a="http://schemas.openxmlformats.org/drawingml/2006/main">
                  <a:graphicData uri="http://schemas.microsoft.com/office/word/2010/wordprocessingGroup">
                    <wpg:wgp>
                      <wpg:cNvGrpSpPr/>
                      <wpg:grpSpPr>
                        <a:xfrm>
                          <a:off x="0" y="0"/>
                          <a:ext cx="1957705" cy="954405"/>
                          <a:chOff x="0" y="0"/>
                          <a:chExt cx="1958196" cy="802257"/>
                        </a:xfrm>
                      </wpg:grpSpPr>
                      <wps:wsp>
                        <wps:cNvPr id="1245" name="角丸四角形 195"/>
                        <wps:cNvSpPr/>
                        <wps:spPr>
                          <a:xfrm>
                            <a:off x="0" y="0"/>
                            <a:ext cx="1958196" cy="802257"/>
                          </a:xfrm>
                          <a:prstGeom prst="roundRect">
                            <a:avLst/>
                          </a:prstGeom>
                          <a:solidFill>
                            <a:schemeClr val="bg1">
                              <a:lumMod val="50000"/>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46" name="テキスト ボックス 817"/>
                        <wps:cNvSpPr txBox="1">
                          <a:spLocks noChangeArrowheads="1"/>
                        </wps:cNvSpPr>
                        <wps:spPr>
                          <a:xfrm>
                            <a:off x="138023" y="86210"/>
                            <a:ext cx="1716200" cy="629315"/>
                          </a:xfrm>
                          <a:prstGeom prst="rect">
                            <a:avLst/>
                          </a:prstGeom>
                          <a:noFill/>
                          <a:ln>
                            <a:noFill/>
                          </a:ln>
                        </wps:spPr>
                        <wps:txbx>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①施策の推進方策及び障害福祉サービス等の見込量並びに確保方策等を定める。</w:t>
                              </w:r>
                            </w:p>
                          </w:txbxContent>
                        </wps:txbx>
                        <wps:bodyPr rot="0" vertOverflow="overflow" horzOverflow="overflow" wrap="square" lIns="0" tIns="0" rIns="0" bIns="0" anchor="ctr" anchorCtr="0" upright="1"/>
                      </wps:wsp>
                    </wpg:wgp>
                  </a:graphicData>
                </a:graphic>
              </wp:anchor>
            </w:drawing>
          </mc:Choice>
          <mc:Fallback>
            <w:pict>
              <v:group id="グループ化 194" style="mso-wrap-distance-right:9pt;mso-wrap-distance-bottom:0pt;margin-top:0.75pt;mso-position-vertical-relative:text;mso-position-horizontal-relative:text;position:absolute;height:75.150000000000006pt;mso-wrap-distance-top:0pt;width:154.15pt;mso-wrap-distance-left:9pt;margin-left:288.2pt;z-index:64;" coordsize="1958196,802257" coordorigin="0,0" o:spid="_x0000_s1244" o:allowincell="t" o:allowoverlap="t">
                <v:roundrect id="角丸四角形 195" style="height:802257;width:1958196;top:0;left:0;position:absolute;" o:spid="_x0000_s1245" filled="t" fillcolor="#808080" stroked="f" strokecolor="#42709c" strokeweight="1pt" o:spt="2" arcsize="10923f">
                  <v:fill opacity="49152f"/>
                  <v:stroke linestyle="single" miterlimit="8" endcap="flat" dashstyle="solid"/>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817" style="height:629315;width:1716200;top:86210;left:138023;v-text-anchor:middle;position:absolute;" o:spid="_x0000_s1246" filled="f" stroked="f" o:spt="202" type="#_x0000_t202">
                  <v:fill/>
                  <v:textbox style="layout-flow:horizontal;" inset="0mm,0mm,0mm,0mm">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①施策の推進方策及び障害福祉サービス等の見込量並びに確保方策等を定める。</w:t>
                        </w:r>
                      </w:p>
                    </w:txbxContent>
                  </v:textbox>
                  <v:imagedata o:title=""/>
                  <w10:wrap type="none" anchorx="text" anchory="text"/>
                </v:shape>
                <w10:wrap type="none" anchorx="text" anchory="text"/>
              </v:group>
            </w:pict>
          </mc:Fallback>
        </mc:AlternateContent>
      </w:r>
    </w:p>
    <w:p>
      <w:pPr>
        <w:pStyle w:val="0"/>
        <w:ind w:left="448" w:leftChars="200" w:firstLine="214" w:firstLineChars="100"/>
        <w:rPr>
          <w:rFonts w:hint="default"/>
          <w:sz w:val="21"/>
        </w:rPr>
      </w:pPr>
    </w:p>
    <w:p>
      <w:pPr>
        <w:pStyle w:val="0"/>
        <w:ind w:left="448" w:leftChars="200" w:firstLine="214" w:firstLineChars="100"/>
        <w:rPr>
          <w:rFonts w:hint="default"/>
          <w:sz w:val="21"/>
        </w:rPr>
      </w:pPr>
    </w:p>
    <w:p>
      <w:pPr>
        <w:pStyle w:val="0"/>
        <w:ind w:left="448" w:leftChars="200" w:firstLine="214" w:firstLineChars="100"/>
        <w:rPr>
          <w:rFonts w:hint="default"/>
          <w:sz w:val="21"/>
        </w:rPr>
      </w:pPr>
      <w:r>
        <w:rPr>
          <w:rFonts w:hint="default"/>
          <w:sz w:val="21"/>
        </w:rPr>
        <w:drawing>
          <wp:anchor distT="0" distB="0" distL="114300" distR="114300" simplePos="0" relativeHeight="67" behindDoc="1" locked="0" layoutInCell="1" hidden="0" allowOverlap="1">
            <wp:simplePos x="0" y="0"/>
            <wp:positionH relativeFrom="column">
              <wp:posOffset>1565275</wp:posOffset>
            </wp:positionH>
            <wp:positionV relativeFrom="paragraph">
              <wp:posOffset>-476250</wp:posOffset>
            </wp:positionV>
            <wp:extent cx="3038475" cy="2906395"/>
            <wp:effectExtent l="0" t="0" r="0" b="0"/>
            <wp:wrapNone/>
            <wp:docPr id="1247" name="PDCAの図(白黒).gif"/>
            <a:graphic xmlns:a="http://schemas.openxmlformats.org/drawingml/2006/main">
              <a:graphicData uri="http://schemas.openxmlformats.org/drawingml/2006/picture">
                <pic:pic xmlns:pic="http://schemas.openxmlformats.org/drawingml/2006/picture">
                  <pic:nvPicPr>
                    <pic:cNvPr id="1247" name="PDCAの図(白黒).gif"/>
                    <pic:cNvPicPr/>
                  </pic:nvPicPr>
                  <pic:blipFill>
                    <a:blip r:embed="rId16"/>
                    <a:stretch>
                      <a:fillRect/>
                    </a:stretch>
                  </pic:blipFill>
                  <pic:spPr>
                    <a:xfrm>
                      <a:off x="0" y="0"/>
                      <a:ext cx="3038475" cy="2906395"/>
                    </a:xfrm>
                    <a:prstGeom prst="rect">
                      <a:avLst/>
                    </a:prstGeom>
                  </pic:spPr>
                </pic:pic>
              </a:graphicData>
            </a:graphic>
          </wp:anchor>
        </w:drawing>
      </w:r>
    </w:p>
    <w:p>
      <w:pPr>
        <w:pStyle w:val="0"/>
        <w:ind w:left="448" w:leftChars="200" w:firstLine="214" w:firstLineChars="100"/>
        <w:rPr>
          <w:rFonts w:hint="default"/>
          <w:sz w:val="21"/>
        </w:rPr>
      </w:pPr>
      <w:r>
        <w:rPr>
          <w:rFonts w:hint="default"/>
          <w:sz w:val="21"/>
        </w:rPr>
        <mc:AlternateContent>
          <mc:Choice Requires="wps">
            <w:drawing>
              <wp:anchor distT="0" distB="0" distL="114300" distR="114300" simplePos="0" relativeHeight="68" behindDoc="0" locked="0" layoutInCell="1" hidden="0" allowOverlap="1">
                <wp:simplePos x="0" y="0"/>
                <wp:positionH relativeFrom="column">
                  <wp:posOffset>3098800</wp:posOffset>
                </wp:positionH>
                <wp:positionV relativeFrom="paragraph">
                  <wp:posOffset>85725</wp:posOffset>
                </wp:positionV>
                <wp:extent cx="784225" cy="629285"/>
                <wp:effectExtent l="0" t="0" r="635" b="635"/>
                <wp:wrapNone/>
                <wp:docPr id="1248" name="テキスト ボックス 197"/>
                <a:graphic xmlns:a="http://schemas.openxmlformats.org/drawingml/2006/main">
                  <a:graphicData uri="http://schemas.microsoft.com/office/word/2010/wordprocessingShape">
                    <wps:wsp>
                      <wps:cNvPr id="1248" name="テキスト ボックス 197"/>
                      <wps:cNvSpPr txBox="1"/>
                      <wps:spPr>
                        <a:xfrm>
                          <a:off x="0" y="0"/>
                          <a:ext cx="78422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b w:val="1"/>
                                <w:color w:val="000000" w:themeColor="text1"/>
                                <w:sz w:val="36"/>
                              </w:rPr>
                            </w:pPr>
                            <w:r>
                              <w:rPr>
                                <w:rFonts w:hint="default"/>
                                <w:b w:val="1"/>
                                <w:color w:val="000000" w:themeColor="text1"/>
                                <w:sz w:val="36"/>
                              </w:rPr>
                              <w:t>Plan</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計画</w:t>
                            </w:r>
                            <w:r>
                              <w:rPr>
                                <w:rFonts w:hint="eastAsia" w:ascii="ＭＳ ゴシック" w:hAnsi="ＭＳ ゴシック" w:eastAsia="ＭＳ ゴシック"/>
                                <w:color w:val="000000" w:themeColor="text1"/>
                                <w:sz w:val="28"/>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7" style="mso-wrap-distance-right:9pt;mso-wrap-distance-bottom:0pt;margin-top:6.75pt;mso-position-vertical-relative:text;mso-position-horizontal-relative:text;v-text-anchor:top;position:absolute;height:49.55pt;mso-wrap-distance-top:0pt;width:61.75pt;mso-wrap-distance-left:9pt;margin-left:244pt;z-index:68;" o:spid="_x0000_s1248" o:allowincell="t" o:allowoverlap="t" filled="f" stroked="f" strokeweight="0.5pt" o:spt="202" type="#_x0000_t202">
                <v:fill/>
                <v:textbox style="layout-flow:horizontal;" inset="0mm,0mm,0mm,0mm">
                  <w:txbxContent>
                    <w:p>
                      <w:pPr>
                        <w:pStyle w:val="0"/>
                        <w:spacing w:line="0" w:lineRule="atLeast"/>
                        <w:jc w:val="center"/>
                        <w:rPr>
                          <w:rFonts w:hint="default"/>
                          <w:b w:val="1"/>
                          <w:color w:val="000000" w:themeColor="text1"/>
                          <w:sz w:val="36"/>
                        </w:rPr>
                      </w:pPr>
                      <w:r>
                        <w:rPr>
                          <w:rFonts w:hint="default"/>
                          <w:b w:val="1"/>
                          <w:color w:val="000000" w:themeColor="text1"/>
                          <w:sz w:val="36"/>
                        </w:rPr>
                        <w:t>Plan</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計画</w:t>
                      </w:r>
                      <w:r>
                        <w:rPr>
                          <w:rFonts w:hint="eastAsia" w:ascii="ＭＳ ゴシック" w:hAnsi="ＭＳ ゴシック" w:eastAsia="ＭＳ ゴシック"/>
                          <w:color w:val="000000" w:themeColor="text1"/>
                          <w:sz w:val="28"/>
                        </w:rPr>
                        <w:t>)</w:t>
                      </w:r>
                    </w:p>
                  </w:txbxContent>
                </v:textbox>
                <v:imagedata o:title=""/>
                <w10:wrap type="none" anchorx="text" anchory="text"/>
              </v:shape>
            </w:pict>
          </mc:Fallback>
        </mc:AlternateContent>
      </w:r>
      <w:r>
        <w:rPr>
          <w:rFonts w:hint="default"/>
          <w:sz w:val="21"/>
        </w:rPr>
        <mc:AlternateContent>
          <mc:Choice Requires="wps">
            <w:drawing>
              <wp:anchor distT="0" distB="0" distL="114300" distR="114300" simplePos="0" relativeHeight="69" behindDoc="0" locked="0" layoutInCell="1" hidden="0" allowOverlap="1">
                <wp:simplePos x="0" y="0"/>
                <wp:positionH relativeFrom="column">
                  <wp:posOffset>2212975</wp:posOffset>
                </wp:positionH>
                <wp:positionV relativeFrom="paragraph">
                  <wp:posOffset>95250</wp:posOffset>
                </wp:positionV>
                <wp:extent cx="784225" cy="629285"/>
                <wp:effectExtent l="0" t="0" r="635" b="635"/>
                <wp:wrapNone/>
                <wp:docPr id="1249" name="テキスト ボックス 198"/>
                <a:graphic xmlns:a="http://schemas.openxmlformats.org/drawingml/2006/main">
                  <a:graphicData uri="http://schemas.microsoft.com/office/word/2010/wordprocessingShape">
                    <wps:wsp>
                      <wps:cNvPr id="1249" name="テキスト ボックス 198"/>
                      <wps:cNvSpPr txBox="1"/>
                      <wps:spPr>
                        <a:xfrm>
                          <a:off x="0" y="0"/>
                          <a:ext cx="78422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b w:val="1"/>
                                <w:color w:val="000000" w:themeColor="text1"/>
                                <w:sz w:val="36"/>
                              </w:rPr>
                            </w:pPr>
                            <w:r>
                              <w:rPr>
                                <w:rFonts w:hint="default"/>
                                <w:b w:val="1"/>
                                <w:color w:val="000000" w:themeColor="text1"/>
                                <w:sz w:val="36"/>
                              </w:rPr>
                              <w:t>Act</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改善</w:t>
                            </w:r>
                            <w:r>
                              <w:rPr>
                                <w:rFonts w:hint="eastAsia" w:ascii="ＭＳ ゴシック" w:hAnsi="ＭＳ ゴシック" w:eastAsia="ＭＳ ゴシック"/>
                                <w:color w:val="000000" w:themeColor="text1"/>
                                <w:sz w:val="28"/>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8" style="mso-wrap-distance-right:9pt;mso-wrap-distance-bottom:0pt;margin-top:7.5pt;mso-position-vertical-relative:text;mso-position-horizontal-relative:text;v-text-anchor:top;position:absolute;height:49.55pt;mso-wrap-distance-top:0pt;width:61.75pt;mso-wrap-distance-left:9pt;margin-left:174.25pt;z-index:69;" o:spid="_x0000_s1249" o:allowincell="t" o:allowoverlap="t" filled="f" stroked="f" strokeweight="0.5pt" o:spt="202" type="#_x0000_t202">
                <v:fill/>
                <v:textbox style="layout-flow:horizontal;" inset="0mm,0mm,0mm,0mm">
                  <w:txbxContent>
                    <w:p>
                      <w:pPr>
                        <w:pStyle w:val="0"/>
                        <w:spacing w:line="0" w:lineRule="atLeast"/>
                        <w:jc w:val="center"/>
                        <w:rPr>
                          <w:rFonts w:hint="default"/>
                          <w:b w:val="1"/>
                          <w:color w:val="000000" w:themeColor="text1"/>
                          <w:sz w:val="36"/>
                        </w:rPr>
                      </w:pPr>
                      <w:r>
                        <w:rPr>
                          <w:rFonts w:hint="default"/>
                          <w:b w:val="1"/>
                          <w:color w:val="000000" w:themeColor="text1"/>
                          <w:sz w:val="36"/>
                        </w:rPr>
                        <w:t>Act</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改善</w:t>
                      </w:r>
                      <w:r>
                        <w:rPr>
                          <w:rFonts w:hint="eastAsia" w:ascii="ＭＳ ゴシック" w:hAnsi="ＭＳ ゴシック" w:eastAsia="ＭＳ ゴシック"/>
                          <w:color w:val="000000" w:themeColor="text1"/>
                          <w:sz w:val="28"/>
                        </w:rPr>
                        <w:t>)</w:t>
                      </w:r>
                    </w:p>
                  </w:txbxContent>
                </v:textbox>
                <v:imagedata o:title=""/>
                <w10:wrap type="none" anchorx="text" anchory="text"/>
              </v:shape>
            </w:pict>
          </mc:Fallback>
        </mc:AlternateContent>
      </w:r>
    </w:p>
    <w:p>
      <w:pPr>
        <w:pStyle w:val="0"/>
        <w:ind w:left="448" w:leftChars="200" w:firstLine="214" w:firstLineChars="100"/>
        <w:rPr>
          <w:rFonts w:hint="default"/>
          <w:sz w:val="21"/>
        </w:rPr>
      </w:pPr>
      <w:r>
        <w:rPr>
          <w:rFonts w:hint="default"/>
          <w:sz w:val="21"/>
        </w:rPr>
        <mc:AlternateContent>
          <mc:Choice Requires="wps">
            <w:drawing>
              <wp:anchor distT="0" distB="0" distL="114300" distR="114300" simplePos="0" relativeHeight="70" behindDoc="0" locked="0" layoutInCell="1" hidden="0" allowOverlap="1">
                <wp:simplePos x="0" y="0"/>
                <wp:positionH relativeFrom="column">
                  <wp:posOffset>3955415</wp:posOffset>
                </wp:positionH>
                <wp:positionV relativeFrom="paragraph">
                  <wp:posOffset>95250</wp:posOffset>
                </wp:positionV>
                <wp:extent cx="292100" cy="853440"/>
                <wp:effectExtent l="635" t="635" r="30480" b="0"/>
                <wp:wrapNone/>
                <wp:docPr id="1250" name="左カーブ矢印 199"/>
                <a:graphic xmlns:a="http://schemas.openxmlformats.org/drawingml/2006/main">
                  <a:graphicData uri="http://schemas.microsoft.com/office/word/2010/wordprocessingShape">
                    <wps:wsp>
                      <wps:cNvPr id="1250" name="左カーブ矢印 199"/>
                      <wps:cNvSpPr/>
                      <wps:spPr>
                        <a:xfrm>
                          <a:off x="0" y="0"/>
                          <a:ext cx="292100" cy="853440"/>
                        </a:xfrm>
                        <a:prstGeom prst="curvedLeftArrow">
                          <a:avLst>
                            <a:gd name="adj1" fmla="val 50000"/>
                            <a:gd name="adj2" fmla="val 112379"/>
                            <a:gd name="adj3" fmla="val 25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199" style="mso-wrap-distance-right:9pt;mso-wrap-distance-bottom:0pt;margin-top:7.5pt;mso-position-vertical-relative:text;mso-position-horizontal-relative:text;position:absolute;height:67.2pt;mso-wrap-distance-top:0pt;width:23pt;mso-wrap-distance-left:9pt;margin-left:311.45pt;z-index:70;" o:spid="_x0000_s1250" o:allowincell="t" o:allowoverlap="t" filled="t" fillcolor="#808080 [1612]" stroked="f" strokecolor="#42709c" strokeweight="1pt" o:spt="103" type="#_x0000_t103" adj="11182,21600,0">
                <v:fill/>
                <v:stroke linestyle="single" miterlimit="8" endcap="flat" dashstyle="solid"/>
                <v:textbox style="layout-flow:horizontal;"/>
                <v:imagedata o:title=""/>
                <w10:wrap type="none" anchorx="text" anchory="text"/>
              </v:shape>
            </w:pict>
          </mc:Fallback>
        </mc:AlternateContent>
      </w:r>
      <w:r>
        <w:rPr>
          <w:rFonts w:hint="default"/>
          <w:sz w:val="21"/>
        </w:rPr>
        <mc:AlternateContent>
          <mc:Choice Requires="wps">
            <w:drawing>
              <wp:anchor distT="0" distB="0" distL="114300" distR="114300" simplePos="0" relativeHeight="71" behindDoc="0" locked="0" layoutInCell="1" hidden="0" allowOverlap="1">
                <wp:simplePos x="0" y="0"/>
                <wp:positionH relativeFrom="column">
                  <wp:posOffset>1822450</wp:posOffset>
                </wp:positionH>
                <wp:positionV relativeFrom="paragraph">
                  <wp:posOffset>95250</wp:posOffset>
                </wp:positionV>
                <wp:extent cx="292100" cy="853440"/>
                <wp:effectExtent l="29845" t="0" r="635" b="635"/>
                <wp:wrapNone/>
                <wp:docPr id="1251" name="左カーブ矢印 201"/>
                <a:graphic xmlns:a="http://schemas.openxmlformats.org/drawingml/2006/main">
                  <a:graphicData uri="http://schemas.microsoft.com/office/word/2010/wordprocessingShape">
                    <wps:wsp>
                      <wps:cNvPr id="1251" name="左カーブ矢印 201"/>
                      <wps:cNvSpPr/>
                      <wps:spPr>
                        <a:xfrm flipH="1" flipV="1">
                          <a:off x="0" y="0"/>
                          <a:ext cx="292100" cy="853440"/>
                        </a:xfrm>
                        <a:prstGeom prst="curvedLeftArrow">
                          <a:avLst>
                            <a:gd name="adj1" fmla="val 50000"/>
                            <a:gd name="adj2" fmla="val 112379"/>
                            <a:gd name="adj3" fmla="val 25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201" style="flip:x y;mso-wrap-distance-right:9pt;mso-wrap-distance-bottom:0pt;margin-top:7.5pt;mso-position-vertical-relative:text;mso-position-horizontal-relative:text;position:absolute;height:67.2pt;mso-wrap-distance-top:0pt;width:23pt;mso-wrap-distance-left:9pt;margin-left:143.5pt;z-index:71;" o:spid="_x0000_s1251" o:allowincell="t" o:allowoverlap="t" filled="t" fillcolor="#808080 [1612]" stroked="f" strokecolor="#42709c" strokeweight="1pt" o:spt="103" type="#_x0000_t103" adj="11182,21600,0">
                <v:fill/>
                <v:stroke linestyle="single" miterlimit="8" endcap="flat" dashstyle="solid"/>
                <v:textbox style="layout-flow:horizontal;"/>
                <v:imagedata o:title=""/>
                <w10:wrap type="none" anchorx="text" anchory="text"/>
              </v:shape>
            </w:pict>
          </mc:Fallback>
        </mc:AlternateContent>
      </w:r>
      <w:r>
        <w:rPr>
          <w:rFonts w:hint="default"/>
          <w:sz w:val="21"/>
        </w:rPr>
        <mc:AlternateContent>
          <mc:Choice Requires="wpg">
            <w:drawing>
              <wp:anchor distT="0" distB="0" distL="114300" distR="114300" simplePos="0" relativeHeight="72" behindDoc="0" locked="0" layoutInCell="1" hidden="0" allowOverlap="1">
                <wp:simplePos x="0" y="0"/>
                <wp:positionH relativeFrom="column">
                  <wp:posOffset>1993900</wp:posOffset>
                </wp:positionH>
                <wp:positionV relativeFrom="paragraph">
                  <wp:posOffset>19050</wp:posOffset>
                </wp:positionV>
                <wp:extent cx="2137410" cy="895985"/>
                <wp:effectExtent l="0" t="30480" r="0" b="30480"/>
                <wp:wrapNone/>
                <wp:docPr id="1252" name="グループ化 203"/>
                <a:graphic xmlns:a="http://schemas.openxmlformats.org/drawingml/2006/main">
                  <a:graphicData uri="http://schemas.microsoft.com/office/word/2010/wordprocessingGroup">
                    <wpg:wgp>
                      <wpg:cNvGrpSpPr/>
                      <wpg:grpSpPr>
                        <a:xfrm rot="16200000">
                          <a:off x="0" y="0"/>
                          <a:ext cx="2137410" cy="895985"/>
                          <a:chOff x="242015" y="-77637"/>
                          <a:chExt cx="2138301" cy="897143"/>
                        </a:xfrm>
                      </wpg:grpSpPr>
                      <wps:wsp>
                        <wps:cNvPr id="1253" name="左カーブ矢印 205"/>
                        <wps:cNvSpPr/>
                        <wps:spPr>
                          <a:xfrm>
                            <a:off x="2087581" y="-34509"/>
                            <a:ext cx="292735" cy="854015"/>
                          </a:xfrm>
                          <a:prstGeom prst="curvedLeftArrow">
                            <a:avLst>
                              <a:gd name="adj1" fmla="val 50000"/>
                              <a:gd name="adj2" fmla="val 112379"/>
                              <a:gd name="adj3" fmla="val 25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54" name="左カーブ矢印 206"/>
                        <wps:cNvSpPr/>
                        <wps:spPr>
                          <a:xfrm flipH="1" flipV="1">
                            <a:off x="242015" y="-77637"/>
                            <a:ext cx="292735" cy="854015"/>
                          </a:xfrm>
                          <a:prstGeom prst="curvedLeftArrow">
                            <a:avLst>
                              <a:gd name="adj1" fmla="val 50000"/>
                              <a:gd name="adj2" fmla="val 112379"/>
                              <a:gd name="adj3" fmla="val 25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203" style="mso-wrap-distance-right:9pt;mso-wrap-distance-bottom:0pt;margin-top:1.5pt;mso-position-vertical-relative:text;mso-position-horizontal-relative:text;position:absolute;height:70.55pt;mso-wrap-distance-top:0pt;width:168.3pt;mso-wrap-distance-left:9pt;margin-left:157pt;z-index:72;rotation:270;" coordsize="2138301,897143" coordorigin="242015,-77637" o:spid="_x0000_s1252" o:allowincell="t" o:allowoverla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205" style="height:854015;width:292735;top:-34509;left:2087581;position:absolute;" o:spid="_x0000_s1253" filled="t" fillcolor="#808080 [1612]" stroked="f" strokecolor="#42709c" strokeweight="1pt" o:spt="103" type="#_x0000_t103" adj="11182,21600,0">
                  <v:fill/>
                  <v:stroke linestyle="single" miterlimit="8" endcap="flat" dashstyle="solid"/>
                  <v:textbox style="layout-flow:horizontal;"/>
                  <v:imagedata o:title=""/>
                  <w10:wrap type="none" anchorx="text" anchory="text"/>
                </v:shape>
                <v:shape id="左カーブ矢印 206" style="height:854015;width:292735;flip:x y;top:-77637;left:242015;position:absolute;" o:spid="_x0000_s1254" filled="t" fillcolor="#808080 [1612]" stroked="f" strokecolor="#42709c" strokeweight="1pt" o:spt="103" type="#_x0000_t103" adj="11182,21600,0">
                  <v:fill/>
                  <v:stroke linestyle="single" miterlimit="8" endcap="flat" dashstyle="solid"/>
                  <v:textbox style="layout-flow:horizontal;"/>
                  <v:imagedata o:title=""/>
                  <w10:wrap type="none" anchorx="text" anchory="text"/>
                </v:shape>
                <w10:wrap type="none" anchorx="text" anchory="text"/>
              </v:group>
            </w:pict>
          </mc:Fallback>
        </mc:AlternateContent>
      </w:r>
    </w:p>
    <w:p>
      <w:pPr>
        <w:pStyle w:val="0"/>
        <w:ind w:left="448" w:leftChars="200" w:firstLine="214" w:firstLineChars="100"/>
        <w:rPr>
          <w:rFonts w:hint="default"/>
          <w:sz w:val="21"/>
        </w:rPr>
      </w:pPr>
    </w:p>
    <w:p>
      <w:pPr>
        <w:pStyle w:val="0"/>
        <w:ind w:left="448" w:leftChars="200" w:firstLine="214" w:firstLineChars="100"/>
        <w:rPr>
          <w:rFonts w:hint="default"/>
          <w:sz w:val="21"/>
        </w:rPr>
      </w:pPr>
      <w:r>
        <w:rPr>
          <w:rFonts w:hint="default"/>
          <w:sz w:val="21"/>
        </w:rPr>
        <mc:AlternateContent>
          <mc:Choice Requires="wps">
            <w:drawing>
              <wp:anchor distT="0" distB="0" distL="114300" distR="114300" simplePos="0" relativeHeight="75" behindDoc="0" locked="0" layoutInCell="1" hidden="0" allowOverlap="1">
                <wp:simplePos x="0" y="0"/>
                <wp:positionH relativeFrom="column">
                  <wp:posOffset>3089275</wp:posOffset>
                </wp:positionH>
                <wp:positionV relativeFrom="paragraph">
                  <wp:posOffset>95250</wp:posOffset>
                </wp:positionV>
                <wp:extent cx="784225" cy="629285"/>
                <wp:effectExtent l="0" t="0" r="635" b="635"/>
                <wp:wrapNone/>
                <wp:docPr id="1255" name="テキスト ボックス 207"/>
                <a:graphic xmlns:a="http://schemas.openxmlformats.org/drawingml/2006/main">
                  <a:graphicData uri="http://schemas.microsoft.com/office/word/2010/wordprocessingShape">
                    <wps:wsp>
                      <wps:cNvPr id="1255" name="テキスト ボックス 207"/>
                      <wps:cNvSpPr txBox="1"/>
                      <wps:spPr>
                        <a:xfrm>
                          <a:off x="0" y="0"/>
                          <a:ext cx="78422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b w:val="1"/>
                                <w:color w:val="000000" w:themeColor="text1"/>
                                <w:sz w:val="36"/>
                              </w:rPr>
                            </w:pPr>
                            <w:r>
                              <w:rPr>
                                <w:rFonts w:hint="default"/>
                                <w:b w:val="1"/>
                                <w:color w:val="000000" w:themeColor="text1"/>
                                <w:sz w:val="36"/>
                              </w:rPr>
                              <w:t>Do</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実行</w:t>
                            </w:r>
                            <w:r>
                              <w:rPr>
                                <w:rFonts w:hint="eastAsia" w:ascii="ＭＳ ゴシック" w:hAnsi="ＭＳ ゴシック" w:eastAsia="ＭＳ ゴシック"/>
                                <w:color w:val="000000" w:themeColor="text1"/>
                                <w:sz w:val="28"/>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7" style="mso-wrap-distance-right:9pt;mso-wrap-distance-bottom:0pt;margin-top:7.5pt;mso-position-vertical-relative:text;mso-position-horizontal-relative:text;v-text-anchor:top;position:absolute;height:49.55pt;mso-wrap-distance-top:0pt;width:61.75pt;mso-wrap-distance-left:9pt;margin-left:243.25pt;z-index:75;" o:spid="_x0000_s1255" o:allowincell="t" o:allowoverlap="t" filled="f" stroked="f" strokeweight="0.5pt" o:spt="202" type="#_x0000_t202">
                <v:fill/>
                <v:textbox style="layout-flow:horizontal;" inset="0mm,0mm,0mm,0mm">
                  <w:txbxContent>
                    <w:p>
                      <w:pPr>
                        <w:pStyle w:val="0"/>
                        <w:spacing w:line="0" w:lineRule="atLeast"/>
                        <w:jc w:val="center"/>
                        <w:rPr>
                          <w:rFonts w:hint="default"/>
                          <w:b w:val="1"/>
                          <w:color w:val="000000" w:themeColor="text1"/>
                          <w:sz w:val="36"/>
                        </w:rPr>
                      </w:pPr>
                      <w:r>
                        <w:rPr>
                          <w:rFonts w:hint="default"/>
                          <w:b w:val="1"/>
                          <w:color w:val="000000" w:themeColor="text1"/>
                          <w:sz w:val="36"/>
                        </w:rPr>
                        <w:t>Do</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実行</w:t>
                      </w:r>
                      <w:r>
                        <w:rPr>
                          <w:rFonts w:hint="eastAsia" w:ascii="ＭＳ ゴシック" w:hAnsi="ＭＳ ゴシック" w:eastAsia="ＭＳ ゴシック"/>
                          <w:color w:val="000000" w:themeColor="text1"/>
                          <w:sz w:val="28"/>
                        </w:rPr>
                        <w:t>)</w:t>
                      </w:r>
                    </w:p>
                  </w:txbxContent>
                </v:textbox>
                <v:imagedata o:title=""/>
                <w10:wrap type="none" anchorx="text" anchory="text"/>
              </v:shape>
            </w:pict>
          </mc:Fallback>
        </mc:AlternateContent>
      </w:r>
      <w:r>
        <w:rPr>
          <w:rFonts w:hint="default"/>
          <w:sz w:val="21"/>
        </w:rPr>
        <mc:AlternateContent>
          <mc:Choice Requires="wps">
            <w:drawing>
              <wp:anchor distT="0" distB="0" distL="114300" distR="114300" simplePos="0" relativeHeight="76" behindDoc="0" locked="0" layoutInCell="1" hidden="0" allowOverlap="1">
                <wp:simplePos x="0" y="0"/>
                <wp:positionH relativeFrom="column">
                  <wp:posOffset>2212975</wp:posOffset>
                </wp:positionH>
                <wp:positionV relativeFrom="paragraph">
                  <wp:posOffset>114300</wp:posOffset>
                </wp:positionV>
                <wp:extent cx="784225" cy="629285"/>
                <wp:effectExtent l="0" t="0" r="635" b="635"/>
                <wp:wrapNone/>
                <wp:docPr id="1256" name="テキスト ボックス 32"/>
                <a:graphic xmlns:a="http://schemas.openxmlformats.org/drawingml/2006/main">
                  <a:graphicData uri="http://schemas.microsoft.com/office/word/2010/wordprocessingShape">
                    <wps:wsp>
                      <wps:cNvPr id="1256" name="テキスト ボックス 32"/>
                      <wps:cNvSpPr txBox="1"/>
                      <wps:spPr>
                        <a:xfrm>
                          <a:off x="0" y="0"/>
                          <a:ext cx="78422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b w:val="1"/>
                                <w:color w:val="000000" w:themeColor="text1"/>
                                <w:sz w:val="36"/>
                              </w:rPr>
                            </w:pPr>
                            <w:r>
                              <w:rPr>
                                <w:rFonts w:hint="default"/>
                                <w:b w:val="1"/>
                                <w:color w:val="000000" w:themeColor="text1"/>
                                <w:sz w:val="36"/>
                              </w:rPr>
                              <w:t>Check</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評価</w:t>
                            </w:r>
                            <w:r>
                              <w:rPr>
                                <w:rFonts w:hint="eastAsia" w:ascii="ＭＳ ゴシック" w:hAnsi="ＭＳ ゴシック" w:eastAsia="ＭＳ ゴシック"/>
                                <w:color w:val="000000" w:themeColor="text1"/>
                                <w:sz w:val="28"/>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2" style="mso-wrap-distance-right:9pt;mso-wrap-distance-bottom:0pt;margin-top:9pt;mso-position-vertical-relative:text;mso-position-horizontal-relative:text;v-text-anchor:top;position:absolute;height:49.55pt;mso-wrap-distance-top:0pt;width:61.75pt;mso-wrap-distance-left:9pt;margin-left:174.25pt;z-index:76;" o:spid="_x0000_s1256" o:allowincell="t" o:allowoverlap="t" filled="f" stroked="f" strokeweight="0.5pt" o:spt="202" type="#_x0000_t202">
                <v:fill/>
                <v:textbox style="layout-flow:horizontal;" inset="0mm,0mm,0mm,0mm">
                  <w:txbxContent>
                    <w:p>
                      <w:pPr>
                        <w:pStyle w:val="0"/>
                        <w:spacing w:line="0" w:lineRule="atLeast"/>
                        <w:jc w:val="center"/>
                        <w:rPr>
                          <w:rFonts w:hint="default"/>
                          <w:b w:val="1"/>
                          <w:color w:val="000000" w:themeColor="text1"/>
                          <w:sz w:val="36"/>
                        </w:rPr>
                      </w:pPr>
                      <w:r>
                        <w:rPr>
                          <w:rFonts w:hint="default"/>
                          <w:b w:val="1"/>
                          <w:color w:val="000000" w:themeColor="text1"/>
                          <w:sz w:val="36"/>
                        </w:rPr>
                        <w:t>Check</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評価</w:t>
                      </w:r>
                      <w:r>
                        <w:rPr>
                          <w:rFonts w:hint="eastAsia" w:ascii="ＭＳ ゴシック" w:hAnsi="ＭＳ ゴシック" w:eastAsia="ＭＳ ゴシック"/>
                          <w:color w:val="000000" w:themeColor="text1"/>
                          <w:sz w:val="28"/>
                        </w:rPr>
                        <w:t>)</w:t>
                      </w:r>
                    </w:p>
                  </w:txbxContent>
                </v:textbox>
                <v:imagedata o:title=""/>
                <w10:wrap type="none" anchorx="text" anchory="text"/>
              </v:shape>
            </w:pict>
          </mc:Fallback>
        </mc:AlternateContent>
      </w:r>
    </w:p>
    <w:p>
      <w:pPr>
        <w:pStyle w:val="0"/>
        <w:ind w:left="448" w:leftChars="200" w:firstLine="214" w:firstLineChars="100"/>
        <w:rPr>
          <w:rFonts w:hint="default"/>
          <w:sz w:val="21"/>
        </w:rPr>
      </w:pPr>
    </w:p>
    <w:p>
      <w:pPr>
        <w:pStyle w:val="0"/>
        <w:ind w:left="448" w:leftChars="200" w:firstLine="214" w:firstLineChars="100"/>
        <w:rPr>
          <w:rFonts w:hint="default"/>
          <w:sz w:val="21"/>
        </w:rPr>
      </w:pPr>
    </w:p>
    <w:p>
      <w:pPr>
        <w:pStyle w:val="0"/>
        <w:ind w:left="448" w:leftChars="200" w:firstLine="214" w:firstLineChars="100"/>
        <w:rPr>
          <w:rFonts w:hint="default"/>
          <w:sz w:val="21"/>
        </w:rPr>
      </w:pPr>
      <w:r>
        <w:rPr>
          <w:rFonts w:hint="default"/>
          <w:sz w:val="21"/>
        </w:rPr>
        <mc:AlternateContent>
          <mc:Choice Requires="wpg">
            <w:drawing>
              <wp:anchor distT="0" distB="0" distL="114300" distR="114300" simplePos="0" relativeHeight="77" behindDoc="0" locked="0" layoutInCell="1" hidden="0" allowOverlap="1">
                <wp:simplePos x="0" y="0"/>
                <wp:positionH relativeFrom="column">
                  <wp:posOffset>495935</wp:posOffset>
                </wp:positionH>
                <wp:positionV relativeFrom="paragraph">
                  <wp:posOffset>9525</wp:posOffset>
                </wp:positionV>
                <wp:extent cx="1957705" cy="1095375"/>
                <wp:effectExtent l="635" t="635" r="635" b="635"/>
                <wp:wrapNone/>
                <wp:docPr id="1257" name="グループ化 208"/>
                <a:graphic xmlns:a="http://schemas.openxmlformats.org/drawingml/2006/main">
                  <a:graphicData uri="http://schemas.microsoft.com/office/word/2010/wordprocessingGroup">
                    <wpg:wgp>
                      <wpg:cNvGrpSpPr/>
                      <wpg:grpSpPr>
                        <a:xfrm>
                          <a:off x="0" y="0"/>
                          <a:ext cx="1957705" cy="1095375"/>
                          <a:chOff x="0" y="0"/>
                          <a:chExt cx="1958196" cy="802257"/>
                        </a:xfrm>
                      </wpg:grpSpPr>
                      <wps:wsp>
                        <wps:cNvPr id="1258" name="角丸四角形 209"/>
                        <wps:cNvSpPr/>
                        <wps:spPr>
                          <a:xfrm>
                            <a:off x="0" y="0"/>
                            <a:ext cx="1958196" cy="802257"/>
                          </a:xfrm>
                          <a:prstGeom prst="roundRect">
                            <a:avLst/>
                          </a:prstGeom>
                          <a:solidFill>
                            <a:schemeClr val="bg1">
                              <a:lumMod val="75000"/>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59" name="テキスト ボックス 812"/>
                        <wps:cNvSpPr txBox="1">
                          <a:spLocks noChangeArrowheads="1"/>
                        </wps:cNvSpPr>
                        <wps:spPr>
                          <a:xfrm>
                            <a:off x="120770" y="94890"/>
                            <a:ext cx="1690159" cy="619947"/>
                          </a:xfrm>
                          <a:prstGeom prst="rect">
                            <a:avLst/>
                          </a:prstGeom>
                          <a:noFill/>
                          <a:ln>
                            <a:noFill/>
                          </a:ln>
                        </wps:spPr>
                        <wps:txbx>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③少なくとも１年に１回計画を点検・評価し、点検・評価について南風原町障がい者自立支援協議会等の意見を聴く。</w:t>
                              </w:r>
                            </w:p>
                          </w:txbxContent>
                        </wps:txbx>
                        <wps:bodyPr rot="0" vertOverflow="overflow" horzOverflow="overflow" wrap="square" lIns="0" tIns="0" rIns="0" bIns="0" anchor="ctr" anchorCtr="0" upright="1"/>
                      </wps:wsp>
                    </wpg:wgp>
                  </a:graphicData>
                </a:graphic>
              </wp:anchor>
            </w:drawing>
          </mc:Choice>
          <mc:Fallback>
            <w:pict>
              <v:group id="グループ化 208" style="mso-wrap-distance-right:9pt;mso-wrap-distance-bottom:0pt;margin-top:0.75pt;mso-position-vertical-relative:text;mso-position-horizontal-relative:text;position:absolute;height:86.25pt;mso-wrap-distance-top:0pt;width:154.15pt;mso-wrap-distance-left:9pt;margin-left:39.04pt;z-index:77;" coordsize="1958196,802257" coordorigin="0,0" o:spid="_x0000_s1257" o:allowincell="t" o:allowoverlap="t">
                <v:roundrect id="角丸四角形 209" style="height:802257;width:1958196;top:0;left:0;position:absolute;" o:spid="_x0000_s1258" filled="t" fillcolor="#bfbfbf" stroked="f" strokecolor="#42709c" strokeweight="1pt" o:spt="2" arcsize="10923f">
                  <v:fill opacity="49152f"/>
                  <v:stroke linestyle="single" miterlimit="8" endcap="flat" dashstyle="solid"/>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812" style="height:619947;width:1690159;top:94890;left:120770;v-text-anchor:middle;position:absolute;" o:spid="_x0000_s1259" filled="f" stroked="f" o:spt="202" type="#_x0000_t202">
                  <v:fill/>
                  <v:textbox style="layout-flow:horizontal;" inset="0mm,0mm,0mm,0mm">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③少なくとも１年に１回計画を点検・評価し、点検・評価について南風原町障がい者自立支援協議会等の意見を聴く。</w:t>
                        </w:r>
                      </w:p>
                    </w:txbxContent>
                  </v:textbox>
                  <v:imagedata o:title=""/>
                  <w10:wrap type="none" anchorx="text" anchory="text"/>
                </v:shape>
                <w10:wrap type="none" anchorx="text" anchory="text"/>
              </v:group>
            </w:pict>
          </mc:Fallback>
        </mc:AlternateContent>
      </w:r>
      <w:r>
        <w:rPr>
          <w:rFonts w:hint="default"/>
          <w:sz w:val="21"/>
        </w:rPr>
        <mc:AlternateContent>
          <mc:Choice Requires="wpg">
            <w:drawing>
              <wp:anchor distT="0" distB="0" distL="114300" distR="114300" simplePos="0" relativeHeight="80" behindDoc="0" locked="0" layoutInCell="1" hidden="0" allowOverlap="1">
                <wp:simplePos x="0" y="0"/>
                <wp:positionH relativeFrom="column">
                  <wp:posOffset>3660140</wp:posOffset>
                </wp:positionH>
                <wp:positionV relativeFrom="paragraph">
                  <wp:posOffset>10160</wp:posOffset>
                </wp:positionV>
                <wp:extent cx="1957070" cy="954405"/>
                <wp:effectExtent l="635" t="635" r="635" b="635"/>
                <wp:wrapNone/>
                <wp:docPr id="1260" name="グループ化 211"/>
                <a:graphic xmlns:a="http://schemas.openxmlformats.org/drawingml/2006/main">
                  <a:graphicData uri="http://schemas.microsoft.com/office/word/2010/wordprocessingGroup">
                    <wpg:wgp>
                      <wpg:cNvGrpSpPr/>
                      <wpg:grpSpPr>
                        <a:xfrm>
                          <a:off x="0" y="0"/>
                          <a:ext cx="1957070" cy="954405"/>
                          <a:chOff x="0" y="0"/>
                          <a:chExt cx="1957705" cy="802005"/>
                        </a:xfrm>
                      </wpg:grpSpPr>
                      <wps:wsp>
                        <wps:cNvPr id="1261" name="角丸四角形 212"/>
                        <wps:cNvSpPr/>
                        <wps:spPr>
                          <a:xfrm>
                            <a:off x="0" y="0"/>
                            <a:ext cx="1957705" cy="802005"/>
                          </a:xfrm>
                          <a:prstGeom prst="roundRect">
                            <a:avLst/>
                          </a:prstGeom>
                          <a:solidFill>
                            <a:schemeClr val="bg1">
                              <a:lumMod val="65000"/>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62" name="テキスト ボックス 809"/>
                        <wps:cNvSpPr txBox="1">
                          <a:spLocks noChangeArrowheads="1"/>
                        </wps:cNvSpPr>
                        <wps:spPr>
                          <a:xfrm>
                            <a:off x="120769" y="69011"/>
                            <a:ext cx="1698541" cy="655798"/>
                          </a:xfrm>
                          <a:prstGeom prst="rect">
                            <a:avLst/>
                          </a:prstGeom>
                          <a:noFill/>
                          <a:ln>
                            <a:noFill/>
                          </a:ln>
                        </wps:spPr>
                        <wps:txbx>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②計画の内容を踏まえ、事業を実施する。</w:t>
                              </w:r>
                            </w:p>
                          </w:txbxContent>
                        </wps:txbx>
                        <wps:bodyPr rot="0" vertOverflow="overflow" horzOverflow="overflow" wrap="square" lIns="0" tIns="0" rIns="0" bIns="0" anchor="ctr" anchorCtr="0" upright="1"/>
                      </wps:wsp>
                    </wpg:wgp>
                  </a:graphicData>
                </a:graphic>
              </wp:anchor>
            </w:drawing>
          </mc:Choice>
          <mc:Fallback>
            <w:pict>
              <v:group id="グループ化 211" style="mso-wrap-distance-right:9pt;mso-wrap-distance-bottom:0pt;margin-top:0.8pt;mso-position-vertical-relative:text;mso-position-horizontal-relative:text;position:absolute;height:75.150000000000006pt;mso-wrap-distance-top:0pt;width:154.1pt;mso-wrap-distance-left:9pt;margin-left:288.2pt;z-index:80;" coordsize="1957705,802005" coordorigin="0,0" o:spid="_x0000_s1260" o:allowincell="t" o:allowoverlap="t">
                <v:roundrect id="角丸四角形 212" style="height:802005;width:1957705;top:0;left:0;position:absolute;" o:spid="_x0000_s1261" filled="t" fillcolor="#a6a6a6" stroked="f" strokecolor="#42709c" strokeweight="1pt" o:spt="2" arcsize="10923f">
                  <v:fill opacity="49152f"/>
                  <v:stroke linestyle="single" miterlimit="8" endcap="flat" dashstyle="solid"/>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809" style="height:655798;width:1698541;top:69011;left:120769;v-text-anchor:middle;position:absolute;" o:spid="_x0000_s1262" filled="f" stroked="f" o:spt="202" type="#_x0000_t202">
                  <v:fill/>
                  <v:textbox style="layout-flow:horizontal;" inset="0mm,0mm,0mm,0mm">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②計画の内容を踏まえ、事業を実施する。</w:t>
                        </w:r>
                      </w:p>
                    </w:txbxContent>
                  </v:textbox>
                  <v:imagedata o:title=""/>
                  <w10:wrap type="none" anchorx="text" anchory="text"/>
                </v:shape>
                <w10:wrap type="none" anchorx="text" anchory="text"/>
              </v:group>
            </w:pict>
          </mc:Fallback>
        </mc:AlternateContent>
      </w:r>
    </w:p>
    <w:p>
      <w:pPr>
        <w:pStyle w:val="0"/>
        <w:ind w:left="448" w:leftChars="200" w:firstLine="214" w:firstLineChars="100"/>
        <w:rPr>
          <w:rFonts w:hint="default"/>
          <w:sz w:val="21"/>
        </w:rPr>
      </w:pPr>
    </w:p>
    <w:p>
      <w:pPr>
        <w:pStyle w:val="0"/>
        <w:ind w:left="448" w:leftChars="200" w:firstLine="214" w:firstLineChars="100"/>
        <w:rPr>
          <w:rFonts w:hint="default"/>
          <w:sz w:val="21"/>
        </w:rPr>
      </w:pPr>
    </w:p>
    <w:p>
      <w:pPr>
        <w:pStyle w:val="0"/>
        <w:ind w:left="448" w:leftChars="200" w:firstLine="214" w:firstLineChars="100"/>
        <w:rPr>
          <w:rFonts w:hint="default"/>
          <w:sz w:val="21"/>
        </w:rPr>
      </w:pPr>
    </w:p>
    <w:p>
      <w:pPr>
        <w:pStyle w:val="0"/>
        <w:ind w:left="448" w:leftChars="200" w:firstLine="214" w:firstLineChars="100"/>
        <w:rPr>
          <w:rFonts w:hint="default"/>
          <w:sz w:val="21"/>
        </w:rPr>
      </w:pPr>
    </w:p>
    <w:p>
      <w:pPr>
        <w:pStyle w:val="0"/>
        <w:ind w:left="448" w:leftChars="200" w:firstLine="214" w:firstLineChars="100"/>
        <w:rPr>
          <w:rFonts w:hint="default"/>
          <w:sz w:val="21"/>
        </w:rPr>
      </w:pPr>
    </w:p>
    <w:p>
      <w:pPr>
        <w:pStyle w:val="0"/>
        <w:ind w:left="448" w:leftChars="200" w:firstLine="214" w:firstLineChars="100"/>
        <w:rPr>
          <w:rFonts w:hint="default"/>
          <w:sz w:val="21"/>
        </w:rPr>
      </w:pPr>
    </w:p>
    <w:p>
      <w:pPr>
        <w:pStyle w:val="0"/>
        <w:ind w:left="448" w:leftChars="200" w:firstLine="214" w:firstLineChars="100"/>
        <w:rPr>
          <w:rFonts w:hint="default"/>
          <w:sz w:val="21"/>
        </w:rPr>
      </w:pPr>
    </w:p>
    <w:p>
      <w:pPr>
        <w:pStyle w:val="0"/>
        <w:ind w:left="448" w:leftChars="200" w:firstLine="214" w:firstLineChars="100"/>
        <w:rPr>
          <w:rFonts w:hint="default"/>
          <w:sz w:val="21"/>
        </w:rPr>
      </w:pPr>
    </w:p>
    <w:p>
      <w:pPr>
        <w:pStyle w:val="0"/>
        <w:widowControl w:val="1"/>
        <w:spacing w:after="160" w:afterLines="0" w:afterAutospacing="0" w:line="259" w:lineRule="auto"/>
        <w:jc w:val="left"/>
        <w:rPr>
          <w:rFonts w:hint="default"/>
        </w:rPr>
      </w:pPr>
      <w:r>
        <w:rPr>
          <w:rFonts w:hint="default"/>
        </w:rPr>
        <w:br w:type="page"/>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118"/>
        <w:spacing w:before="37" w:beforeLines="0" w:beforeAutospacing="0" w:after="37" w:afterLines="0" w:afterAutospacing="0"/>
        <w:ind w:right="-4483"/>
        <w:rPr>
          <w:rFonts w:hint="default"/>
        </w:rPr>
      </w:pPr>
      <w:bookmarkStart w:id="362" w:name="_Toc162263690"/>
      <w:bookmarkStart w:id="363" w:name="_Toc66449966"/>
      <w:r>
        <w:rPr>
          <w:rFonts w:hint="eastAsia"/>
        </w:rPr>
        <w:t>目次のスペース用</w:t>
      </w:r>
      <w:bookmarkEnd w:id="362"/>
      <w:bookmarkEnd w:id="363"/>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0" distB="0" distL="114300" distR="114300" simplePos="0" relativeHeight="241" behindDoc="0" locked="1" layoutInCell="1" hidden="0" allowOverlap="1">
                <wp:simplePos x="0" y="0"/>
                <wp:positionH relativeFrom="column">
                  <wp:posOffset>-227330</wp:posOffset>
                </wp:positionH>
                <wp:positionV relativeFrom="page">
                  <wp:posOffset>5840095</wp:posOffset>
                </wp:positionV>
                <wp:extent cx="6920865" cy="4728210"/>
                <wp:effectExtent l="635" t="635" r="29845" b="10795"/>
                <wp:wrapNone/>
                <wp:docPr id="1263" name="正方形/長方形 15"/>
                <a:graphic xmlns:a="http://schemas.openxmlformats.org/drawingml/2006/main">
                  <a:graphicData uri="http://schemas.microsoft.com/office/word/2010/wordprocessingShape">
                    <wps:wsp>
                      <wps:cNvPr id="1263" name="正方形/長方形 15"/>
                      <wps:cNvSpPr/>
                      <wps:spPr>
                        <a:xfrm>
                          <a:off x="0" y="0"/>
                          <a:ext cx="6920865" cy="47282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5" style="mso-wrap-distance-right:9pt;mso-wrap-distance-bottom:0pt;margin-top:459.85pt;mso-position-vertical-relative:page;mso-position-horizontal-relative:text;position:absolute;height:372.3pt;mso-wrap-distance-top:0pt;width:544.95000000000005pt;mso-wrap-distance-left:9pt;margin-left:-17.89pt;z-index:241;" o:spid="_x0000_s1263"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page"/>
                <w10:anchorlock/>
              </v:rect>
            </w:pict>
          </mc:Fallback>
        </mc:AlternateContent>
      </w:r>
      <w:r>
        <w:rPr>
          <w:rFonts w:hint="default"/>
          <w:color w:val="000000" w:themeColor="text1"/>
        </w:rPr>
        <mc:AlternateContent>
          <mc:Choice Requires="wps">
            <w:drawing>
              <wp:anchor distT="0" distB="0" distL="114300" distR="114300" simplePos="0" relativeHeight="237" behindDoc="0" locked="1" layoutInCell="1" hidden="0" allowOverlap="1">
                <wp:simplePos x="0" y="0"/>
                <wp:positionH relativeFrom="column">
                  <wp:posOffset>-339090</wp:posOffset>
                </wp:positionH>
                <wp:positionV relativeFrom="page">
                  <wp:posOffset>2087880</wp:posOffset>
                </wp:positionV>
                <wp:extent cx="6920865" cy="4728210"/>
                <wp:effectExtent l="635" t="635" r="29845" b="10795"/>
                <wp:wrapNone/>
                <wp:docPr id="1264" name="正方形/長方形 81"/>
                <a:graphic xmlns:a="http://schemas.openxmlformats.org/drawingml/2006/main">
                  <a:graphicData uri="http://schemas.microsoft.com/office/word/2010/wordprocessingShape">
                    <wps:wsp>
                      <wps:cNvPr id="1264" name="正方形/長方形 81"/>
                      <wps:cNvSpPr/>
                      <wps:spPr>
                        <a:xfrm>
                          <a:off x="0" y="0"/>
                          <a:ext cx="6920865" cy="47282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1" style="mso-wrap-distance-right:9pt;mso-wrap-distance-bottom:0pt;margin-top:164.4pt;mso-position-vertical-relative:page;mso-position-horizontal-relative:text;position:absolute;height:372.3pt;mso-wrap-distance-top:0pt;width:544.95000000000005pt;mso-wrap-distance-left:9pt;margin-left:-26.7pt;z-index:237;" o:spid="_x0000_s1264"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page"/>
                <w10:anchorlock/>
              </v:rect>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117"/>
        <w:spacing w:before="185" w:beforeLines="0" w:beforeAutospacing="0"/>
        <w:rPr>
          <w:rFonts w:hint="default"/>
        </w:rPr>
      </w:pPr>
      <w:bookmarkStart w:id="364" w:name="_Toc162263691"/>
      <w:bookmarkStart w:id="365" w:name="_Toc505592312"/>
      <w:bookmarkStart w:id="366" w:name="_Toc508986509"/>
      <w:bookmarkStart w:id="367" w:name="_Toc66449967"/>
      <w:r>
        <w:rPr>
          <w:rFonts w:hint="default"/>
        </w:rPr>
        <mc:AlternateContent>
          <mc:Choice Requires="wps">
            <w:drawing>
              <wp:anchor distT="0" distB="0" distL="114300" distR="114300" simplePos="0" relativeHeight="240" behindDoc="0" locked="0" layoutInCell="1" hidden="0" allowOverlap="1">
                <wp:simplePos x="0" y="0"/>
                <wp:positionH relativeFrom="margin">
                  <wp:posOffset>1345565</wp:posOffset>
                </wp:positionH>
                <wp:positionV relativeFrom="paragraph">
                  <wp:posOffset>99060</wp:posOffset>
                </wp:positionV>
                <wp:extent cx="3415665" cy="1517650"/>
                <wp:effectExtent l="635" t="635" r="29845" b="10795"/>
                <wp:wrapNone/>
                <wp:docPr id="1265" name="円/楕円 58"/>
                <a:graphic xmlns:a="http://schemas.openxmlformats.org/drawingml/2006/main">
                  <a:graphicData uri="http://schemas.microsoft.com/office/word/2010/wordprocessingShape">
                    <wps:wsp>
                      <wps:cNvPr id="1265" name="円/楕円 58"/>
                      <wps:cNvSpPr/>
                      <wps:spPr>
                        <a:xfrm>
                          <a:off x="0" y="0"/>
                          <a:ext cx="3415665" cy="15176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円/楕円 58" style="mso-wrap-distance-right:9pt;mso-wrap-distance-bottom:0pt;margin-top:7.8pt;mso-position-vertical-relative:text;mso-position-horizontal-relative:margin;position:absolute;height:119.5pt;mso-wrap-distance-top:0pt;width:268.95pt;mso-wrap-distance-left:9pt;margin-left:105.95pt;z-index:240;" o:spid="_x0000_s1265" o:allowincell="t" o:allowoverlap="t" filled="f" stroked="t" strokecolor="#000000 [3213]" strokeweight="1.5pt" o:spt="3">
                <v:fill/>
                <v:stroke linestyle="single" miterlimit="8" endcap="flat" dashstyle="solid" filltype="solid"/>
                <v:textbox style="layout-flow:horizontal;"/>
                <v:imagedata o:title=""/>
                <w10:wrap type="none" anchorx="margin" anchory="text"/>
              </v:oval>
            </w:pict>
          </mc:Fallback>
        </mc:AlternateContent>
      </w:r>
      <w:r>
        <w:rPr>
          <w:rFonts w:hint="eastAsia"/>
        </w:rPr>
        <mc:AlternateContent>
          <mc:Choice Requires="wps">
            <w:drawing>
              <wp:anchor distT="0" distB="0" distL="114300" distR="114300" simplePos="0" relativeHeight="239" behindDoc="0" locked="0" layoutInCell="1" hidden="0" allowOverlap="1">
                <wp:simplePos x="0" y="0"/>
                <wp:positionH relativeFrom="column">
                  <wp:posOffset>683895</wp:posOffset>
                </wp:positionH>
                <wp:positionV relativeFrom="paragraph">
                  <wp:posOffset>124460</wp:posOffset>
                </wp:positionV>
                <wp:extent cx="4752340" cy="1466850"/>
                <wp:effectExtent l="0" t="0" r="635" b="635"/>
                <wp:wrapNone/>
                <wp:docPr id="1266" name="テキスト ボックス 82"/>
                <a:graphic xmlns:a="http://schemas.openxmlformats.org/drawingml/2006/main">
                  <a:graphicData uri="http://schemas.microsoft.com/office/word/2010/wordprocessingShape">
                    <wps:wsp>
                      <wps:cNvPr id="1266" name="テキスト ボックス 82"/>
                      <wps:cNvSpPr txBox="1"/>
                      <wps:spPr>
                        <a:xfrm>
                          <a:off x="0" y="0"/>
                          <a:ext cx="4752340"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72"/>
                              </w:rPr>
                            </w:pPr>
                            <w:r>
                              <w:rPr>
                                <w:rFonts w:hint="eastAsia" w:ascii="ＭＳ ゴシック" w:hAnsi="ＭＳ ゴシック" w:eastAsia="ＭＳ ゴシック"/>
                                <w:sz w:val="72"/>
                              </w:rPr>
                              <w:t>資料編</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2" style="mso-wrap-distance-right:9pt;mso-wrap-distance-bottom:0pt;margin-top:9.8000000000000007pt;mso-position-vertical-relative:text;mso-position-horizontal-relative:text;v-text-anchor:middle;position:absolute;height:115.5pt;mso-wrap-distance-top:0pt;width:374.2pt;mso-wrap-distance-left:9pt;margin-left:53.85pt;z-index:239;" o:spid="_x0000_s1266" o:allowincell="t" o:allowoverlap="t" filled="f" stroked="f" strokeweight="0.5pt" o:spt="202" type="#_x0000_t202">
                <v:fill/>
                <v:textbox style="layout-flow:horizontal;">
                  <w:txbxContent>
                    <w:p>
                      <w:pPr>
                        <w:pStyle w:val="0"/>
                        <w:jc w:val="center"/>
                        <w:rPr>
                          <w:rFonts w:hint="default" w:ascii="ＭＳ ゴシック" w:hAnsi="ＭＳ ゴシック" w:eastAsia="ＭＳ ゴシック"/>
                          <w:sz w:val="72"/>
                        </w:rPr>
                      </w:pPr>
                      <w:r>
                        <w:rPr>
                          <w:rFonts w:hint="eastAsia" w:ascii="ＭＳ ゴシック" w:hAnsi="ＭＳ ゴシック" w:eastAsia="ＭＳ ゴシック"/>
                          <w:sz w:val="72"/>
                        </w:rPr>
                        <w:t>資料編</w:t>
                      </w:r>
                    </w:p>
                  </w:txbxContent>
                </v:textbox>
                <v:imagedata o:title=""/>
                <w10:wrap type="none" anchorx="text" anchory="text"/>
              </v:shape>
            </w:pict>
          </mc:Fallback>
        </mc:AlternateContent>
      </w:r>
      <w:r>
        <w:rPr>
          <w:rFonts w:hint="eastAsia"/>
        </w:rPr>
        <w:t>資料編</w:t>
      </w:r>
      <w:bookmarkEnd w:id="364"/>
      <w:bookmarkEnd w:id="365"/>
      <w:bookmarkEnd w:id="366"/>
      <w:bookmarkEnd w:id="367"/>
    </w:p>
    <w:p>
      <w:pPr>
        <w:pStyle w:val="0"/>
        <w:ind w:left="672" w:leftChars="200" w:hanging="224" w:hangingChars="100"/>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0"/>
        <w:spacing w:after="175" w:afterLines="50" w:afterAutospacing="0"/>
        <w:rPr>
          <w:rFonts w:hint="default"/>
          <w:color w:val="000000" w:themeColor="text1"/>
        </w:rPr>
      </w:pPr>
      <w:r>
        <w:rPr>
          <w:rFonts w:hint="default"/>
          <w:color w:val="000000" w:themeColor="text1"/>
        </w:rPr>
        <mc:AlternateContent>
          <mc:Choice Requires="wps">
            <w:drawing>
              <wp:anchor distT="0" distB="0" distL="114300" distR="114300" simplePos="0" relativeHeight="238" behindDoc="0" locked="1" layoutInCell="1" hidden="0" allowOverlap="1">
                <wp:simplePos x="0" y="0"/>
                <wp:positionH relativeFrom="column">
                  <wp:posOffset>2118360</wp:posOffset>
                </wp:positionH>
                <wp:positionV relativeFrom="page">
                  <wp:posOffset>9037320</wp:posOffset>
                </wp:positionV>
                <wp:extent cx="1988185" cy="1381125"/>
                <wp:effectExtent l="635" t="635" r="29845" b="10795"/>
                <wp:wrapNone/>
                <wp:docPr id="1267" name="正方形/長方形 83"/>
                <a:graphic xmlns:a="http://schemas.openxmlformats.org/drawingml/2006/main">
                  <a:graphicData uri="http://schemas.microsoft.com/office/word/2010/wordprocessingShape">
                    <wps:wsp>
                      <wps:cNvPr id="1267" name="正方形/長方形 83"/>
                      <wps:cNvSpPr/>
                      <wps:spPr>
                        <a:xfrm>
                          <a:off x="0" y="0"/>
                          <a:ext cx="1988185" cy="1381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3" style="mso-wrap-distance-right:9pt;mso-wrap-distance-bottom:0pt;margin-top:711.6pt;mso-position-vertical-relative:page;mso-position-horizontal-relative:text;position:absolute;height:108.75pt;mso-wrap-distance-top:0pt;width:156.55000000000001pt;mso-wrap-distance-left:9pt;margin-left:166.8pt;z-index:238;" o:spid="_x0000_s1267"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page"/>
                <w10:anchorlock/>
              </v:rect>
            </w:pict>
          </mc:Fallback>
        </mc:AlternateContent>
      </w:r>
      <w:r>
        <w:rPr>
          <w:rFonts w:hint="default"/>
          <w:color w:val="000000" w:themeColor="text1"/>
        </w:rPr>
        <w:br w:type="page"/>
      </w:r>
      <w:bookmarkStart w:id="368" w:name="_Toc498445381"/>
    </w:p>
    <w:p>
      <w:pPr>
        <w:pStyle w:val="119"/>
        <w:spacing w:after="370" w:afterLines="0" w:afterAutospacing="0"/>
        <w:rPr>
          <w:rFonts w:hint="eastAsia"/>
        </w:rPr>
      </w:pPr>
      <w:bookmarkEnd w:id="368"/>
      <w:bookmarkStart w:id="369" w:name="_Toc162263692"/>
      <w:bookmarkStart w:id="370" w:name="_Toc505592316"/>
      <w:bookmarkStart w:id="371" w:name="_Toc508986510"/>
      <w:bookmarkStart w:id="372" w:name="_Toc66449968"/>
      <w:bookmarkStart w:id="373" w:name="_Toc416340585"/>
      <w:bookmarkStart w:id="374" w:name="_Toc508986511"/>
      <w:bookmarkStart w:id="375" w:name="_Toc66449969"/>
      <w:r>
        <w:rPr>
          <w:rFonts w:hint="eastAsia"/>
        </w:rPr>
        <w:t>■主なアンケート調査結果</w:t>
      </w:r>
      <w:bookmarkEnd w:id="369"/>
      <w:bookmarkEnd w:id="370"/>
      <w:bookmarkEnd w:id="371"/>
      <w:bookmarkEnd w:id="372"/>
    </w:p>
    <w:p>
      <w:pPr>
        <w:pStyle w:val="200"/>
        <w:spacing w:after="70" w:afterLines="20" w:afterAutospacing="0"/>
        <w:ind w:left="448" w:leftChars="200"/>
        <w:rPr>
          <w:rFonts w:hint="default"/>
          <w:sz w:val="22"/>
        </w:rPr>
      </w:pPr>
      <w:bookmarkStart w:id="376" w:name="_Toc500234816"/>
      <w:r>
        <w:rPr>
          <w:rFonts w:hint="eastAsia"/>
          <w:sz w:val="22"/>
        </w:rPr>
        <w:t>(</w:t>
      </w:r>
      <w:r>
        <w:rPr>
          <w:rFonts w:hint="default"/>
          <w:sz w:val="22"/>
        </w:rPr>
        <w:t>１</w:t>
      </w:r>
      <w:r>
        <w:rPr>
          <w:rFonts w:hint="eastAsia"/>
          <w:sz w:val="22"/>
        </w:rPr>
        <w:t>)</w:t>
      </w:r>
      <w:r>
        <w:rPr>
          <w:rFonts w:hint="default"/>
          <w:sz w:val="22"/>
        </w:rPr>
        <w:t>調査の目的</w:t>
      </w:r>
    </w:p>
    <w:p>
      <w:pPr>
        <w:pStyle w:val="124"/>
        <w:ind w:left="672" w:leftChars="300"/>
        <w:rPr>
          <w:rFonts w:hint="default"/>
          <w:sz w:val="21"/>
        </w:rPr>
      </w:pPr>
      <w:r>
        <w:rPr>
          <w:rFonts w:hint="eastAsia"/>
          <w:sz w:val="21"/>
        </w:rPr>
        <w:t>「</w:t>
      </w:r>
      <w:r>
        <w:rPr>
          <w:rFonts w:hint="default"/>
          <w:sz w:val="21"/>
        </w:rPr>
        <w:t>第</w:t>
      </w:r>
      <w:r>
        <w:rPr>
          <w:rFonts w:hint="eastAsia"/>
          <w:sz w:val="21"/>
        </w:rPr>
        <w:t>６</w:t>
      </w:r>
      <w:r>
        <w:rPr>
          <w:rFonts w:hint="default"/>
          <w:sz w:val="21"/>
        </w:rPr>
        <w:t>次南風原町障がい者計画・第</w:t>
      </w:r>
      <w:r>
        <w:rPr>
          <w:rFonts w:hint="eastAsia"/>
          <w:sz w:val="21"/>
        </w:rPr>
        <w:t>７</w:t>
      </w:r>
      <w:r>
        <w:rPr>
          <w:rFonts w:hint="default"/>
          <w:sz w:val="21"/>
        </w:rPr>
        <w:t>期障がい福祉計画、第</w:t>
      </w:r>
      <w:r>
        <w:rPr>
          <w:rFonts w:hint="eastAsia"/>
          <w:sz w:val="21"/>
        </w:rPr>
        <w:t>３</w:t>
      </w:r>
      <w:r>
        <w:rPr>
          <w:rFonts w:hint="default"/>
          <w:sz w:val="21"/>
        </w:rPr>
        <w:t>期障がい児福祉計画</w:t>
      </w:r>
      <w:r>
        <w:rPr>
          <w:rFonts w:hint="eastAsia"/>
          <w:sz w:val="21"/>
        </w:rPr>
        <w:t>」を策定するにあたり、障がい者及び障がい児の実情やニーズ等必要な基礎資料を得ることを目的に、調査を実施した。</w:t>
      </w:r>
    </w:p>
    <w:p>
      <w:pPr>
        <w:pStyle w:val="124"/>
        <w:spacing w:line="0" w:lineRule="atLeast"/>
        <w:ind w:left="448" w:firstLine="164"/>
        <w:rPr>
          <w:rFonts w:hint="default"/>
          <w:color w:val="auto"/>
          <w:sz w:val="16"/>
        </w:rPr>
      </w:pPr>
    </w:p>
    <w:p>
      <w:pPr>
        <w:pStyle w:val="124"/>
        <w:spacing w:line="0" w:lineRule="atLeast"/>
        <w:ind w:left="448" w:firstLine="164"/>
        <w:rPr>
          <w:rFonts w:hint="default"/>
          <w:color w:val="auto"/>
          <w:sz w:val="16"/>
        </w:rPr>
      </w:pPr>
    </w:p>
    <w:p>
      <w:pPr>
        <w:pStyle w:val="200"/>
        <w:spacing w:after="70" w:afterLines="20" w:afterAutospacing="0"/>
        <w:ind w:left="448" w:leftChars="200"/>
        <w:rPr>
          <w:rFonts w:hint="default"/>
          <w:sz w:val="22"/>
        </w:rPr>
      </w:pPr>
      <w:r>
        <w:rPr>
          <w:rFonts w:hint="eastAsia"/>
          <w:sz w:val="22"/>
        </w:rPr>
        <w:t>(</w:t>
      </w:r>
      <w:r>
        <w:rPr>
          <w:rFonts w:hint="eastAsia"/>
          <w:sz w:val="22"/>
        </w:rPr>
        <w:t>２</w:t>
      </w:r>
      <w:r>
        <w:rPr>
          <w:rFonts w:hint="eastAsia"/>
          <w:sz w:val="22"/>
        </w:rPr>
        <w:t>)</w:t>
      </w:r>
      <w:r>
        <w:rPr>
          <w:rFonts w:hint="default"/>
          <w:sz w:val="22"/>
        </w:rPr>
        <w:t>調査対象</w:t>
      </w:r>
    </w:p>
    <w:p>
      <w:pPr>
        <w:pStyle w:val="304"/>
        <w:spacing w:before="111" w:beforeLines="0" w:beforeAutospacing="0"/>
        <w:ind w:left="560" w:leftChars="250"/>
        <w:rPr>
          <w:rFonts w:hint="default"/>
        </w:rPr>
      </w:pPr>
      <w:r>
        <w:rPr>
          <w:rFonts w:hint="default"/>
        </w:rPr>
        <w:t>①</w:t>
      </w:r>
      <w:r>
        <w:rPr>
          <w:rFonts w:hint="default"/>
        </w:rPr>
        <w:t>障がい者</w:t>
      </w:r>
    </w:p>
    <w:p>
      <w:pPr>
        <w:pStyle w:val="304"/>
        <w:spacing w:before="111" w:beforeLines="0" w:beforeAutospacing="0"/>
        <w:ind w:left="1009" w:leftChars="450"/>
        <w:rPr>
          <w:rFonts w:hint="default"/>
        </w:rPr>
      </w:pPr>
      <w:r>
        <w:rPr>
          <w:rFonts w:hint="default"/>
        </w:rPr>
        <w:t>南風原町に住所を有し、</w:t>
      </w:r>
      <w:r>
        <w:rPr>
          <w:rFonts w:hint="eastAsia"/>
        </w:rPr>
        <w:t>令和</w:t>
      </w:r>
      <w:r>
        <w:rPr>
          <w:rFonts w:hint="eastAsia"/>
        </w:rPr>
        <w:t>5</w:t>
      </w:r>
      <w:r>
        <w:rPr>
          <w:rFonts w:hint="default"/>
        </w:rPr>
        <w:t>年</w:t>
      </w:r>
      <w:r>
        <w:rPr>
          <w:rFonts w:hint="default"/>
        </w:rPr>
        <w:t>4</w:t>
      </w:r>
      <w:r>
        <w:rPr>
          <w:rFonts w:hint="default"/>
        </w:rPr>
        <w:t>月</w:t>
      </w:r>
      <w:r>
        <w:rPr>
          <w:rFonts w:hint="default"/>
        </w:rPr>
        <w:t>1</w:t>
      </w:r>
      <w:r>
        <w:rPr>
          <w:rFonts w:hint="default"/>
        </w:rPr>
        <w:t>日現在で年齡が</w:t>
      </w:r>
      <w:r>
        <w:rPr>
          <w:rFonts w:hint="default"/>
        </w:rPr>
        <w:t>18</w:t>
      </w:r>
      <w:r>
        <w:rPr>
          <w:rFonts w:hint="default"/>
        </w:rPr>
        <w:t>歳以上</w:t>
      </w:r>
      <w:r>
        <w:rPr>
          <w:rFonts w:hint="default"/>
          <w:color w:val="auto"/>
        </w:rPr>
        <w:t>～</w:t>
      </w:r>
      <w:r>
        <w:rPr>
          <w:rFonts w:hint="eastAsia"/>
          <w:color w:val="auto"/>
        </w:rPr>
        <w:t>70</w:t>
      </w:r>
      <w:r>
        <w:rPr>
          <w:rFonts w:hint="default"/>
          <w:color w:val="auto"/>
        </w:rPr>
        <w:t>歳未</w:t>
      </w:r>
      <w:r>
        <w:rPr>
          <w:rFonts w:hint="default"/>
        </w:rPr>
        <w:t>満の障害者手帳の交付がある者を調査対象とした。</w:t>
      </w:r>
    </w:p>
    <w:p>
      <w:pPr>
        <w:pStyle w:val="124"/>
        <w:spacing w:line="0" w:lineRule="atLeast"/>
        <w:ind w:left="448" w:firstLine="164"/>
        <w:rPr>
          <w:rFonts w:hint="default"/>
          <w:color w:val="auto"/>
          <w:sz w:val="16"/>
        </w:rPr>
      </w:pPr>
    </w:p>
    <w:p>
      <w:pPr>
        <w:pStyle w:val="304"/>
        <w:spacing w:before="111" w:beforeLines="0" w:beforeAutospacing="0"/>
        <w:ind w:left="560" w:leftChars="250"/>
        <w:rPr>
          <w:rFonts w:hint="default"/>
        </w:rPr>
      </w:pPr>
      <w:r>
        <w:rPr>
          <w:rFonts w:hint="eastAsia"/>
        </w:rPr>
        <w:t>②</w:t>
      </w:r>
      <w:r>
        <w:rPr>
          <w:rFonts w:hint="default"/>
        </w:rPr>
        <w:t>障がい児</w:t>
      </w:r>
    </w:p>
    <w:p>
      <w:pPr>
        <w:pStyle w:val="304"/>
        <w:spacing w:before="111" w:beforeLines="0" w:beforeAutospacing="0"/>
        <w:ind w:left="1009" w:leftChars="450"/>
        <w:rPr>
          <w:rFonts w:hint="default"/>
        </w:rPr>
      </w:pPr>
      <w:r>
        <w:rPr>
          <w:rFonts w:hint="default"/>
        </w:rPr>
        <w:t>南風原町に住所を有し、</w:t>
      </w:r>
      <w:r>
        <w:rPr>
          <w:rFonts w:hint="eastAsia"/>
        </w:rPr>
        <w:t>令和</w:t>
      </w:r>
      <w:r>
        <w:rPr>
          <w:rFonts w:hint="eastAsia"/>
        </w:rPr>
        <w:t>5</w:t>
      </w:r>
      <w:r>
        <w:rPr>
          <w:rFonts w:hint="default"/>
        </w:rPr>
        <w:t>年</w:t>
      </w:r>
      <w:r>
        <w:rPr>
          <w:rFonts w:hint="default"/>
        </w:rPr>
        <w:t>4</w:t>
      </w:r>
      <w:r>
        <w:rPr>
          <w:rFonts w:hint="default"/>
        </w:rPr>
        <w:t>月</w:t>
      </w:r>
      <w:r>
        <w:rPr>
          <w:rFonts w:hint="default"/>
        </w:rPr>
        <w:t>1</w:t>
      </w:r>
      <w:r>
        <w:rPr>
          <w:rFonts w:hint="default"/>
        </w:rPr>
        <w:t>日時点で年齡が</w:t>
      </w:r>
      <w:r>
        <w:rPr>
          <w:rFonts w:hint="default"/>
        </w:rPr>
        <w:t>18</w:t>
      </w:r>
      <w:r>
        <w:rPr>
          <w:rFonts w:hint="default"/>
        </w:rPr>
        <w:t>歳未満の障害者手帳の交付がある</w:t>
      </w:r>
      <w:r>
        <w:rPr>
          <w:rFonts w:hint="eastAsia"/>
        </w:rPr>
        <w:t>児童</w:t>
      </w:r>
      <w:r>
        <w:rPr>
          <w:rFonts w:hint="default"/>
        </w:rPr>
        <w:t>及び手帳の交付はないが、障害児通所支援等のサービスを利用している</w:t>
      </w:r>
      <w:r>
        <w:rPr>
          <w:rFonts w:hint="eastAsia"/>
        </w:rPr>
        <w:t>児童</w:t>
      </w:r>
      <w:r>
        <w:rPr>
          <w:rFonts w:hint="default"/>
        </w:rPr>
        <w:t>の保護者を調査対象とした。</w:t>
      </w:r>
    </w:p>
    <w:p>
      <w:pPr>
        <w:pStyle w:val="124"/>
        <w:spacing w:line="0" w:lineRule="atLeast"/>
        <w:ind w:left="448" w:firstLine="164"/>
        <w:rPr>
          <w:rFonts w:hint="default"/>
          <w:color w:val="auto"/>
          <w:sz w:val="16"/>
        </w:rPr>
      </w:pPr>
    </w:p>
    <w:p>
      <w:pPr>
        <w:pStyle w:val="124"/>
        <w:spacing w:line="0" w:lineRule="atLeast"/>
        <w:ind w:left="448" w:firstLine="164"/>
        <w:rPr>
          <w:rFonts w:hint="default"/>
          <w:color w:val="auto"/>
          <w:sz w:val="16"/>
        </w:rPr>
      </w:pPr>
    </w:p>
    <w:p>
      <w:pPr>
        <w:pStyle w:val="200"/>
        <w:spacing w:after="70" w:afterLines="20" w:afterAutospacing="0"/>
        <w:ind w:left="448" w:leftChars="200"/>
        <w:rPr>
          <w:rFonts w:hint="default"/>
          <w:sz w:val="22"/>
        </w:rPr>
      </w:pPr>
      <w:r>
        <w:rPr>
          <w:rFonts w:hint="eastAsia"/>
          <w:sz w:val="22"/>
        </w:rPr>
        <w:t>(</w:t>
      </w:r>
      <w:r>
        <w:rPr>
          <w:rFonts w:hint="default"/>
          <w:sz w:val="22"/>
        </w:rPr>
        <w:t>３</w:t>
      </w:r>
      <w:r>
        <w:rPr>
          <w:rFonts w:hint="eastAsia"/>
          <w:sz w:val="22"/>
        </w:rPr>
        <w:t>)</w:t>
      </w:r>
      <w:r>
        <w:rPr>
          <w:rFonts w:hint="default"/>
          <w:sz w:val="22"/>
        </w:rPr>
        <w:t>調査方法</w:t>
      </w:r>
    </w:p>
    <w:p>
      <w:pPr>
        <w:pStyle w:val="124"/>
        <w:ind w:left="672" w:leftChars="300"/>
        <w:rPr>
          <w:rFonts w:hint="default"/>
          <w:sz w:val="21"/>
        </w:rPr>
      </w:pPr>
      <w:r>
        <w:rPr>
          <w:rFonts w:hint="eastAsia"/>
          <w:sz w:val="21"/>
        </w:rPr>
        <w:t>調査票</w:t>
      </w:r>
      <w:r>
        <w:rPr>
          <w:rFonts w:hint="eastAsia"/>
          <w:sz w:val="21"/>
        </w:rPr>
        <w:t>(</w:t>
      </w:r>
      <w:r>
        <w:rPr>
          <w:rFonts w:hint="eastAsia"/>
          <w:sz w:val="21"/>
        </w:rPr>
        <w:t>アンケート</w:t>
      </w:r>
      <w:r>
        <w:rPr>
          <w:rFonts w:hint="eastAsia"/>
          <w:sz w:val="21"/>
        </w:rPr>
        <w:t>)</w:t>
      </w:r>
      <w:r>
        <w:rPr>
          <w:rFonts w:hint="eastAsia"/>
          <w:sz w:val="21"/>
        </w:rPr>
        <w:t>の郵送による配布・回収としました。</w:t>
      </w:r>
    </w:p>
    <w:p>
      <w:pPr>
        <w:pStyle w:val="124"/>
        <w:spacing w:line="0" w:lineRule="atLeast"/>
        <w:ind w:left="448" w:firstLine="164"/>
        <w:rPr>
          <w:rFonts w:hint="default"/>
          <w:color w:val="auto"/>
          <w:sz w:val="16"/>
        </w:rPr>
      </w:pPr>
    </w:p>
    <w:p>
      <w:pPr>
        <w:pStyle w:val="124"/>
        <w:spacing w:line="0" w:lineRule="atLeast"/>
        <w:ind w:left="448" w:firstLine="164"/>
        <w:rPr>
          <w:rFonts w:hint="default"/>
          <w:color w:val="auto"/>
          <w:sz w:val="16"/>
        </w:rPr>
      </w:pPr>
    </w:p>
    <w:p>
      <w:pPr>
        <w:pStyle w:val="200"/>
        <w:spacing w:after="70" w:afterLines="20" w:afterAutospacing="0"/>
        <w:ind w:left="448" w:leftChars="200"/>
        <w:rPr>
          <w:rFonts w:hint="default"/>
          <w:sz w:val="22"/>
        </w:rPr>
      </w:pPr>
      <w:r>
        <w:rPr>
          <w:rFonts w:hint="eastAsia"/>
          <w:sz w:val="22"/>
        </w:rPr>
        <w:t>(</w:t>
      </w:r>
      <w:r>
        <w:rPr>
          <w:rFonts w:hint="eastAsia"/>
          <w:sz w:val="22"/>
        </w:rPr>
        <w:t>４</w:t>
      </w:r>
      <w:r>
        <w:rPr>
          <w:rFonts w:hint="eastAsia"/>
          <w:sz w:val="22"/>
        </w:rPr>
        <w:t>)</w:t>
      </w:r>
      <w:r>
        <w:rPr>
          <w:rFonts w:hint="default"/>
          <w:sz w:val="22"/>
        </w:rPr>
        <w:t>調査</w:t>
      </w:r>
      <w:r>
        <w:rPr>
          <w:rFonts w:hint="eastAsia"/>
          <w:sz w:val="22"/>
        </w:rPr>
        <w:t>期間</w:t>
      </w:r>
    </w:p>
    <w:p>
      <w:pPr>
        <w:pStyle w:val="124"/>
        <w:ind w:left="672" w:leftChars="300"/>
        <w:rPr>
          <w:rFonts w:hint="default"/>
          <w:sz w:val="21"/>
        </w:rPr>
      </w:pPr>
      <w:r>
        <w:rPr>
          <w:rFonts w:hint="eastAsia"/>
          <w:sz w:val="21"/>
        </w:rPr>
        <w:t>令和</w:t>
      </w:r>
      <w:r>
        <w:rPr>
          <w:rFonts w:hint="eastAsia"/>
          <w:sz w:val="21"/>
        </w:rPr>
        <w:t>5</w:t>
      </w:r>
      <w:r>
        <w:rPr>
          <w:rFonts w:hint="eastAsia"/>
          <w:sz w:val="21"/>
        </w:rPr>
        <w:t>年</w:t>
      </w:r>
      <w:r>
        <w:rPr>
          <w:rFonts w:hint="eastAsia"/>
          <w:sz w:val="21"/>
        </w:rPr>
        <w:t>9</w:t>
      </w:r>
      <w:r>
        <w:rPr>
          <w:rFonts w:hint="eastAsia"/>
          <w:sz w:val="21"/>
        </w:rPr>
        <w:t>月</w:t>
      </w:r>
      <w:r>
        <w:rPr>
          <w:rFonts w:hint="eastAsia"/>
          <w:sz w:val="21"/>
        </w:rPr>
        <w:t>21</w:t>
      </w:r>
      <w:r>
        <w:rPr>
          <w:rFonts w:hint="eastAsia"/>
          <w:sz w:val="21"/>
        </w:rPr>
        <w:t>日～令和</w:t>
      </w:r>
      <w:r>
        <w:rPr>
          <w:rFonts w:hint="eastAsia"/>
          <w:sz w:val="21"/>
        </w:rPr>
        <w:t>5</w:t>
      </w:r>
      <w:r>
        <w:rPr>
          <w:rFonts w:hint="eastAsia"/>
          <w:sz w:val="21"/>
        </w:rPr>
        <w:t>年</w:t>
      </w:r>
      <w:r>
        <w:rPr>
          <w:rFonts w:hint="eastAsia"/>
          <w:sz w:val="21"/>
        </w:rPr>
        <w:t>11</w:t>
      </w:r>
      <w:r>
        <w:rPr>
          <w:rFonts w:hint="eastAsia"/>
          <w:sz w:val="21"/>
        </w:rPr>
        <w:t>月</w:t>
      </w:r>
      <w:r>
        <w:rPr>
          <w:rFonts w:hint="eastAsia"/>
          <w:sz w:val="21"/>
        </w:rPr>
        <w:t>10</w:t>
      </w:r>
      <w:r>
        <w:rPr>
          <w:rFonts w:hint="eastAsia"/>
          <w:sz w:val="21"/>
        </w:rPr>
        <w:t>日</w:t>
      </w:r>
    </w:p>
    <w:p>
      <w:pPr>
        <w:pStyle w:val="124"/>
        <w:spacing w:line="0" w:lineRule="atLeast"/>
        <w:ind w:left="448" w:firstLine="164"/>
        <w:rPr>
          <w:rFonts w:hint="default"/>
          <w:color w:val="auto"/>
          <w:sz w:val="16"/>
        </w:rPr>
      </w:pPr>
    </w:p>
    <w:p>
      <w:pPr>
        <w:pStyle w:val="124"/>
        <w:spacing w:line="0" w:lineRule="atLeast"/>
        <w:ind w:left="448" w:firstLine="164"/>
        <w:rPr>
          <w:rFonts w:hint="default"/>
          <w:color w:val="auto"/>
          <w:sz w:val="16"/>
        </w:rPr>
      </w:pPr>
    </w:p>
    <w:p>
      <w:pPr>
        <w:pStyle w:val="200"/>
        <w:spacing w:after="70" w:afterLines="20" w:afterAutospacing="0"/>
        <w:ind w:left="448" w:leftChars="200"/>
        <w:rPr>
          <w:rFonts w:hint="default"/>
          <w:sz w:val="22"/>
        </w:rPr>
      </w:pPr>
      <w:r>
        <w:rPr>
          <w:rFonts w:hint="eastAsia"/>
          <w:sz w:val="22"/>
        </w:rPr>
        <w:t>(</w:t>
      </w:r>
      <w:r>
        <w:rPr>
          <w:rFonts w:hint="eastAsia"/>
          <w:sz w:val="22"/>
        </w:rPr>
        <w:t>５</w:t>
      </w:r>
      <w:r>
        <w:rPr>
          <w:rFonts w:hint="eastAsia"/>
          <w:sz w:val="22"/>
        </w:rPr>
        <w:t>)</w:t>
      </w:r>
      <w:r>
        <w:rPr>
          <w:rFonts w:hint="default"/>
          <w:sz w:val="22"/>
        </w:rPr>
        <w:t>配布・回収状況</w:t>
      </w:r>
    </w:p>
    <w:tbl>
      <w:tblPr>
        <w:tblStyle w:val="11"/>
        <w:tblW w:w="6449"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2269"/>
        <w:gridCol w:w="1446"/>
        <w:gridCol w:w="1530"/>
        <w:gridCol w:w="1204"/>
      </w:tblGrid>
      <w:tr>
        <w:trPr/>
        <w:tc>
          <w:tcPr>
            <w:tcW w:w="2269" w:type="dxa"/>
            <w:vAlign w:val="center"/>
          </w:tcPr>
          <w:p>
            <w:pPr>
              <w:pStyle w:val="0"/>
              <w:spacing w:before="17" w:beforeLines="5" w:beforeAutospacing="0" w:after="17" w:afterLines="5" w:afterAutospacing="0" w:line="0" w:lineRule="atLeast"/>
              <w:jc w:val="left"/>
              <w:rPr>
                <w:rFonts w:hint="default"/>
                <w:sz w:val="20"/>
              </w:rPr>
            </w:pPr>
          </w:p>
        </w:tc>
        <w:tc>
          <w:tcPr>
            <w:tcW w:w="1446" w:type="dxa"/>
            <w:vAlign w:val="center"/>
          </w:tcPr>
          <w:p>
            <w:pPr>
              <w:pStyle w:val="0"/>
              <w:spacing w:before="17" w:beforeLines="5" w:beforeAutospacing="0" w:after="17" w:afterLines="5" w:afterAutospacing="0" w:line="0" w:lineRule="atLeast"/>
              <w:jc w:val="center"/>
              <w:rPr>
                <w:rFonts w:hint="default"/>
                <w:sz w:val="20"/>
              </w:rPr>
            </w:pPr>
            <w:r>
              <w:rPr>
                <w:rFonts w:hint="eastAsia"/>
                <w:sz w:val="20"/>
              </w:rPr>
              <w:t>配布件数</w:t>
            </w:r>
          </w:p>
        </w:tc>
        <w:tc>
          <w:tcPr>
            <w:tcW w:w="1530" w:type="dxa"/>
            <w:vAlign w:val="center"/>
          </w:tcPr>
          <w:p>
            <w:pPr>
              <w:pStyle w:val="0"/>
              <w:spacing w:before="17" w:beforeLines="5" w:beforeAutospacing="0" w:after="17" w:afterLines="5" w:afterAutospacing="0" w:line="0" w:lineRule="atLeast"/>
              <w:jc w:val="center"/>
              <w:rPr>
                <w:rFonts w:hint="default"/>
                <w:sz w:val="20"/>
              </w:rPr>
            </w:pPr>
            <w:r>
              <w:rPr>
                <w:rFonts w:hint="eastAsia"/>
                <w:sz w:val="20"/>
              </w:rPr>
              <w:t>回収数</w:t>
            </w:r>
          </w:p>
        </w:tc>
        <w:tc>
          <w:tcPr>
            <w:tcW w:w="1204" w:type="dxa"/>
            <w:vAlign w:val="top"/>
          </w:tcPr>
          <w:p>
            <w:pPr>
              <w:pStyle w:val="0"/>
              <w:spacing w:before="17" w:beforeLines="5" w:beforeAutospacing="0" w:after="17" w:afterLines="5" w:afterAutospacing="0" w:line="0" w:lineRule="atLeast"/>
              <w:jc w:val="center"/>
              <w:rPr>
                <w:rFonts w:hint="default"/>
                <w:sz w:val="20"/>
              </w:rPr>
            </w:pPr>
            <w:r>
              <w:rPr>
                <w:rFonts w:hint="eastAsia"/>
                <w:sz w:val="20"/>
              </w:rPr>
              <w:t>回収率</w:t>
            </w:r>
          </w:p>
        </w:tc>
      </w:tr>
      <w:tr>
        <w:trPr/>
        <w:tc>
          <w:tcPr>
            <w:tcW w:w="2269" w:type="dxa"/>
            <w:shd w:val="clear" w:color="auto" w:fill="auto"/>
            <w:vAlign w:val="center"/>
          </w:tcPr>
          <w:p>
            <w:pPr>
              <w:pStyle w:val="0"/>
              <w:spacing w:before="17" w:beforeLines="5" w:beforeAutospacing="0" w:after="17" w:afterLines="5" w:afterAutospacing="0" w:line="0" w:lineRule="atLeast"/>
              <w:jc w:val="left"/>
              <w:rPr>
                <w:rFonts w:hint="default"/>
                <w:sz w:val="20"/>
              </w:rPr>
            </w:pPr>
            <w:r>
              <w:rPr>
                <w:rFonts w:hint="eastAsia"/>
                <w:color w:val="000000" w:themeColor="text1"/>
                <w:sz w:val="20"/>
              </w:rPr>
              <w:t>身体障がい者</w:t>
            </w:r>
          </w:p>
        </w:tc>
        <w:tc>
          <w:tcPr>
            <w:tcW w:w="1446" w:type="dxa"/>
            <w:shd w:val="clear" w:color="auto" w:fill="auto"/>
            <w:vAlign w:val="center"/>
          </w:tcPr>
          <w:p>
            <w:pPr>
              <w:pStyle w:val="0"/>
              <w:spacing w:before="17" w:beforeLines="5" w:beforeAutospacing="0" w:after="17" w:afterLines="5" w:afterAutospacing="0" w:line="0" w:lineRule="atLeast"/>
              <w:jc w:val="right"/>
              <w:rPr>
                <w:rFonts w:hint="default"/>
                <w:color w:val="000000"/>
                <w:sz w:val="20"/>
              </w:rPr>
            </w:pPr>
            <w:r>
              <w:rPr>
                <w:rFonts w:hint="default"/>
                <w:color w:val="000000" w:themeColor="text1"/>
                <w:sz w:val="20"/>
              </w:rPr>
              <w:t>477</w:t>
            </w:r>
            <w:r>
              <w:rPr>
                <w:rFonts w:hint="default"/>
                <w:color w:val="000000" w:themeColor="text1"/>
                <w:sz w:val="20"/>
              </w:rPr>
              <w:t>件</w:t>
            </w:r>
          </w:p>
        </w:tc>
        <w:tc>
          <w:tcPr>
            <w:tcW w:w="1530" w:type="dxa"/>
            <w:shd w:val="clear" w:color="auto" w:fill="auto"/>
            <w:vAlign w:val="center"/>
          </w:tcPr>
          <w:p>
            <w:pPr>
              <w:pStyle w:val="0"/>
              <w:spacing w:before="17" w:beforeLines="5" w:beforeAutospacing="0" w:after="17" w:afterLines="5" w:afterAutospacing="0" w:line="0" w:lineRule="atLeast"/>
              <w:jc w:val="right"/>
              <w:rPr>
                <w:rFonts w:hint="default"/>
                <w:color w:val="000000"/>
                <w:sz w:val="20"/>
              </w:rPr>
            </w:pPr>
            <w:r>
              <w:rPr>
                <w:rFonts w:hint="default"/>
                <w:color w:val="000000" w:themeColor="text1"/>
                <w:sz w:val="20"/>
              </w:rPr>
              <w:t>180</w:t>
            </w:r>
            <w:r>
              <w:rPr>
                <w:rFonts w:hint="default"/>
                <w:color w:val="000000" w:themeColor="text1"/>
                <w:sz w:val="20"/>
              </w:rPr>
              <w:t>件</w:t>
            </w:r>
          </w:p>
        </w:tc>
        <w:tc>
          <w:tcPr>
            <w:tcW w:w="1204" w:type="dxa"/>
            <w:shd w:val="clear" w:color="auto" w:fill="auto"/>
            <w:vAlign w:val="center"/>
          </w:tcPr>
          <w:p>
            <w:pPr>
              <w:pStyle w:val="0"/>
              <w:spacing w:before="17" w:beforeLines="5" w:beforeAutospacing="0" w:after="17" w:afterLines="5" w:afterAutospacing="0" w:line="0" w:lineRule="atLeast"/>
              <w:jc w:val="right"/>
              <w:rPr>
                <w:rFonts w:hint="default"/>
                <w:color w:val="000000"/>
                <w:sz w:val="20"/>
              </w:rPr>
            </w:pPr>
            <w:r>
              <w:rPr>
                <w:rFonts w:hint="default"/>
                <w:color w:val="000000" w:themeColor="text1"/>
                <w:sz w:val="20"/>
              </w:rPr>
              <w:t>37.7</w:t>
            </w:r>
            <w:r>
              <w:rPr>
                <w:rFonts w:hint="default"/>
                <w:color w:val="000000" w:themeColor="text1"/>
                <w:sz w:val="20"/>
              </w:rPr>
              <w:t>％</w:t>
            </w:r>
          </w:p>
        </w:tc>
      </w:tr>
      <w:tr>
        <w:trPr/>
        <w:tc>
          <w:tcPr>
            <w:tcW w:w="2269" w:type="dxa"/>
            <w:shd w:val="clear" w:color="auto" w:fill="auto"/>
            <w:vAlign w:val="center"/>
          </w:tcPr>
          <w:p>
            <w:pPr>
              <w:pStyle w:val="0"/>
              <w:spacing w:before="17" w:beforeLines="5" w:beforeAutospacing="0" w:after="17" w:afterLines="5" w:afterAutospacing="0" w:line="0" w:lineRule="atLeast"/>
              <w:jc w:val="left"/>
              <w:rPr>
                <w:rFonts w:hint="default"/>
                <w:color w:val="000000" w:themeColor="text1"/>
                <w:sz w:val="20"/>
              </w:rPr>
            </w:pPr>
            <w:r>
              <w:rPr>
                <w:rFonts w:hint="eastAsia"/>
                <w:sz w:val="20"/>
              </w:rPr>
              <w:t>知的障がい者</w:t>
            </w:r>
          </w:p>
        </w:tc>
        <w:tc>
          <w:tcPr>
            <w:tcW w:w="1446" w:type="dxa"/>
            <w:shd w:val="clear" w:color="auto" w:fill="auto"/>
            <w:vAlign w:val="center"/>
          </w:tcPr>
          <w:p>
            <w:pPr>
              <w:pStyle w:val="0"/>
              <w:spacing w:before="17" w:beforeLines="5" w:beforeAutospacing="0" w:after="17" w:afterLines="5" w:afterAutospacing="0" w:line="0" w:lineRule="atLeast"/>
              <w:jc w:val="right"/>
              <w:rPr>
                <w:rFonts w:hint="default"/>
                <w:color w:val="000000" w:themeColor="text1"/>
                <w:sz w:val="20"/>
              </w:rPr>
            </w:pPr>
            <w:r>
              <w:rPr>
                <w:rFonts w:hint="default"/>
                <w:color w:val="000000" w:themeColor="text1"/>
                <w:sz w:val="20"/>
              </w:rPr>
              <w:t>211</w:t>
            </w:r>
            <w:r>
              <w:rPr>
                <w:rFonts w:hint="default"/>
                <w:color w:val="000000" w:themeColor="text1"/>
                <w:sz w:val="20"/>
              </w:rPr>
              <w:t>件</w:t>
            </w:r>
          </w:p>
        </w:tc>
        <w:tc>
          <w:tcPr>
            <w:tcW w:w="1530" w:type="dxa"/>
            <w:shd w:val="clear" w:color="auto" w:fill="auto"/>
            <w:vAlign w:val="center"/>
          </w:tcPr>
          <w:p>
            <w:pPr>
              <w:pStyle w:val="0"/>
              <w:spacing w:before="17" w:beforeLines="5" w:beforeAutospacing="0" w:after="17" w:afterLines="5" w:afterAutospacing="0" w:line="0" w:lineRule="atLeast"/>
              <w:jc w:val="right"/>
              <w:rPr>
                <w:rFonts w:hint="default"/>
                <w:color w:val="000000" w:themeColor="text1"/>
                <w:sz w:val="20"/>
              </w:rPr>
            </w:pPr>
            <w:r>
              <w:rPr>
                <w:rFonts w:hint="default"/>
                <w:color w:val="000000" w:themeColor="text1"/>
                <w:sz w:val="20"/>
              </w:rPr>
              <w:t>72</w:t>
            </w:r>
            <w:r>
              <w:rPr>
                <w:rFonts w:hint="default"/>
                <w:color w:val="000000" w:themeColor="text1"/>
                <w:sz w:val="20"/>
              </w:rPr>
              <w:t>件</w:t>
            </w:r>
          </w:p>
        </w:tc>
        <w:tc>
          <w:tcPr>
            <w:tcW w:w="1204" w:type="dxa"/>
            <w:shd w:val="clear" w:color="auto" w:fill="auto"/>
            <w:vAlign w:val="center"/>
          </w:tcPr>
          <w:p>
            <w:pPr>
              <w:pStyle w:val="0"/>
              <w:spacing w:before="17" w:beforeLines="5" w:beforeAutospacing="0" w:after="17" w:afterLines="5" w:afterAutospacing="0" w:line="0" w:lineRule="atLeast"/>
              <w:jc w:val="right"/>
              <w:rPr>
                <w:rFonts w:hint="default"/>
                <w:color w:val="000000" w:themeColor="text1"/>
                <w:sz w:val="20"/>
              </w:rPr>
            </w:pPr>
            <w:r>
              <w:rPr>
                <w:rFonts w:hint="default"/>
                <w:color w:val="000000" w:themeColor="text1"/>
                <w:sz w:val="20"/>
              </w:rPr>
              <w:t>34.1</w:t>
            </w:r>
            <w:r>
              <w:rPr>
                <w:rFonts w:hint="default"/>
                <w:color w:val="000000" w:themeColor="text1"/>
                <w:sz w:val="20"/>
              </w:rPr>
              <w:t>％</w:t>
            </w:r>
          </w:p>
        </w:tc>
      </w:tr>
      <w:tr>
        <w:trPr/>
        <w:tc>
          <w:tcPr>
            <w:tcW w:w="2269" w:type="dxa"/>
            <w:shd w:val="clear" w:color="auto" w:fill="auto"/>
            <w:vAlign w:val="center"/>
          </w:tcPr>
          <w:p>
            <w:pPr>
              <w:pStyle w:val="0"/>
              <w:spacing w:before="17" w:beforeLines="5" w:beforeAutospacing="0" w:after="17" w:afterLines="5" w:afterAutospacing="0" w:line="0" w:lineRule="atLeast"/>
              <w:jc w:val="left"/>
              <w:rPr>
                <w:rFonts w:hint="default"/>
                <w:color w:val="000000" w:themeColor="text1"/>
                <w:sz w:val="20"/>
              </w:rPr>
            </w:pPr>
            <w:r>
              <w:rPr>
                <w:rFonts w:hint="eastAsia"/>
                <w:color w:val="000000" w:themeColor="text1"/>
                <w:sz w:val="20"/>
              </w:rPr>
              <w:t>精神障がい者</w:t>
            </w:r>
          </w:p>
        </w:tc>
        <w:tc>
          <w:tcPr>
            <w:tcW w:w="1446" w:type="dxa"/>
            <w:shd w:val="clear" w:color="auto" w:fill="auto"/>
            <w:vAlign w:val="center"/>
          </w:tcPr>
          <w:p>
            <w:pPr>
              <w:pStyle w:val="0"/>
              <w:spacing w:before="17" w:beforeLines="5" w:beforeAutospacing="0" w:after="17" w:afterLines="5" w:afterAutospacing="0" w:line="0" w:lineRule="atLeast"/>
              <w:jc w:val="right"/>
              <w:rPr>
                <w:rFonts w:hint="default"/>
                <w:color w:val="000000" w:themeColor="text1"/>
                <w:sz w:val="20"/>
              </w:rPr>
            </w:pPr>
            <w:r>
              <w:rPr>
                <w:rFonts w:hint="default"/>
                <w:color w:val="000000" w:themeColor="text1"/>
                <w:sz w:val="20"/>
              </w:rPr>
              <w:t>364</w:t>
            </w:r>
            <w:r>
              <w:rPr>
                <w:rFonts w:hint="default"/>
                <w:color w:val="000000" w:themeColor="text1"/>
                <w:sz w:val="20"/>
              </w:rPr>
              <w:t>件</w:t>
            </w:r>
          </w:p>
        </w:tc>
        <w:tc>
          <w:tcPr>
            <w:tcW w:w="1530" w:type="dxa"/>
            <w:shd w:val="clear" w:color="auto" w:fill="auto"/>
            <w:vAlign w:val="center"/>
          </w:tcPr>
          <w:p>
            <w:pPr>
              <w:pStyle w:val="0"/>
              <w:spacing w:before="17" w:beforeLines="5" w:beforeAutospacing="0" w:after="17" w:afterLines="5" w:afterAutospacing="0" w:line="0" w:lineRule="atLeast"/>
              <w:jc w:val="right"/>
              <w:rPr>
                <w:rFonts w:hint="default"/>
                <w:color w:val="000000" w:themeColor="text1"/>
                <w:sz w:val="20"/>
              </w:rPr>
            </w:pPr>
            <w:r>
              <w:rPr>
                <w:rFonts w:hint="default"/>
                <w:color w:val="000000" w:themeColor="text1"/>
                <w:sz w:val="20"/>
              </w:rPr>
              <w:t>149</w:t>
            </w:r>
            <w:r>
              <w:rPr>
                <w:rFonts w:hint="default"/>
                <w:color w:val="000000" w:themeColor="text1"/>
                <w:sz w:val="20"/>
              </w:rPr>
              <w:t>件</w:t>
            </w:r>
          </w:p>
        </w:tc>
        <w:tc>
          <w:tcPr>
            <w:tcW w:w="1204" w:type="dxa"/>
            <w:shd w:val="clear" w:color="auto" w:fill="auto"/>
            <w:vAlign w:val="center"/>
          </w:tcPr>
          <w:p>
            <w:pPr>
              <w:pStyle w:val="0"/>
              <w:spacing w:before="17" w:beforeLines="5" w:beforeAutospacing="0" w:after="17" w:afterLines="5" w:afterAutospacing="0" w:line="0" w:lineRule="atLeast"/>
              <w:jc w:val="right"/>
              <w:rPr>
                <w:rFonts w:hint="default"/>
                <w:color w:val="000000" w:themeColor="text1"/>
                <w:sz w:val="20"/>
              </w:rPr>
            </w:pPr>
            <w:r>
              <w:rPr>
                <w:rFonts w:hint="default"/>
                <w:color w:val="000000" w:themeColor="text1"/>
                <w:sz w:val="20"/>
              </w:rPr>
              <w:t>40.9</w:t>
            </w:r>
            <w:r>
              <w:rPr>
                <w:rFonts w:hint="default"/>
                <w:color w:val="000000" w:themeColor="text1"/>
                <w:sz w:val="20"/>
              </w:rPr>
              <w:t>％</w:t>
            </w:r>
          </w:p>
        </w:tc>
      </w:tr>
      <w:tr>
        <w:trPr/>
        <w:tc>
          <w:tcPr>
            <w:tcW w:w="2269" w:type="dxa"/>
            <w:shd w:val="clear" w:color="auto" w:fill="auto"/>
            <w:vAlign w:val="center"/>
          </w:tcPr>
          <w:p>
            <w:pPr>
              <w:pStyle w:val="0"/>
              <w:spacing w:before="17" w:beforeLines="5" w:beforeAutospacing="0" w:after="17" w:afterLines="5" w:afterAutospacing="0" w:line="0" w:lineRule="atLeast"/>
              <w:jc w:val="left"/>
              <w:rPr>
                <w:rFonts w:hint="default"/>
                <w:sz w:val="20"/>
              </w:rPr>
            </w:pPr>
            <w:r>
              <w:rPr>
                <w:rFonts w:hint="eastAsia"/>
                <w:sz w:val="20"/>
              </w:rPr>
              <w:t>障がい児</w:t>
            </w:r>
          </w:p>
        </w:tc>
        <w:tc>
          <w:tcPr>
            <w:tcW w:w="1446" w:type="dxa"/>
            <w:shd w:val="clear" w:color="auto" w:fill="auto"/>
            <w:vAlign w:val="center"/>
          </w:tcPr>
          <w:p>
            <w:pPr>
              <w:pStyle w:val="0"/>
              <w:spacing w:before="17" w:beforeLines="5" w:beforeAutospacing="0" w:after="17" w:afterLines="5" w:afterAutospacing="0" w:line="0" w:lineRule="atLeast"/>
              <w:jc w:val="right"/>
              <w:rPr>
                <w:rFonts w:hint="default"/>
                <w:color w:val="000000"/>
                <w:sz w:val="20"/>
              </w:rPr>
            </w:pPr>
            <w:r>
              <w:rPr>
                <w:rFonts w:hint="default"/>
                <w:color w:val="000000" w:themeColor="text1"/>
                <w:sz w:val="20"/>
              </w:rPr>
              <w:t>316</w:t>
            </w:r>
            <w:r>
              <w:rPr>
                <w:rFonts w:hint="default"/>
                <w:color w:val="000000" w:themeColor="text1"/>
                <w:sz w:val="20"/>
              </w:rPr>
              <w:t>件</w:t>
            </w:r>
          </w:p>
        </w:tc>
        <w:tc>
          <w:tcPr>
            <w:tcW w:w="1530" w:type="dxa"/>
            <w:shd w:val="clear" w:color="auto" w:fill="auto"/>
            <w:vAlign w:val="center"/>
          </w:tcPr>
          <w:p>
            <w:pPr>
              <w:pStyle w:val="0"/>
              <w:spacing w:before="17" w:beforeLines="5" w:beforeAutospacing="0" w:after="17" w:afterLines="5" w:afterAutospacing="0" w:line="0" w:lineRule="atLeast"/>
              <w:jc w:val="right"/>
              <w:rPr>
                <w:rFonts w:hint="default"/>
                <w:color w:val="000000"/>
                <w:sz w:val="20"/>
              </w:rPr>
            </w:pPr>
            <w:r>
              <w:rPr>
                <w:rFonts w:hint="default"/>
                <w:color w:val="000000" w:themeColor="text1"/>
                <w:sz w:val="20"/>
              </w:rPr>
              <w:t>153</w:t>
            </w:r>
            <w:r>
              <w:rPr>
                <w:rFonts w:hint="default"/>
                <w:color w:val="000000" w:themeColor="text1"/>
                <w:sz w:val="20"/>
              </w:rPr>
              <w:t>件</w:t>
            </w:r>
          </w:p>
        </w:tc>
        <w:tc>
          <w:tcPr>
            <w:tcW w:w="1204" w:type="dxa"/>
            <w:shd w:val="clear" w:color="auto" w:fill="auto"/>
            <w:vAlign w:val="center"/>
          </w:tcPr>
          <w:p>
            <w:pPr>
              <w:pStyle w:val="0"/>
              <w:spacing w:before="17" w:beforeLines="5" w:beforeAutospacing="0" w:after="17" w:afterLines="5" w:afterAutospacing="0" w:line="0" w:lineRule="atLeast"/>
              <w:jc w:val="right"/>
              <w:rPr>
                <w:rFonts w:hint="default"/>
                <w:color w:val="000000"/>
                <w:sz w:val="20"/>
              </w:rPr>
            </w:pPr>
            <w:r>
              <w:rPr>
                <w:rFonts w:hint="default"/>
                <w:color w:val="000000" w:themeColor="text1"/>
                <w:sz w:val="20"/>
              </w:rPr>
              <w:t>48.4</w:t>
            </w:r>
            <w:r>
              <w:rPr>
                <w:rFonts w:hint="default"/>
                <w:color w:val="000000" w:themeColor="text1"/>
                <w:sz w:val="20"/>
              </w:rPr>
              <w:t>％</w:t>
            </w:r>
          </w:p>
        </w:tc>
      </w:tr>
      <w:tr>
        <w:trPr/>
        <w:tc>
          <w:tcPr>
            <w:tcW w:w="2269" w:type="dxa"/>
            <w:shd w:val="clear" w:color="auto" w:fill="auto"/>
            <w:vAlign w:val="top"/>
          </w:tcPr>
          <w:p>
            <w:pPr>
              <w:pStyle w:val="0"/>
              <w:spacing w:before="17" w:beforeLines="5" w:beforeAutospacing="0" w:after="17" w:afterLines="5" w:afterAutospacing="0" w:line="0" w:lineRule="atLeast"/>
              <w:jc w:val="center"/>
              <w:rPr>
                <w:rFonts w:hint="default"/>
                <w:sz w:val="20"/>
              </w:rPr>
            </w:pPr>
            <w:r>
              <w:rPr>
                <w:rFonts w:hint="eastAsia"/>
                <w:sz w:val="20"/>
              </w:rPr>
              <w:t>合　　計</w:t>
            </w:r>
          </w:p>
        </w:tc>
        <w:tc>
          <w:tcPr>
            <w:tcW w:w="1446" w:type="dxa"/>
            <w:vAlign w:val="center"/>
          </w:tcPr>
          <w:p>
            <w:pPr>
              <w:pStyle w:val="0"/>
              <w:spacing w:before="17" w:beforeLines="5" w:beforeAutospacing="0" w:after="17" w:afterLines="5" w:afterAutospacing="0" w:line="0" w:lineRule="atLeast"/>
              <w:jc w:val="right"/>
              <w:rPr>
                <w:rFonts w:hint="default"/>
                <w:sz w:val="20"/>
              </w:rPr>
            </w:pPr>
            <w:r>
              <w:rPr>
                <w:rFonts w:hint="default"/>
                <w:color w:val="000000" w:themeColor="text1"/>
                <w:sz w:val="20"/>
              </w:rPr>
              <w:t>1,368</w:t>
            </w:r>
            <w:r>
              <w:rPr>
                <w:rFonts w:hint="default"/>
                <w:color w:val="000000" w:themeColor="text1"/>
                <w:sz w:val="20"/>
              </w:rPr>
              <w:t>件</w:t>
            </w:r>
          </w:p>
        </w:tc>
        <w:tc>
          <w:tcPr>
            <w:tcW w:w="1530" w:type="dxa"/>
            <w:vAlign w:val="center"/>
          </w:tcPr>
          <w:p>
            <w:pPr>
              <w:pStyle w:val="0"/>
              <w:spacing w:before="17" w:beforeLines="5" w:beforeAutospacing="0" w:after="17" w:afterLines="5" w:afterAutospacing="0" w:line="0" w:lineRule="atLeast"/>
              <w:jc w:val="right"/>
              <w:rPr>
                <w:rFonts w:hint="default"/>
                <w:sz w:val="20"/>
              </w:rPr>
            </w:pPr>
            <w:r>
              <w:rPr>
                <w:rFonts w:hint="default"/>
                <w:color w:val="000000" w:themeColor="text1"/>
                <w:sz w:val="20"/>
              </w:rPr>
              <w:t>554</w:t>
            </w:r>
            <w:r>
              <w:rPr>
                <w:rFonts w:hint="default"/>
                <w:color w:val="000000" w:themeColor="text1"/>
                <w:sz w:val="20"/>
              </w:rPr>
              <w:t>件</w:t>
            </w:r>
          </w:p>
        </w:tc>
        <w:tc>
          <w:tcPr>
            <w:tcW w:w="1204" w:type="dxa"/>
            <w:vAlign w:val="center"/>
          </w:tcPr>
          <w:p>
            <w:pPr>
              <w:pStyle w:val="0"/>
              <w:spacing w:before="17" w:beforeLines="5" w:beforeAutospacing="0" w:after="17" w:afterLines="5" w:afterAutospacing="0" w:line="0" w:lineRule="atLeast"/>
              <w:jc w:val="right"/>
              <w:rPr>
                <w:rFonts w:hint="default"/>
                <w:color w:val="000000" w:themeColor="text1"/>
                <w:sz w:val="20"/>
              </w:rPr>
            </w:pPr>
            <w:r>
              <w:rPr>
                <w:rFonts w:hint="default"/>
                <w:color w:val="000000" w:themeColor="text1"/>
                <w:sz w:val="20"/>
              </w:rPr>
              <w:t>40.5</w:t>
            </w:r>
            <w:r>
              <w:rPr>
                <w:rFonts w:hint="default"/>
                <w:color w:val="000000" w:themeColor="text1"/>
                <w:sz w:val="20"/>
              </w:rPr>
              <w:t>％</w:t>
            </w:r>
          </w:p>
        </w:tc>
      </w:tr>
    </w:tbl>
    <w:p>
      <w:pPr>
        <w:pStyle w:val="0"/>
        <w:rPr>
          <w:rFonts w:hint="default"/>
        </w:rPr>
      </w:pPr>
    </w:p>
    <w:p>
      <w:pPr>
        <w:pStyle w:val="0"/>
        <w:widowControl w:val="1"/>
        <w:jc w:val="left"/>
        <w:rPr>
          <w:rFonts w:hint="default"/>
          <w:color w:val="FFFFFF"/>
        </w:rPr>
      </w:pPr>
      <w:r>
        <w:rPr>
          <w:rFonts w:hint="default"/>
          <w:color w:val="FFFFFF"/>
        </w:rPr>
        <w:br w:type="page"/>
      </w:r>
    </w:p>
    <w:p>
      <w:pPr>
        <w:pStyle w:val="125"/>
        <w:spacing w:after="70" w:afterLines="20" w:afterAutospacing="0"/>
        <w:ind w:left="336" w:leftChars="150"/>
        <w:outlineLvl w:val="2"/>
        <w:rPr>
          <w:rFonts w:hint="default"/>
        </w:rPr>
      </w:pPr>
      <w:r>
        <w:rPr>
          <w:rFonts w:hint="eastAsia"/>
        </w:rPr>
        <w:t>【障がい者調査結果】</w:t>
      </w:r>
    </w:p>
    <w:p>
      <w:pPr>
        <w:pStyle w:val="303"/>
        <w:spacing w:after="74" w:afterLines="0" w:afterAutospacing="0"/>
        <w:ind w:left="560"/>
        <w:rPr>
          <w:rFonts w:hint="default"/>
        </w:rPr>
      </w:pPr>
      <w:bookmarkEnd w:id="376"/>
      <w:bookmarkStart w:id="377" w:name="_Toc52552072"/>
      <w:bookmarkStart w:id="378" w:name="_Toc52987272"/>
      <w:r>
        <w:rPr>
          <w:rFonts w:hint="eastAsia"/>
        </w:rPr>
        <w:t>１．障害者手帳の</w:t>
      </w:r>
      <w:bookmarkEnd w:id="377"/>
      <w:r>
        <w:rPr>
          <w:rFonts w:hint="eastAsia"/>
        </w:rPr>
        <w:t>種類</w:t>
      </w:r>
      <w:bookmarkEnd w:id="378"/>
    </w:p>
    <w:p>
      <w:pPr>
        <w:pStyle w:val="302"/>
        <w:rPr>
          <w:rFonts w:hint="default"/>
        </w:rPr>
      </w:pPr>
      <w:r>
        <w:rPr>
          <w:rFonts w:hint="eastAsia"/>
        </w:rPr>
        <w:t>●「身体障害者手帳」のみが</w:t>
      </w:r>
      <w:r>
        <w:rPr>
          <w:rFonts w:hint="eastAsia"/>
        </w:rPr>
        <w:t>44.4</w:t>
      </w:r>
      <w:r>
        <w:rPr>
          <w:rFonts w:hint="default"/>
        </w:rPr>
        <w:t>％と最も</w:t>
      </w:r>
      <w:r>
        <w:rPr>
          <w:rFonts w:hint="eastAsia"/>
        </w:rPr>
        <w:t>高く、次に「精神保健福祉手帳」のみが</w:t>
      </w:r>
      <w:r>
        <w:rPr>
          <w:rFonts w:hint="eastAsia"/>
        </w:rPr>
        <w:t>22.9</w:t>
      </w:r>
      <w:r>
        <w:rPr>
          <w:rFonts w:hint="eastAsia"/>
        </w:rPr>
        <w:t>％となる。</w:t>
      </w:r>
    </w:p>
    <w:p>
      <w:pPr>
        <w:pStyle w:val="302"/>
        <w:rPr>
          <w:rFonts w:hint="default"/>
        </w:rPr>
      </w:pPr>
      <w:r>
        <w:rPr>
          <w:rFonts w:hint="eastAsia"/>
        </w:rPr>
        <w:t>●複数の手帳を所持する「手帳重複」が</w:t>
      </w:r>
      <w:r>
        <w:rPr>
          <w:rFonts w:hint="eastAsia"/>
        </w:rPr>
        <w:t>17.5</w:t>
      </w:r>
      <w:r>
        <w:rPr>
          <w:rFonts w:hint="eastAsia"/>
        </w:rPr>
        <w:t>％となる。</w:t>
      </w:r>
    </w:p>
    <w:p>
      <w:pPr>
        <w:pStyle w:val="302"/>
        <w:ind w:left="876" w:hanging="204"/>
        <w:rPr>
          <w:rFonts w:hint="default"/>
        </w:rPr>
      </w:pPr>
      <w:r>
        <w:rPr>
          <w:rFonts w:hint="default"/>
        </w:rPr>
        <mc:AlternateContent>
          <mc:Choice Requires="wps">
            <w:drawing>
              <wp:anchor distT="0" distB="0" distL="114300" distR="114300" simplePos="0" relativeHeight="317" behindDoc="0" locked="1" layoutInCell="1" hidden="0" allowOverlap="1">
                <wp:simplePos x="0" y="0"/>
                <wp:positionH relativeFrom="column">
                  <wp:posOffset>2764790</wp:posOffset>
                </wp:positionH>
                <wp:positionV relativeFrom="paragraph">
                  <wp:posOffset>3781425</wp:posOffset>
                </wp:positionV>
                <wp:extent cx="1974850" cy="228600"/>
                <wp:effectExtent l="0" t="0" r="635" b="635"/>
                <wp:wrapNone/>
                <wp:docPr id="1268" name="テキスト ボックス 143"/>
                <a:graphic xmlns:a="http://schemas.openxmlformats.org/drawingml/2006/main">
                  <a:graphicData uri="http://schemas.microsoft.com/office/word/2010/wordprocessingShape">
                    <wps:wsp>
                      <wps:cNvPr id="1268" name="テキスト ボックス 143"/>
                      <wps:cNvSpPr txBox="1"/>
                      <wps:spPr>
                        <a:xfrm>
                          <a:off x="0" y="0"/>
                          <a:ext cx="19748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身体障がいの内訳</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3" style="mso-wrap-distance-right:9pt;mso-wrap-distance-bottom:0pt;margin-top:297.75pt;mso-position-vertical-relative:text;mso-position-horizontal-relative:text;v-text-anchor:middle;position:absolute;height:18pt;mso-wrap-distance-top:0pt;width:155.5pt;mso-wrap-distance-left:9pt;margin-left:217.7pt;z-index:317;" o:spid="_x0000_s1268"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身体障がいの内訳</w:t>
                      </w:r>
                    </w:p>
                  </w:txbxContent>
                </v:textbox>
                <v:imagedata o:title=""/>
                <w10:wrap type="none" anchorx="text" anchory="text"/>
                <w10:anchorlock/>
              </v:shape>
            </w:pict>
          </mc:Fallback>
        </mc:AlternateContent>
      </w:r>
      <w:r>
        <w:rPr>
          <w:rFonts w:hint="default"/>
        </w:rPr>
        <w:drawing>
          <wp:anchor distT="0" distB="0" distL="114300" distR="114300" simplePos="0" relativeHeight="301" behindDoc="0" locked="0" layoutInCell="1" hidden="0" allowOverlap="1">
            <wp:simplePos x="0" y="0"/>
            <wp:positionH relativeFrom="column">
              <wp:posOffset>921385</wp:posOffset>
            </wp:positionH>
            <wp:positionV relativeFrom="paragraph">
              <wp:posOffset>213995</wp:posOffset>
            </wp:positionV>
            <wp:extent cx="2463165" cy="2499360"/>
            <wp:effectExtent l="0" t="0" r="0" b="0"/>
            <wp:wrapNone/>
            <wp:docPr id="1269" name="手帳の重複_円南風原町障がい全体"/>
            <a:graphic xmlns:a="http://schemas.openxmlformats.org/drawingml/2006/main">
              <a:graphicData uri="http://schemas.openxmlformats.org/drawingml/2006/picture">
                <pic:pic xmlns:pic="http://schemas.openxmlformats.org/drawingml/2006/picture">
                  <pic:nvPicPr>
                    <pic:cNvPr id="1269" name="手帳の重複_円南風原町障がい全体"/>
                    <pic:cNvPicPr>
                      <a:picLocks noChangeAspect="1" noChangeArrowheads="1"/>
                    </pic:cNvPicPr>
                  </pic:nvPicPr>
                  <pic:blipFill>
                    <a:blip r:embed="rId17"/>
                    <a:srcRect l="11154" t="14764" r="15668" b="29416"/>
                    <a:stretch>
                      <a:fillRect/>
                    </a:stretch>
                  </pic:blipFill>
                  <pic:spPr>
                    <a:xfrm>
                      <a:off x="0" y="0"/>
                      <a:ext cx="2463165" cy="2499360"/>
                    </a:xfrm>
                    <a:prstGeom prst="rect">
                      <a:avLst/>
                    </a:prstGeom>
                    <a:noFill/>
                    <a:ln>
                      <a:noFill/>
                    </a:ln>
                  </pic:spPr>
                </pic:pic>
              </a:graphicData>
            </a:graphic>
          </wp:anchor>
        </w:drawing>
      </w:r>
      <w:r>
        <w:rPr>
          <w:rFonts w:hint="default"/>
        </w:rPr>
        <mc:AlternateContent>
          <mc:Choice Requires="wps">
            <w:drawing>
              <wp:anchor distT="0" distB="0" distL="114300" distR="114300" simplePos="0" relativeHeight="302" behindDoc="0" locked="1" layoutInCell="1" hidden="0" allowOverlap="1">
                <wp:simplePos x="0" y="0"/>
                <wp:positionH relativeFrom="column">
                  <wp:posOffset>3819525</wp:posOffset>
                </wp:positionH>
                <wp:positionV relativeFrom="paragraph">
                  <wp:posOffset>655320</wp:posOffset>
                </wp:positionV>
                <wp:extent cx="2051050" cy="228600"/>
                <wp:effectExtent l="0" t="0" r="635" b="635"/>
                <wp:wrapNone/>
                <wp:docPr id="1270" name="テキスト ボックス 132"/>
                <a:graphic xmlns:a="http://schemas.openxmlformats.org/drawingml/2006/main">
                  <a:graphicData uri="http://schemas.microsoft.com/office/word/2010/wordprocessingShape">
                    <wps:wsp>
                      <wps:cNvPr id="1270" name="テキスト ボックス 132"/>
                      <wps:cNvSpPr txBox="1"/>
                      <wps:spPr>
                        <a:xfrm>
                          <a:off x="0" y="0"/>
                          <a:ext cx="20510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障害者手帳重複者</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32" style="mso-wrap-distance-right:9pt;mso-wrap-distance-bottom:0pt;margin-top:51.6pt;mso-position-vertical-relative:text;mso-position-horizontal-relative:text;v-text-anchor:middle;position:absolute;height:18pt;mso-wrap-distance-top:0pt;width:161.5pt;mso-wrap-distance-left:9pt;margin-left:300.75pt;z-index:302;" o:spid="_x0000_s1270"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障害者手帳重複者</w:t>
                      </w:r>
                    </w:p>
                  </w:txbxContent>
                </v:textbox>
                <v:imagedata o:title=""/>
                <w10:wrap type="none" anchorx="text" anchory="text"/>
                <w10:anchorlock/>
              </v:shape>
            </w:pict>
          </mc:Fallback>
        </mc:AlternateContent>
      </w:r>
      <w:r>
        <w:rPr>
          <w:rFonts w:hint="default"/>
        </w:rPr>
        <mc:AlternateContent>
          <mc:Choice Requires="wps">
            <w:drawing>
              <wp:anchor distT="0" distB="0" distL="114300" distR="114300" simplePos="0" relativeHeight="303" behindDoc="0" locked="1" layoutInCell="1" hidden="0" allowOverlap="1">
                <wp:simplePos x="0" y="0"/>
                <wp:positionH relativeFrom="column">
                  <wp:posOffset>1438275</wp:posOffset>
                </wp:positionH>
                <wp:positionV relativeFrom="paragraph">
                  <wp:posOffset>99060</wp:posOffset>
                </wp:positionV>
                <wp:extent cx="1497330" cy="228600"/>
                <wp:effectExtent l="0" t="0" r="635" b="635"/>
                <wp:wrapNone/>
                <wp:docPr id="1271" name="テキスト ボックス 143"/>
                <a:graphic xmlns:a="http://schemas.openxmlformats.org/drawingml/2006/main">
                  <a:graphicData uri="http://schemas.microsoft.com/office/word/2010/wordprocessingShape">
                    <wps:wsp>
                      <wps:cNvPr id="1271" name="テキスト ボックス 143"/>
                      <wps:cNvSpPr txBox="1"/>
                      <wps:spPr>
                        <a:xfrm>
                          <a:off x="0" y="0"/>
                          <a:ext cx="149733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障害者手帳の所持状況</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3" style="mso-wrap-distance-right:9pt;mso-wrap-distance-bottom:0pt;margin-top:7.8pt;mso-position-vertical-relative:text;mso-position-horizontal-relative:text;v-text-anchor:middle;position:absolute;height:18pt;mso-wrap-distance-top:0pt;width:117.9pt;mso-wrap-distance-left:9pt;margin-left:113.25pt;z-index:303;" o:spid="_x0000_s1271"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障害者手帳の所持状況</w:t>
                      </w:r>
                    </w:p>
                  </w:txbxContent>
                </v:textbox>
                <v:imagedata o:title=""/>
                <w10:wrap type="none" anchorx="text" anchory="text"/>
                <w10:anchorlock/>
              </v:shape>
            </w:pict>
          </mc:Fallback>
        </mc:AlternateContent>
      </w:r>
    </w:p>
    <w:p>
      <w:pPr>
        <w:pStyle w:val="302"/>
        <w:rPr>
          <w:rFonts w:hint="default"/>
        </w:rPr>
      </w:pPr>
      <w:r>
        <w:rPr>
          <w:rFonts w:hint="default"/>
        </w:rPr>
        <w:t xml:space="preserve"> </w:t>
      </w:r>
    </w:p>
    <w:p>
      <w:pPr>
        <w:pStyle w:val="302"/>
        <w:rPr>
          <w:rFonts w:hint="default"/>
        </w:rPr>
      </w:pPr>
    </w:p>
    <w:p>
      <w:pPr>
        <w:pStyle w:val="302"/>
        <w:rPr>
          <w:rFonts w:hint="default"/>
        </w:rPr>
      </w:pPr>
    </w:p>
    <w:p>
      <w:pPr>
        <w:pStyle w:val="302"/>
        <w:ind w:left="876" w:hanging="204"/>
        <w:rPr>
          <w:rFonts w:hint="default"/>
        </w:rPr>
      </w:pPr>
      <w:r>
        <w:rPr>
          <w:rFonts w:hint="default"/>
        </w:rPr>
        <mc:AlternateContent>
          <mc:Choice Requires="wps">
            <w:drawing>
              <wp:anchor distT="0" distB="0" distL="114300" distR="114300" simplePos="0" relativeHeight="304" behindDoc="0" locked="0" layoutInCell="1" hidden="0" allowOverlap="1">
                <wp:simplePos x="0" y="0"/>
                <wp:positionH relativeFrom="column">
                  <wp:posOffset>3230880</wp:posOffset>
                </wp:positionH>
                <wp:positionV relativeFrom="paragraph">
                  <wp:posOffset>-73660</wp:posOffset>
                </wp:positionV>
                <wp:extent cx="3171825" cy="1485900"/>
                <wp:effectExtent l="0" t="0" r="635" b="635"/>
                <wp:wrapNone/>
                <wp:docPr id="1272" name="テキスト ボックス 17"/>
                <a:graphic xmlns:a="http://schemas.openxmlformats.org/drawingml/2006/main">
                  <a:graphicData uri="http://schemas.microsoft.com/office/word/2010/wordprocessingShape">
                    <wps:wsp>
                      <wps:cNvPr id="1272" name="テキスト ボックス 17"/>
                      <wps:cNvSpPr txBox="1"/>
                      <wps:spPr>
                        <a:xfrm>
                          <a:off x="0" y="0"/>
                          <a:ext cx="3171825" cy="1485900"/>
                        </a:xfrm>
                        <a:prstGeom prst="rect">
                          <a:avLst/>
                        </a:prstGeom>
                        <a:noFill/>
                        <a:ln w="6350">
                          <a:noFill/>
                        </a:ln>
                      </wps:spPr>
                      <wps:txbx>
                        <w:txbxContent>
                          <w:tbl>
                            <w:tblPr>
                              <w:tblStyle w:val="11"/>
                              <w:tblW w:w="25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7" w:type="dxa"/>
                                <w:right w:w="57" w:type="dxa"/>
                              </w:tblCellMar>
                              <w:tblLook w:firstRow="1" w:lastRow="0" w:firstColumn="1" w:lastColumn="0" w:noHBand="0" w:noVBand="1" w:val="04A0"/>
                            </w:tblPr>
                            <w:tblGrid>
                              <w:gridCol w:w="1701"/>
                              <w:gridCol w:w="850"/>
                            </w:tblGrid>
                            <w:tr>
                              <w:trPr>
                                <w:trHeight w:val="283" w:hRule="atLeast"/>
                              </w:trPr>
                              <w:tc>
                                <w:tcPr>
                                  <w:tcW w:w="1701" w:type="dxa"/>
                                  <w:shd w:val="clear" w:color="auto" w:themeFill="background1" w:themeFillTint="FF" w:themeFillShade="D9"/>
                                  <w:vAlign w:val="center"/>
                                </w:tcPr>
                                <w:p>
                                  <w:pPr>
                                    <w:pStyle w:val="223"/>
                                    <w:rPr>
                                      <w:rFonts w:hint="default"/>
                                    </w:rPr>
                                  </w:pPr>
                                </w:p>
                              </w:tc>
                              <w:tc>
                                <w:tcPr>
                                  <w:tcW w:w="850" w:type="dxa"/>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223"/>
                                    <w:rPr>
                                      <w:rFonts w:hint="default"/>
                                    </w:rPr>
                                  </w:pPr>
                                  <w:r>
                                    <w:rPr>
                                      <w:rFonts w:hint="eastAsia"/>
                                    </w:rPr>
                                    <w:t>人数</w:t>
                                  </w:r>
                                </w:p>
                              </w:tc>
                            </w:tr>
                            <w:tr>
                              <w:trPr>
                                <w:trHeight w:val="283" w:hRule="atLeast"/>
                              </w:trPr>
                              <w:tc>
                                <w:tcPr>
                                  <w:tcW w:w="1701" w:type="dxa"/>
                                  <w:shd w:val="clear" w:color="auto" w:fill="auto"/>
                                  <w:vAlign w:val="center"/>
                                </w:tcPr>
                                <w:p>
                                  <w:pPr>
                                    <w:pStyle w:val="222"/>
                                    <w:rPr>
                                      <w:rFonts w:hint="default"/>
                                    </w:rPr>
                                  </w:pPr>
                                  <w:r>
                                    <w:rPr>
                                      <w:rFonts w:hint="eastAsia"/>
                                    </w:rPr>
                                    <w:t>身体・知的</w:t>
                                  </w:r>
                                </w:p>
                              </w:tc>
                              <w:tc>
                                <w:tcPr>
                                  <w:tcW w:w="850" w:type="dxa"/>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222"/>
                                    <w:jc w:val="right"/>
                                    <w:rPr>
                                      <w:rFonts w:hint="default"/>
                                      <w:color w:val="000000" w:themeColor="text1"/>
                                    </w:rPr>
                                  </w:pPr>
                                  <w:r>
                                    <w:rPr>
                                      <w:rFonts w:hint="default"/>
                                      <w:color w:val="000000" w:themeColor="text1"/>
                                    </w:rPr>
                                    <w:t>14</w:t>
                                  </w:r>
                                  <w:r>
                                    <w:rPr>
                                      <w:rFonts w:hint="default"/>
                                      <w:color w:val="000000" w:themeColor="text1"/>
                                    </w:rPr>
                                    <w:t>人</w:t>
                                  </w:r>
                                </w:p>
                              </w:tc>
                            </w:tr>
                            <w:tr>
                              <w:trPr>
                                <w:trHeight w:val="283" w:hRule="atLeast"/>
                              </w:trPr>
                              <w:tc>
                                <w:tcPr>
                                  <w:tcW w:w="1701" w:type="dxa"/>
                                  <w:shd w:val="clear" w:color="auto" w:fill="auto"/>
                                  <w:vAlign w:val="center"/>
                                </w:tcPr>
                                <w:p>
                                  <w:pPr>
                                    <w:pStyle w:val="222"/>
                                    <w:rPr>
                                      <w:rFonts w:hint="default"/>
                                    </w:rPr>
                                  </w:pPr>
                                  <w:r>
                                    <w:rPr>
                                      <w:rFonts w:hint="eastAsia"/>
                                    </w:rPr>
                                    <w:t>身体・精神</w:t>
                                  </w:r>
                                </w:p>
                              </w:tc>
                              <w:tc>
                                <w:tcPr>
                                  <w:tcW w:w="850"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222"/>
                                    <w:jc w:val="right"/>
                                    <w:rPr>
                                      <w:rFonts w:hint="default"/>
                                      <w:color w:val="000000" w:themeColor="text1"/>
                                    </w:rPr>
                                  </w:pPr>
                                  <w:r>
                                    <w:rPr>
                                      <w:rFonts w:hint="default"/>
                                      <w:color w:val="000000" w:themeColor="text1"/>
                                    </w:rPr>
                                    <w:t>45</w:t>
                                  </w:r>
                                  <w:r>
                                    <w:rPr>
                                      <w:rFonts w:hint="default"/>
                                      <w:color w:val="000000" w:themeColor="text1"/>
                                    </w:rPr>
                                    <w:t>人</w:t>
                                  </w:r>
                                </w:p>
                              </w:tc>
                            </w:tr>
                            <w:tr>
                              <w:trPr>
                                <w:trHeight w:val="283" w:hRule="atLeast"/>
                              </w:trPr>
                              <w:tc>
                                <w:tcPr>
                                  <w:tcW w:w="170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222"/>
                                    <w:rPr>
                                      <w:rFonts w:hint="default"/>
                                    </w:rPr>
                                  </w:pPr>
                                  <w:r>
                                    <w:rPr>
                                      <w:rFonts w:hint="eastAsia"/>
                                    </w:rPr>
                                    <w:t>知的・精神</w:t>
                                  </w:r>
                                </w:p>
                              </w:tc>
                              <w:tc>
                                <w:tcPr>
                                  <w:tcW w:w="850"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222"/>
                                    <w:jc w:val="right"/>
                                    <w:rPr>
                                      <w:rFonts w:hint="default"/>
                                      <w:color w:val="000000" w:themeColor="text1"/>
                                    </w:rPr>
                                  </w:pPr>
                                  <w:r>
                                    <w:rPr>
                                      <w:rFonts w:hint="default"/>
                                      <w:color w:val="000000" w:themeColor="text1"/>
                                    </w:rPr>
                                    <w:t>6</w:t>
                                  </w:r>
                                  <w:r>
                                    <w:rPr>
                                      <w:rFonts w:hint="default"/>
                                      <w:color w:val="000000" w:themeColor="text1"/>
                                    </w:rPr>
                                    <w:t>人</w:t>
                                  </w:r>
                                </w:p>
                              </w:tc>
                            </w:tr>
                            <w:tr>
                              <w:trPr>
                                <w:trHeight w:val="283" w:hRule="atLeast"/>
                              </w:trPr>
                              <w:tc>
                                <w:tcPr>
                                  <w:tcW w:w="1701"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222"/>
                                    <w:rPr>
                                      <w:rFonts w:hint="default"/>
                                    </w:rPr>
                                  </w:pPr>
                                  <w:r>
                                    <w:rPr>
                                      <w:rFonts w:hint="eastAsia"/>
                                    </w:rPr>
                                    <w:t>身体・知的・精神</w:t>
                                  </w:r>
                                </w:p>
                              </w:tc>
                              <w:tc>
                                <w:tcPr>
                                  <w:tcW w:w="850" w:type="dxa"/>
                                  <w:tcBorders>
                                    <w:top w:val="single" w:color="auto" w:sz="4" w:space="0"/>
                                    <w:left w:val="none" w:color="auto" w:sz="0" w:space="0"/>
                                    <w:bottom w:val="double" w:color="auto" w:sz="4" w:space="0"/>
                                    <w:right w:val="single" w:color="auto" w:sz="4" w:space="0"/>
                                    <w:tl2br w:val="none" w:color="auto" w:sz="0" w:space="0"/>
                                    <w:tr2bl w:val="none" w:color="auto" w:sz="0" w:space="0"/>
                                  </w:tcBorders>
                                  <w:shd w:val="clear" w:color="auto" w:fill="auto"/>
                                  <w:vAlign w:val="center"/>
                                </w:tcPr>
                                <w:p>
                                  <w:pPr>
                                    <w:pStyle w:val="222"/>
                                    <w:jc w:val="right"/>
                                    <w:rPr>
                                      <w:rFonts w:hint="default"/>
                                      <w:color w:val="000000" w:themeColor="text1"/>
                                    </w:rPr>
                                  </w:pPr>
                                  <w:r>
                                    <w:rPr>
                                      <w:rFonts w:hint="default"/>
                                      <w:color w:val="000000" w:themeColor="text1"/>
                                    </w:rPr>
                                    <w:t>5</w:t>
                                  </w:r>
                                  <w:r>
                                    <w:rPr>
                                      <w:rFonts w:hint="default"/>
                                      <w:color w:val="000000" w:themeColor="text1"/>
                                    </w:rPr>
                                    <w:t>人</w:t>
                                  </w:r>
                                </w:p>
                              </w:tc>
                            </w:tr>
                            <w:tr>
                              <w:trPr>
                                <w:trHeight w:val="283" w:hRule="atLeast"/>
                              </w:trPr>
                              <w:tc>
                                <w:tcPr>
                                  <w:tcW w:w="1701"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222"/>
                                    <w:jc w:val="center"/>
                                    <w:rPr>
                                      <w:rFonts w:hint="default"/>
                                    </w:rPr>
                                  </w:pPr>
                                  <w:r>
                                    <w:rPr>
                                      <w:rFonts w:hint="eastAsia"/>
                                    </w:rPr>
                                    <w:t>回答者実数</w:t>
                                  </w:r>
                                </w:p>
                              </w:tc>
                              <w:tc>
                                <w:tcPr>
                                  <w:tcW w:w="850" w:type="dxa"/>
                                  <w:tcBorders>
                                    <w:top w:val="doub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222"/>
                                    <w:jc w:val="right"/>
                                    <w:rPr>
                                      <w:rFonts w:hint="default"/>
                                      <w:color w:val="000000" w:themeColor="text1"/>
                                    </w:rPr>
                                  </w:pPr>
                                  <w:r>
                                    <w:rPr>
                                      <w:rFonts w:hint="default"/>
                                      <w:color w:val="000000" w:themeColor="text1"/>
                                    </w:rPr>
                                    <w:t>70</w:t>
                                  </w:r>
                                  <w:r>
                                    <w:rPr>
                                      <w:rFonts w:hint="default"/>
                                      <w:color w:val="000000" w:themeColor="text1"/>
                                    </w:rPr>
                                    <w:t>人</w:t>
                                  </w:r>
                                </w:p>
                              </w:tc>
                            </w:tr>
                          </w:tbl>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7" style="mso-wrap-distance-right:9pt;mso-wrap-distance-bottom:0pt;margin-top:-5.8pt;mso-position-vertical-relative:text;mso-position-horizontal-relative:text;v-text-anchor:top;position:absolute;height:117pt;mso-wrap-distance-top:0pt;width:249.75pt;mso-wrap-distance-left:9pt;margin-left:254.4pt;z-index:304;" o:spid="_x0000_s1272" o:allowincell="t" o:allowoverlap="t" filled="f" stroked="f" strokeweight="0.5pt" o:spt="202" type="#_x0000_t202">
                <v:fill/>
                <v:textbox style="layout-flow:horizontal;">
                  <w:txbxContent>
                    <w:tbl>
                      <w:tblPr>
                        <w:tblStyle w:val="11"/>
                        <w:tblW w:w="25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7" w:type="dxa"/>
                          <w:right w:w="57" w:type="dxa"/>
                        </w:tblCellMar>
                        <w:tblLook w:firstRow="1" w:lastRow="0" w:firstColumn="1" w:lastColumn="0" w:noHBand="0" w:noVBand="1" w:val="04A0"/>
                      </w:tblPr>
                      <w:tblGrid>
                        <w:gridCol w:w="1701"/>
                        <w:gridCol w:w="850"/>
                      </w:tblGrid>
                      <w:tr>
                        <w:trPr>
                          <w:trHeight w:val="283" w:hRule="atLeast"/>
                        </w:trPr>
                        <w:tc>
                          <w:tcPr>
                            <w:tcW w:w="1701" w:type="dxa"/>
                            <w:shd w:val="clear" w:color="auto" w:themeFill="background1" w:themeFillTint="FF" w:themeFillShade="D9"/>
                            <w:vAlign w:val="center"/>
                          </w:tcPr>
                          <w:p>
                            <w:pPr>
                              <w:pStyle w:val="223"/>
                              <w:rPr>
                                <w:rFonts w:hint="default"/>
                              </w:rPr>
                            </w:pPr>
                          </w:p>
                        </w:tc>
                        <w:tc>
                          <w:tcPr>
                            <w:tcW w:w="850" w:type="dxa"/>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223"/>
                              <w:rPr>
                                <w:rFonts w:hint="default"/>
                              </w:rPr>
                            </w:pPr>
                            <w:r>
                              <w:rPr>
                                <w:rFonts w:hint="eastAsia"/>
                              </w:rPr>
                              <w:t>人数</w:t>
                            </w:r>
                          </w:p>
                        </w:tc>
                      </w:tr>
                      <w:tr>
                        <w:trPr>
                          <w:trHeight w:val="283" w:hRule="atLeast"/>
                        </w:trPr>
                        <w:tc>
                          <w:tcPr>
                            <w:tcW w:w="1701" w:type="dxa"/>
                            <w:shd w:val="clear" w:color="auto" w:fill="auto"/>
                            <w:vAlign w:val="center"/>
                          </w:tcPr>
                          <w:p>
                            <w:pPr>
                              <w:pStyle w:val="222"/>
                              <w:rPr>
                                <w:rFonts w:hint="default"/>
                              </w:rPr>
                            </w:pPr>
                            <w:r>
                              <w:rPr>
                                <w:rFonts w:hint="eastAsia"/>
                              </w:rPr>
                              <w:t>身体・知的</w:t>
                            </w:r>
                          </w:p>
                        </w:tc>
                        <w:tc>
                          <w:tcPr>
                            <w:tcW w:w="850" w:type="dxa"/>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222"/>
                              <w:jc w:val="right"/>
                              <w:rPr>
                                <w:rFonts w:hint="default"/>
                                <w:color w:val="000000" w:themeColor="text1"/>
                              </w:rPr>
                            </w:pPr>
                            <w:r>
                              <w:rPr>
                                <w:rFonts w:hint="default"/>
                                <w:color w:val="000000" w:themeColor="text1"/>
                              </w:rPr>
                              <w:t>14</w:t>
                            </w:r>
                            <w:r>
                              <w:rPr>
                                <w:rFonts w:hint="default"/>
                                <w:color w:val="000000" w:themeColor="text1"/>
                              </w:rPr>
                              <w:t>人</w:t>
                            </w:r>
                          </w:p>
                        </w:tc>
                      </w:tr>
                      <w:tr>
                        <w:trPr>
                          <w:trHeight w:val="283" w:hRule="atLeast"/>
                        </w:trPr>
                        <w:tc>
                          <w:tcPr>
                            <w:tcW w:w="1701" w:type="dxa"/>
                            <w:shd w:val="clear" w:color="auto" w:fill="auto"/>
                            <w:vAlign w:val="center"/>
                          </w:tcPr>
                          <w:p>
                            <w:pPr>
                              <w:pStyle w:val="222"/>
                              <w:rPr>
                                <w:rFonts w:hint="default"/>
                              </w:rPr>
                            </w:pPr>
                            <w:r>
                              <w:rPr>
                                <w:rFonts w:hint="eastAsia"/>
                              </w:rPr>
                              <w:t>身体・精神</w:t>
                            </w:r>
                          </w:p>
                        </w:tc>
                        <w:tc>
                          <w:tcPr>
                            <w:tcW w:w="850"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222"/>
                              <w:jc w:val="right"/>
                              <w:rPr>
                                <w:rFonts w:hint="default"/>
                                <w:color w:val="000000" w:themeColor="text1"/>
                              </w:rPr>
                            </w:pPr>
                            <w:r>
                              <w:rPr>
                                <w:rFonts w:hint="default"/>
                                <w:color w:val="000000" w:themeColor="text1"/>
                              </w:rPr>
                              <w:t>45</w:t>
                            </w:r>
                            <w:r>
                              <w:rPr>
                                <w:rFonts w:hint="default"/>
                                <w:color w:val="000000" w:themeColor="text1"/>
                              </w:rPr>
                              <w:t>人</w:t>
                            </w:r>
                          </w:p>
                        </w:tc>
                      </w:tr>
                      <w:tr>
                        <w:trPr>
                          <w:trHeight w:val="283" w:hRule="atLeast"/>
                        </w:trPr>
                        <w:tc>
                          <w:tcPr>
                            <w:tcW w:w="170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222"/>
                              <w:rPr>
                                <w:rFonts w:hint="default"/>
                              </w:rPr>
                            </w:pPr>
                            <w:r>
                              <w:rPr>
                                <w:rFonts w:hint="eastAsia"/>
                              </w:rPr>
                              <w:t>知的・精神</w:t>
                            </w:r>
                          </w:p>
                        </w:tc>
                        <w:tc>
                          <w:tcPr>
                            <w:tcW w:w="850"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222"/>
                              <w:jc w:val="right"/>
                              <w:rPr>
                                <w:rFonts w:hint="default"/>
                                <w:color w:val="000000" w:themeColor="text1"/>
                              </w:rPr>
                            </w:pPr>
                            <w:r>
                              <w:rPr>
                                <w:rFonts w:hint="default"/>
                                <w:color w:val="000000" w:themeColor="text1"/>
                              </w:rPr>
                              <w:t>6</w:t>
                            </w:r>
                            <w:r>
                              <w:rPr>
                                <w:rFonts w:hint="default"/>
                                <w:color w:val="000000" w:themeColor="text1"/>
                              </w:rPr>
                              <w:t>人</w:t>
                            </w:r>
                          </w:p>
                        </w:tc>
                      </w:tr>
                      <w:tr>
                        <w:trPr>
                          <w:trHeight w:val="283" w:hRule="atLeast"/>
                        </w:trPr>
                        <w:tc>
                          <w:tcPr>
                            <w:tcW w:w="1701"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222"/>
                              <w:rPr>
                                <w:rFonts w:hint="default"/>
                              </w:rPr>
                            </w:pPr>
                            <w:r>
                              <w:rPr>
                                <w:rFonts w:hint="eastAsia"/>
                              </w:rPr>
                              <w:t>身体・知的・精神</w:t>
                            </w:r>
                          </w:p>
                        </w:tc>
                        <w:tc>
                          <w:tcPr>
                            <w:tcW w:w="850" w:type="dxa"/>
                            <w:tcBorders>
                              <w:top w:val="single" w:color="auto" w:sz="4" w:space="0"/>
                              <w:left w:val="none" w:color="auto" w:sz="0" w:space="0"/>
                              <w:bottom w:val="double" w:color="auto" w:sz="4" w:space="0"/>
                              <w:right w:val="single" w:color="auto" w:sz="4" w:space="0"/>
                              <w:tl2br w:val="none" w:color="auto" w:sz="0" w:space="0"/>
                              <w:tr2bl w:val="none" w:color="auto" w:sz="0" w:space="0"/>
                            </w:tcBorders>
                            <w:shd w:val="clear" w:color="auto" w:fill="auto"/>
                            <w:vAlign w:val="center"/>
                          </w:tcPr>
                          <w:p>
                            <w:pPr>
                              <w:pStyle w:val="222"/>
                              <w:jc w:val="right"/>
                              <w:rPr>
                                <w:rFonts w:hint="default"/>
                                <w:color w:val="000000" w:themeColor="text1"/>
                              </w:rPr>
                            </w:pPr>
                            <w:r>
                              <w:rPr>
                                <w:rFonts w:hint="default"/>
                                <w:color w:val="000000" w:themeColor="text1"/>
                              </w:rPr>
                              <w:t>5</w:t>
                            </w:r>
                            <w:r>
                              <w:rPr>
                                <w:rFonts w:hint="default"/>
                                <w:color w:val="000000" w:themeColor="text1"/>
                              </w:rPr>
                              <w:t>人</w:t>
                            </w:r>
                          </w:p>
                        </w:tc>
                      </w:tr>
                      <w:tr>
                        <w:trPr>
                          <w:trHeight w:val="283" w:hRule="atLeast"/>
                        </w:trPr>
                        <w:tc>
                          <w:tcPr>
                            <w:tcW w:w="1701"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222"/>
                              <w:jc w:val="center"/>
                              <w:rPr>
                                <w:rFonts w:hint="default"/>
                              </w:rPr>
                            </w:pPr>
                            <w:r>
                              <w:rPr>
                                <w:rFonts w:hint="eastAsia"/>
                              </w:rPr>
                              <w:t>回答者実数</w:t>
                            </w:r>
                          </w:p>
                        </w:tc>
                        <w:tc>
                          <w:tcPr>
                            <w:tcW w:w="850" w:type="dxa"/>
                            <w:tcBorders>
                              <w:top w:val="doub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222"/>
                              <w:jc w:val="right"/>
                              <w:rPr>
                                <w:rFonts w:hint="default"/>
                                <w:color w:val="000000" w:themeColor="text1"/>
                              </w:rPr>
                            </w:pPr>
                            <w:r>
                              <w:rPr>
                                <w:rFonts w:hint="default"/>
                                <w:color w:val="000000" w:themeColor="text1"/>
                              </w:rPr>
                              <w:t>70</w:t>
                            </w:r>
                            <w:r>
                              <w:rPr>
                                <w:rFonts w:hint="default"/>
                                <w:color w:val="000000" w:themeColor="text1"/>
                              </w:rPr>
                              <w:t>人</w:t>
                            </w:r>
                          </w:p>
                        </w:tc>
                      </w:tr>
                    </w:tbl>
                    <w:p>
                      <w:pPr>
                        <w:pStyle w:val="0"/>
                        <w:rPr>
                          <w:rFonts w:hint="default"/>
                        </w:rPr>
                      </w:pPr>
                    </w:p>
                  </w:txbxContent>
                </v:textbox>
                <v:imagedata o:title=""/>
                <w10:wrap type="none" anchorx="text" anchory="text"/>
              </v:shape>
            </w:pict>
          </mc:Fallback>
        </mc:AlternateContent>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bookmarkStart w:id="379" w:name="_Toc52552073"/>
      <w:bookmarkStart w:id="380" w:name="_Toc52987273"/>
    </w:p>
    <w:p>
      <w:pPr>
        <w:pStyle w:val="302"/>
        <w:rPr>
          <w:rFonts w:hint="default"/>
        </w:rPr>
      </w:pPr>
    </w:p>
    <w:p>
      <w:pPr>
        <w:pStyle w:val="303"/>
        <w:spacing w:after="74" w:afterLines="0" w:afterAutospacing="0"/>
        <w:ind w:left="560"/>
        <w:rPr>
          <w:rFonts w:hint="default"/>
        </w:rPr>
      </w:pPr>
      <w:bookmarkEnd w:id="379"/>
      <w:bookmarkEnd w:id="380"/>
      <w:bookmarkStart w:id="381" w:name="_Toc52552074"/>
      <w:bookmarkStart w:id="382" w:name="_Toc52987274"/>
      <w:r>
        <w:rPr>
          <w:rFonts w:hint="eastAsia"/>
        </w:rPr>
        <w:t>２．</w:t>
      </w:r>
      <w:r>
        <w:rPr>
          <w:rFonts w:hint="default"/>
        </w:rPr>
        <w:t>身体障がいの内訳（複数回答）</w:t>
      </w:r>
      <w:bookmarkEnd w:id="381"/>
      <w:bookmarkEnd w:id="382"/>
    </w:p>
    <w:p>
      <w:pPr>
        <w:pStyle w:val="302"/>
        <w:rPr>
          <w:rFonts w:hint="default"/>
        </w:rPr>
      </w:pPr>
      <w:r>
        <w:rPr>
          <w:rFonts w:hint="eastAsia"/>
        </w:rPr>
        <w:t>●「内部障がい」が</w:t>
      </w:r>
      <w:r>
        <w:rPr>
          <w:rFonts w:hint="eastAsia"/>
        </w:rPr>
        <w:t>34.9</w:t>
      </w:r>
      <w:r>
        <w:rPr>
          <w:rFonts w:hint="default"/>
        </w:rPr>
        <w:t>％</w:t>
      </w:r>
      <w:r>
        <w:rPr>
          <w:rFonts w:hint="eastAsia"/>
        </w:rPr>
        <w:t>、</w:t>
      </w:r>
      <w:r>
        <w:rPr>
          <w:rFonts w:hint="default"/>
        </w:rPr>
        <w:t>「肢体不自由」が</w:t>
      </w:r>
      <w:r>
        <w:rPr>
          <w:rFonts w:hint="eastAsia"/>
        </w:rPr>
        <w:t>26.7</w:t>
      </w:r>
      <w:r>
        <w:rPr>
          <w:rFonts w:hint="default"/>
        </w:rPr>
        <w:t>％</w:t>
      </w:r>
      <w:r>
        <w:rPr>
          <w:rFonts w:hint="eastAsia"/>
        </w:rPr>
        <w:t>で</w:t>
      </w:r>
      <w:r>
        <w:rPr>
          <w:rFonts w:hint="default"/>
        </w:rPr>
        <w:t>、両障がいで</w:t>
      </w:r>
      <w:r>
        <w:rPr>
          <w:rFonts w:hint="eastAsia"/>
        </w:rPr>
        <w:t>61.6</w:t>
      </w:r>
      <w:r>
        <w:rPr>
          <w:rFonts w:hint="eastAsia"/>
        </w:rPr>
        <w:t>％</w:t>
      </w:r>
      <w:r>
        <w:rPr>
          <w:rFonts w:hint="default"/>
        </w:rPr>
        <w:t>を占める。</w:t>
      </w:r>
    </w:p>
    <w:p>
      <w:pPr>
        <w:pStyle w:val="302"/>
        <w:rPr>
          <w:rFonts w:hint="default"/>
        </w:rPr>
      </w:pPr>
    </w:p>
    <w:p>
      <w:pPr>
        <w:pStyle w:val="302"/>
        <w:ind w:left="876" w:hanging="204"/>
        <w:rPr>
          <w:rFonts w:hint="default"/>
        </w:rPr>
      </w:pPr>
      <w:r>
        <w:rPr>
          <w:rFonts w:hint="default"/>
        </w:rPr>
        <w:drawing>
          <wp:anchor distT="0" distB="0" distL="114300" distR="114300" simplePos="0" relativeHeight="283" behindDoc="0" locked="0" layoutInCell="1" hidden="0" allowOverlap="1">
            <wp:simplePos x="0" y="0"/>
            <wp:positionH relativeFrom="column">
              <wp:posOffset>764540</wp:posOffset>
            </wp:positionH>
            <wp:positionV relativeFrom="paragraph">
              <wp:posOffset>5715</wp:posOffset>
            </wp:positionV>
            <wp:extent cx="5253355" cy="2722245"/>
            <wp:effectExtent l="0" t="0" r="0" b="0"/>
            <wp:wrapNone/>
            <wp:docPr id="1273" name="問9_横棒南風原町障がい全体"/>
            <a:graphic xmlns:a="http://schemas.openxmlformats.org/drawingml/2006/main">
              <a:graphicData uri="http://schemas.openxmlformats.org/drawingml/2006/picture">
                <pic:pic xmlns:pic="http://schemas.openxmlformats.org/drawingml/2006/picture">
                  <pic:nvPicPr>
                    <pic:cNvPr id="1273" name="問9_横棒南風原町障がい全体"/>
                    <pic:cNvPicPr>
                      <a:picLocks noChangeAspect="1" noChangeArrowheads="1"/>
                    </pic:cNvPicPr>
                  </pic:nvPicPr>
                  <pic:blipFill>
                    <a:blip r:embed="rId18"/>
                    <a:srcRect l="5988" t="14198" r="-43" b="4774"/>
                    <a:stretch>
                      <a:fillRect/>
                    </a:stretch>
                  </pic:blipFill>
                  <pic:spPr>
                    <a:xfrm>
                      <a:off x="0" y="0"/>
                      <a:ext cx="5253355" cy="272224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rPr>
      </w:pPr>
      <w:r>
        <w:rPr>
          <w:rFonts w:hint="default"/>
        </w:rPr>
        <w:br w:type="page"/>
      </w:r>
    </w:p>
    <w:p>
      <w:pPr>
        <w:pStyle w:val="303"/>
        <w:spacing w:after="74" w:afterLines="0" w:afterAutospacing="0"/>
        <w:ind w:left="560"/>
        <w:rPr>
          <w:rFonts w:hint="default"/>
        </w:rPr>
      </w:pPr>
      <w:bookmarkStart w:id="383" w:name="_Toc52552079"/>
      <w:bookmarkStart w:id="384" w:name="_Toc52987279"/>
      <w:r>
        <w:rPr>
          <w:rFonts w:hint="eastAsia"/>
        </w:rPr>
        <w:t>３．</w:t>
      </w:r>
      <w:r>
        <w:rPr>
          <w:rFonts w:hint="default"/>
        </w:rPr>
        <w:t>世帯構成</w:t>
      </w:r>
      <w:bookmarkEnd w:id="383"/>
      <w:bookmarkEnd w:id="384"/>
    </w:p>
    <w:p>
      <w:pPr>
        <w:pStyle w:val="302"/>
        <w:ind w:left="876" w:hanging="204"/>
        <w:rPr>
          <w:rFonts w:hint="default"/>
        </w:rPr>
      </w:pPr>
      <w:r>
        <w:rPr>
          <w:rFonts w:hint="default"/>
        </w:rPr>
        <w:drawing>
          <wp:anchor distT="0" distB="0" distL="114300" distR="114300" simplePos="0" relativeHeight="300" behindDoc="0" locked="0" layoutInCell="1" hidden="0" allowOverlap="1">
            <wp:simplePos x="0" y="0"/>
            <wp:positionH relativeFrom="column">
              <wp:posOffset>3947160</wp:posOffset>
            </wp:positionH>
            <wp:positionV relativeFrom="paragraph">
              <wp:posOffset>12065</wp:posOffset>
            </wp:positionV>
            <wp:extent cx="2595880" cy="2785110"/>
            <wp:effectExtent l="0" t="0" r="0" b="0"/>
            <wp:wrapSquare wrapText="bothSides"/>
            <wp:docPr id="1274" name="問16_円南風原町障がい全体"/>
            <a:graphic xmlns:a="http://schemas.openxmlformats.org/drawingml/2006/main">
              <a:graphicData uri="http://schemas.openxmlformats.org/drawingml/2006/picture">
                <pic:pic xmlns:pic="http://schemas.openxmlformats.org/drawingml/2006/picture">
                  <pic:nvPicPr>
                    <pic:cNvPr id="1274" name="問16_円南風原町障がい全体"/>
                    <pic:cNvPicPr>
                      <a:picLocks noChangeAspect="1" noChangeArrowheads="1"/>
                    </pic:cNvPicPr>
                  </pic:nvPicPr>
                  <pic:blipFill>
                    <a:blip r:embed="rId19"/>
                    <a:srcRect l="8189" t="7718" r="14722" b="30099"/>
                    <a:stretch>
                      <a:fillRect/>
                    </a:stretch>
                  </pic:blipFill>
                  <pic:spPr>
                    <a:xfrm>
                      <a:off x="0" y="0"/>
                      <a:ext cx="2595880" cy="2785110"/>
                    </a:xfrm>
                    <a:prstGeom prst="rect">
                      <a:avLst/>
                    </a:prstGeom>
                    <a:noFill/>
                    <a:ln>
                      <a:noFill/>
                    </a:ln>
                  </pic:spPr>
                </pic:pic>
              </a:graphicData>
            </a:graphic>
          </wp:anchor>
        </w:drawing>
      </w:r>
      <w:r>
        <w:rPr>
          <w:rFonts w:hint="default"/>
        </w:rPr>
        <mc:AlternateContent>
          <mc:Choice Requires="wps">
            <w:drawing>
              <wp:anchor distT="0" distB="0" distL="114300" distR="114300" simplePos="0" relativeHeight="305" behindDoc="0" locked="1" layoutInCell="1" hidden="0" allowOverlap="1">
                <wp:simplePos x="0" y="0"/>
                <wp:positionH relativeFrom="column">
                  <wp:posOffset>4744720</wp:posOffset>
                </wp:positionH>
                <wp:positionV relativeFrom="paragraph">
                  <wp:posOffset>12065</wp:posOffset>
                </wp:positionV>
                <wp:extent cx="1111885" cy="228600"/>
                <wp:effectExtent l="0" t="0" r="635" b="635"/>
                <wp:wrapNone/>
                <wp:docPr id="1275" name="テキスト ボックス 148"/>
                <a:graphic xmlns:a="http://schemas.openxmlformats.org/drawingml/2006/main">
                  <a:graphicData uri="http://schemas.microsoft.com/office/word/2010/wordprocessingShape">
                    <wps:wsp>
                      <wps:cNvPr id="1275" name="テキスト ボックス 148"/>
                      <wps:cNvSpPr txBox="1"/>
                      <wps:spPr>
                        <a:xfrm>
                          <a:off x="0" y="0"/>
                          <a:ext cx="111188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default" w:ascii="ＭＳ ゴシック" w:hAnsi="ＭＳ ゴシック" w:eastAsia="ＭＳ ゴシック"/>
                                <w:sz w:val="20"/>
                              </w:rPr>
                              <w:t>世帯構成</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8" style="mso-wrap-distance-right:9pt;mso-wrap-distance-bottom:0pt;margin-top:0.95pt;mso-position-vertical-relative:text;mso-position-horizontal-relative:text;v-text-anchor:middle;position:absolute;height:18pt;mso-wrap-distance-top:0pt;width:87.55pt;mso-wrap-distance-left:9pt;margin-left:373.6pt;z-index:305;" o:spid="_x0000_s1275"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default" w:ascii="ＭＳ ゴシック" w:hAnsi="ＭＳ ゴシック" w:eastAsia="ＭＳ ゴシック"/>
                          <w:sz w:val="20"/>
                        </w:rPr>
                        <w:t>世帯構成</w:t>
                      </w:r>
                    </w:p>
                  </w:txbxContent>
                </v:textbox>
                <v:imagedata o:title=""/>
                <w10:wrap type="none" anchorx="text" anchory="text"/>
                <w10:anchorlock/>
              </v:shape>
            </w:pict>
          </mc:Fallback>
        </mc:AlternateContent>
      </w:r>
      <w:r>
        <w:rPr>
          <w:rFonts w:hint="eastAsia"/>
        </w:rPr>
        <w:t>●「家族と暮らしている」が</w:t>
      </w:r>
      <w:r>
        <w:rPr>
          <w:rFonts w:hint="default"/>
        </w:rPr>
        <w:t>77.8</w:t>
      </w:r>
      <w:r>
        <w:rPr>
          <w:rFonts w:hint="default"/>
        </w:rPr>
        <w:t>％と大半を占め、次に</w:t>
      </w:r>
      <w:r>
        <w:rPr>
          <w:rFonts w:hint="eastAsia"/>
        </w:rPr>
        <w:t>「一人で暮らしている」が</w:t>
      </w:r>
      <w:r>
        <w:rPr>
          <w:rFonts w:hint="default"/>
        </w:rPr>
        <w:t>12.5</w:t>
      </w:r>
      <w:r>
        <w:rPr>
          <w:rFonts w:hint="default"/>
        </w:rPr>
        <w:t>％とな</w:t>
      </w:r>
      <w:r>
        <w:rPr>
          <w:rFonts w:hint="eastAsia"/>
        </w:rPr>
        <w:t>る</w:t>
      </w:r>
      <w:r>
        <w:rPr>
          <w:rFonts w:hint="default"/>
        </w:rPr>
        <w:t>。</w:t>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r>
        <w:rPr>
          <w:rFonts w:hint="eastAsia"/>
        </w:rPr>
        <w:t>●</w:t>
      </w:r>
      <w:r>
        <w:rPr>
          <w:rFonts w:hint="default"/>
        </w:rPr>
        <w:t>障がい別にみると、「</w:t>
      </w:r>
      <w:r>
        <w:rPr>
          <w:rFonts w:hint="eastAsia"/>
        </w:rPr>
        <w:t>一人で暮らしている</w:t>
      </w:r>
      <w:r>
        <w:rPr>
          <w:rFonts w:hint="default"/>
        </w:rPr>
        <w:t>」は「</w:t>
      </w:r>
      <w:r>
        <w:rPr>
          <w:rFonts w:hint="eastAsia"/>
        </w:rPr>
        <w:t>身体</w:t>
      </w:r>
      <w:r>
        <w:rPr>
          <w:rFonts w:hint="default"/>
        </w:rPr>
        <w:t>障がい」が</w:t>
      </w:r>
      <w:r>
        <w:rPr>
          <w:rFonts w:hint="eastAsia"/>
        </w:rPr>
        <w:t>15.7</w:t>
      </w:r>
      <w:r>
        <w:rPr>
          <w:rFonts w:hint="default"/>
        </w:rPr>
        <w:t>％と最も高</w:t>
      </w:r>
      <w:r>
        <w:rPr>
          <w:rFonts w:hint="eastAsia"/>
        </w:rPr>
        <w:t>い。</w:t>
      </w:r>
    </w:p>
    <w:p>
      <w:pPr>
        <w:pStyle w:val="302"/>
        <w:ind w:left="876" w:hanging="204"/>
        <w:rPr>
          <w:rFonts w:hint="default"/>
        </w:rPr>
      </w:pPr>
      <w:r>
        <w:rPr>
          <w:rFonts w:hint="default"/>
        </w:rPr>
        <w:drawing>
          <wp:anchor distT="0" distB="0" distL="114300" distR="114300" simplePos="0" relativeHeight="299" behindDoc="1" locked="0" layoutInCell="1" hidden="0" allowOverlap="1">
            <wp:simplePos x="0" y="0"/>
            <wp:positionH relativeFrom="column">
              <wp:posOffset>704215</wp:posOffset>
            </wp:positionH>
            <wp:positionV relativeFrom="paragraph">
              <wp:posOffset>168910</wp:posOffset>
            </wp:positionV>
            <wp:extent cx="5445125" cy="1807210"/>
            <wp:effectExtent l="0" t="0" r="0" b="0"/>
            <wp:wrapNone/>
            <wp:docPr id="1276" name="問16_帯(障がい種類)南風原町障がい全体"/>
            <a:graphic xmlns:a="http://schemas.openxmlformats.org/drawingml/2006/main">
              <a:graphicData uri="http://schemas.openxmlformats.org/drawingml/2006/picture">
                <pic:pic xmlns:pic="http://schemas.openxmlformats.org/drawingml/2006/picture">
                  <pic:nvPicPr>
                    <pic:cNvPr id="1276" name="問16_帯(障がい種類)南風原町障がい全体"/>
                    <pic:cNvPicPr>
                      <a:picLocks noChangeAspect="1" noChangeArrowheads="1"/>
                    </pic:cNvPicPr>
                  </pic:nvPicPr>
                  <pic:blipFill>
                    <a:blip r:embed="rId20"/>
                    <a:srcRect l="763" t="4124" r="5042" b="64735"/>
                    <a:stretch>
                      <a:fillRect/>
                    </a:stretch>
                  </pic:blipFill>
                  <pic:spPr>
                    <a:xfrm>
                      <a:off x="0" y="0"/>
                      <a:ext cx="5445125" cy="1807210"/>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sz w:val="21"/>
        </w:rPr>
      </w:pPr>
      <w:r>
        <w:rPr>
          <w:rFonts w:hint="default"/>
        </w:rPr>
        <w:br w:type="page"/>
      </w:r>
    </w:p>
    <w:p>
      <w:pPr>
        <w:pStyle w:val="303"/>
        <w:spacing w:after="74" w:afterLines="0" w:afterAutospacing="0"/>
        <w:ind w:left="560"/>
        <w:rPr>
          <w:rFonts w:hint="default"/>
        </w:rPr>
      </w:pPr>
      <w:bookmarkStart w:id="385" w:name="_Toc52552082"/>
      <w:bookmarkStart w:id="386" w:name="_Toc52987282"/>
      <w:r>
        <w:rPr>
          <w:rFonts w:hint="default"/>
        </w:rPr>
        <w:drawing>
          <wp:anchor distT="0" distB="0" distL="114300" distR="114300" simplePos="0" relativeHeight="298" behindDoc="0" locked="0" layoutInCell="1" hidden="0" allowOverlap="1">
            <wp:simplePos x="0" y="0"/>
            <wp:positionH relativeFrom="column">
              <wp:posOffset>4255135</wp:posOffset>
            </wp:positionH>
            <wp:positionV relativeFrom="paragraph">
              <wp:posOffset>77470</wp:posOffset>
            </wp:positionV>
            <wp:extent cx="1913255" cy="2306955"/>
            <wp:effectExtent l="0" t="0" r="0" b="0"/>
            <wp:wrapSquare wrapText="bothSides"/>
            <wp:docPr id="1277" name="問4(介助の有無)_円南風原町障がい全体"/>
            <a:graphic xmlns:a="http://schemas.openxmlformats.org/drawingml/2006/main">
              <a:graphicData uri="http://schemas.openxmlformats.org/drawingml/2006/picture">
                <pic:pic xmlns:pic="http://schemas.openxmlformats.org/drawingml/2006/picture">
                  <pic:nvPicPr>
                    <pic:cNvPr id="1277" name="問4(介助の有無)_円南風原町障がい全体"/>
                    <pic:cNvPicPr>
                      <a:picLocks noChangeAspect="1" noChangeArrowheads="1"/>
                    </pic:cNvPicPr>
                  </pic:nvPicPr>
                  <pic:blipFill>
                    <a:blip r:embed="rId21"/>
                    <a:srcRect l="25502" t="17075" r="17661" b="31429"/>
                    <a:stretch>
                      <a:fillRect/>
                    </a:stretch>
                  </pic:blipFill>
                  <pic:spPr>
                    <a:xfrm>
                      <a:off x="0" y="0"/>
                      <a:ext cx="1913255" cy="2306955"/>
                    </a:xfrm>
                    <a:prstGeom prst="rect">
                      <a:avLst/>
                    </a:prstGeom>
                    <a:noFill/>
                    <a:ln>
                      <a:noFill/>
                    </a:ln>
                  </pic:spPr>
                </pic:pic>
              </a:graphicData>
            </a:graphic>
          </wp:anchor>
        </w:drawing>
      </w:r>
      <w:r>
        <w:rPr>
          <w:rFonts w:hint="eastAsia"/>
        </w:rPr>
        <w:t>４．日常生活</w:t>
      </w:r>
      <w:r>
        <w:rPr>
          <w:rFonts w:hint="default"/>
        </w:rPr>
        <w:t>の介助の必要性</w:t>
      </w:r>
      <w:bookmarkEnd w:id="385"/>
      <w:bookmarkEnd w:id="386"/>
    </w:p>
    <w:p>
      <w:pPr>
        <w:pStyle w:val="302"/>
        <w:rPr>
          <w:rFonts w:hint="default"/>
        </w:rPr>
      </w:pPr>
      <w:r>
        <w:rPr>
          <w:rFonts w:hint="eastAsia"/>
        </w:rPr>
        <w:t>●「介助が必要」が</w:t>
      </w:r>
      <w:r>
        <w:rPr>
          <w:rFonts w:hint="eastAsia"/>
        </w:rPr>
        <w:t>46.9</w:t>
      </w:r>
      <w:r>
        <w:rPr>
          <w:rFonts w:hint="eastAsia"/>
        </w:rPr>
        <w:t>％となる。</w:t>
      </w:r>
    </w:p>
    <w:p>
      <w:pPr>
        <w:pStyle w:val="302"/>
        <w:rPr>
          <w:rFonts w:hint="default"/>
        </w:rPr>
      </w:pPr>
    </w:p>
    <w:p>
      <w:pPr>
        <w:pStyle w:val="302"/>
        <w:rPr>
          <w:rFonts w:hint="default"/>
        </w:rPr>
      </w:pPr>
    </w:p>
    <w:p>
      <w:pPr>
        <w:pStyle w:val="306"/>
        <w:spacing w:before="185" w:beforeLines="0" w:beforeAutospacing="0"/>
        <w:ind w:left="1314"/>
        <w:rPr>
          <w:rFonts w:hint="default"/>
        </w:rPr>
      </w:pPr>
      <w:r>
        <w:rPr>
          <w:rFonts w:hint="eastAsia"/>
        </w:rPr>
        <w:t>※「介助が必要」は、問４　日常生活の介助内容。（複数回答）より、選択肢１～</w:t>
      </w:r>
      <w:r>
        <w:rPr>
          <w:rFonts w:hint="eastAsia"/>
        </w:rPr>
        <w:t>14</w:t>
      </w:r>
      <w:r>
        <w:rPr>
          <w:rFonts w:hint="eastAsia"/>
        </w:rPr>
        <w:t>のいずれかを選択したもので算出。</w:t>
      </w:r>
    </w:p>
    <w:p>
      <w:pPr>
        <w:pStyle w:val="302"/>
        <w:rPr>
          <w:rFonts w:hint="default"/>
        </w:rPr>
      </w:pPr>
    </w:p>
    <w:p>
      <w:pPr>
        <w:pStyle w:val="302"/>
        <w:rPr>
          <w:rFonts w:hint="default"/>
        </w:rPr>
      </w:pPr>
    </w:p>
    <w:p>
      <w:pPr>
        <w:pStyle w:val="302"/>
        <w:rPr>
          <w:rFonts w:hint="default"/>
        </w:rPr>
      </w:pPr>
      <w:r>
        <w:rPr>
          <w:rFonts w:hint="eastAsia"/>
        </w:rPr>
        <w:t>●</w:t>
      </w:r>
      <w:r>
        <w:rPr>
          <w:rFonts w:hint="default"/>
        </w:rPr>
        <w:t>障がい別にみると、</w:t>
      </w:r>
      <w:r>
        <w:rPr>
          <w:rFonts w:hint="eastAsia"/>
        </w:rPr>
        <w:t>「介助が必要」は「知的障がい</w:t>
      </w:r>
      <w:r>
        <w:rPr>
          <w:rFonts w:hint="default"/>
        </w:rPr>
        <w:t>」が</w:t>
      </w:r>
      <w:r>
        <w:rPr>
          <w:rFonts w:hint="eastAsia"/>
        </w:rPr>
        <w:t>65.8</w:t>
      </w:r>
      <w:r>
        <w:rPr>
          <w:rFonts w:hint="default"/>
        </w:rPr>
        <w:t>％と最も高</w:t>
      </w:r>
      <w:r>
        <w:rPr>
          <w:rFonts w:hint="eastAsia"/>
        </w:rPr>
        <w:t>い。次に「精神障がい」が</w:t>
      </w:r>
      <w:r>
        <w:rPr>
          <w:rFonts w:hint="eastAsia"/>
        </w:rPr>
        <w:t>54.7</w:t>
      </w:r>
      <w:r>
        <w:rPr>
          <w:rFonts w:hint="eastAsia"/>
        </w:rPr>
        <w:t>％となる。</w:t>
      </w:r>
    </w:p>
    <w:p>
      <w:pPr>
        <w:pStyle w:val="302"/>
        <w:ind w:left="876" w:hanging="204"/>
        <w:rPr>
          <w:rFonts w:hint="default"/>
        </w:rPr>
      </w:pPr>
      <w:r>
        <w:rPr>
          <w:rFonts w:hint="default"/>
        </w:rPr>
        <w:drawing>
          <wp:anchor distT="0" distB="0" distL="114300" distR="114300" simplePos="0" relativeHeight="297" behindDoc="1" locked="0" layoutInCell="1" hidden="0" allowOverlap="1">
            <wp:simplePos x="0" y="0"/>
            <wp:positionH relativeFrom="column">
              <wp:posOffset>693420</wp:posOffset>
            </wp:positionH>
            <wp:positionV relativeFrom="paragraph">
              <wp:posOffset>86995</wp:posOffset>
            </wp:positionV>
            <wp:extent cx="5432425" cy="1573530"/>
            <wp:effectExtent l="0" t="0" r="0" b="0"/>
            <wp:wrapNone/>
            <wp:docPr id="1278" name="問4(介助の有無)_帯(障がい種類)南風原町障がい全体"/>
            <a:graphic xmlns:a="http://schemas.openxmlformats.org/drawingml/2006/main">
              <a:graphicData uri="http://schemas.openxmlformats.org/drawingml/2006/picture">
                <pic:pic xmlns:pic="http://schemas.openxmlformats.org/drawingml/2006/picture">
                  <pic:nvPicPr>
                    <pic:cNvPr id="1278" name="問4(介助の有無)_帯(障がい種類)南風原町障がい全体"/>
                    <pic:cNvPicPr>
                      <a:picLocks noChangeAspect="1" noChangeArrowheads="1"/>
                    </pic:cNvPicPr>
                  </pic:nvPicPr>
                  <pic:blipFill>
                    <a:blip r:embed="rId22"/>
                    <a:srcRect l="760" t="8186" r="5258" b="64703"/>
                    <a:stretch>
                      <a:fillRect/>
                    </a:stretch>
                  </pic:blipFill>
                  <pic:spPr>
                    <a:xfrm>
                      <a:off x="0" y="0"/>
                      <a:ext cx="5432425" cy="1573530"/>
                    </a:xfrm>
                    <a:prstGeom prst="rect">
                      <a:avLst/>
                    </a:prstGeom>
                    <a:noFill/>
                    <a:ln>
                      <a:noFill/>
                    </a:ln>
                  </pic:spPr>
                </pic:pic>
              </a:graphicData>
            </a:graphic>
          </wp:anchor>
        </w:drawing>
      </w:r>
    </w:p>
    <w:p>
      <w:pPr>
        <w:pStyle w:val="302"/>
        <w:rPr>
          <w:rFonts w:hint="default"/>
        </w:rPr>
      </w:pPr>
    </w:p>
    <w:p>
      <w:pPr>
        <w:pStyle w:val="302"/>
        <w:rPr>
          <w:rFonts w:hint="default"/>
        </w:rPr>
      </w:pPr>
      <w:r>
        <w:rPr>
          <w:rFonts w:hint="default"/>
        </w:rPr>
        <w:t xml:space="preserve"> </w:t>
      </w: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rPr>
      </w:pPr>
      <w:r>
        <w:rPr>
          <w:rFonts w:hint="default"/>
        </w:rPr>
        <w:br w:type="page"/>
      </w:r>
    </w:p>
    <w:p>
      <w:pPr>
        <w:pStyle w:val="303"/>
        <w:spacing w:after="74" w:afterLines="0" w:afterAutospacing="0"/>
        <w:ind w:left="560"/>
        <w:rPr>
          <w:rFonts w:hint="default"/>
        </w:rPr>
      </w:pPr>
      <w:bookmarkStart w:id="387" w:name="_Toc52552083"/>
      <w:bookmarkStart w:id="388" w:name="_Toc52987283"/>
      <w:r>
        <w:rPr>
          <w:rFonts w:hint="default"/>
        </w:rPr>
        <w:t>５</w:t>
      </w:r>
      <w:r>
        <w:rPr>
          <w:rFonts w:hint="eastAsia"/>
        </w:rPr>
        <w:t>．</w:t>
      </w:r>
      <w:r>
        <w:rPr>
          <w:rFonts w:hint="default"/>
        </w:rPr>
        <w:t>主な介助者</w:t>
      </w:r>
      <w:bookmarkEnd w:id="387"/>
      <w:bookmarkEnd w:id="388"/>
    </w:p>
    <w:p>
      <w:pPr>
        <w:pStyle w:val="302"/>
        <w:rPr>
          <w:rFonts w:hint="default"/>
        </w:rPr>
      </w:pPr>
      <w:r>
        <w:rPr>
          <w:rFonts w:hint="eastAsia"/>
        </w:rPr>
        <w:t>●介助が必要な方の主な介助者は、「父母・祖父母・兄弟姉妹」が</w:t>
      </w:r>
      <w:r>
        <w:rPr>
          <w:rFonts w:hint="default"/>
        </w:rPr>
        <w:t>54.3</w:t>
      </w:r>
      <w:r>
        <w:rPr>
          <w:rFonts w:hint="default"/>
        </w:rPr>
        <w:t>％と最も高く、次に</w:t>
      </w:r>
      <w:r>
        <w:rPr>
          <w:rFonts w:hint="eastAsia"/>
        </w:rPr>
        <w:t>「配偶者（夫、または妻）」が</w:t>
      </w:r>
      <w:r>
        <w:rPr>
          <w:rFonts w:hint="default"/>
        </w:rPr>
        <w:t>26.1</w:t>
      </w:r>
      <w:r>
        <w:rPr>
          <w:rFonts w:hint="default"/>
        </w:rPr>
        <w:t>％</w:t>
      </w:r>
      <w:r>
        <w:rPr>
          <w:rFonts w:hint="eastAsia"/>
        </w:rPr>
        <w:t>となる</w:t>
      </w:r>
      <w:r>
        <w:rPr>
          <w:rFonts w:hint="default"/>
        </w:rPr>
        <w:t>。</w:t>
      </w:r>
    </w:p>
    <w:p>
      <w:pPr>
        <w:pStyle w:val="302"/>
        <w:rPr>
          <w:rFonts w:hint="default"/>
        </w:rPr>
      </w:pPr>
      <w:r>
        <w:rPr>
          <w:rFonts w:hint="eastAsia"/>
        </w:rPr>
        <w:t>●「ホームヘルパーや施設の職員」が主な介助者となっているケースが</w:t>
      </w:r>
      <w:r>
        <w:rPr>
          <w:rFonts w:hint="default"/>
        </w:rPr>
        <w:t>22.3</w:t>
      </w:r>
      <w:r>
        <w:rPr>
          <w:rFonts w:hint="default"/>
        </w:rPr>
        <w:t>％</w:t>
      </w:r>
      <w:r>
        <w:rPr>
          <w:rFonts w:hint="eastAsia"/>
        </w:rPr>
        <w:t>あ</w:t>
      </w:r>
      <w:r>
        <w:rPr>
          <w:rFonts w:hint="default"/>
        </w:rPr>
        <w:t>る。</w:t>
      </w:r>
    </w:p>
    <w:p>
      <w:pPr>
        <w:pStyle w:val="302"/>
        <w:ind w:left="876" w:hanging="204"/>
        <w:rPr>
          <w:rFonts w:hint="default"/>
        </w:rPr>
      </w:pPr>
      <w:r>
        <w:rPr>
          <w:rFonts w:hint="default"/>
        </w:rPr>
        <w:drawing>
          <wp:anchor distT="0" distB="0" distL="114300" distR="114300" simplePos="0" relativeHeight="288" behindDoc="0" locked="0" layoutInCell="1" hidden="0" allowOverlap="1">
            <wp:simplePos x="0" y="0"/>
            <wp:positionH relativeFrom="column">
              <wp:posOffset>1083310</wp:posOffset>
            </wp:positionH>
            <wp:positionV relativeFrom="paragraph">
              <wp:posOffset>216535</wp:posOffset>
            </wp:positionV>
            <wp:extent cx="4503420" cy="2197735"/>
            <wp:effectExtent l="0" t="0" r="0" b="0"/>
            <wp:wrapNone/>
            <wp:docPr id="1279" name="問5_横棒南風原町障がい全体"/>
            <a:graphic xmlns:a="http://schemas.openxmlformats.org/drawingml/2006/main">
              <a:graphicData uri="http://schemas.openxmlformats.org/drawingml/2006/picture">
                <pic:pic xmlns:pic="http://schemas.openxmlformats.org/drawingml/2006/picture">
                  <pic:nvPicPr>
                    <pic:cNvPr id="1279" name="問5_横棒南風原町障がい全体"/>
                    <pic:cNvPicPr>
                      <a:picLocks noChangeAspect="1" noChangeArrowheads="1"/>
                    </pic:cNvPicPr>
                  </pic:nvPicPr>
                  <pic:blipFill>
                    <a:blip r:embed="rId23"/>
                    <a:srcRect l="19991" t="17833" r="-626" b="6657"/>
                    <a:stretch>
                      <a:fillRect/>
                    </a:stretch>
                  </pic:blipFill>
                  <pic:spPr>
                    <a:xfrm>
                      <a:off x="0" y="0"/>
                      <a:ext cx="4503420" cy="2197735"/>
                    </a:xfrm>
                    <a:prstGeom prst="rect">
                      <a:avLst/>
                    </a:prstGeom>
                    <a:noFill/>
                    <a:ln>
                      <a:noFill/>
                    </a:ln>
                  </pic:spPr>
                </pic:pic>
              </a:graphicData>
            </a:graphic>
          </wp:anchor>
        </w:drawing>
      </w:r>
      <w:r>
        <w:rPr>
          <w:rFonts w:hint="default"/>
        </w:rPr>
        <mc:AlternateContent>
          <mc:Choice Requires="wps">
            <w:drawing>
              <wp:anchor distT="0" distB="0" distL="114300" distR="114300" simplePos="0" relativeHeight="306" behindDoc="0" locked="1" layoutInCell="1" hidden="0" allowOverlap="1">
                <wp:simplePos x="0" y="0"/>
                <wp:positionH relativeFrom="column">
                  <wp:posOffset>1939925</wp:posOffset>
                </wp:positionH>
                <wp:positionV relativeFrom="paragraph">
                  <wp:posOffset>79375</wp:posOffset>
                </wp:positionV>
                <wp:extent cx="3115310" cy="228600"/>
                <wp:effectExtent l="0" t="0" r="635" b="635"/>
                <wp:wrapNone/>
                <wp:docPr id="1280" name="テキスト ボックス 160"/>
                <a:graphic xmlns:a="http://schemas.openxmlformats.org/drawingml/2006/main">
                  <a:graphicData uri="http://schemas.microsoft.com/office/word/2010/wordprocessingShape">
                    <wps:wsp>
                      <wps:cNvPr id="1280" name="テキスト ボックス 160"/>
                      <wps:cNvSpPr txBox="1"/>
                      <wps:spPr>
                        <a:xfrm>
                          <a:off x="0" y="0"/>
                          <a:ext cx="311531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主な介助者</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0" style="mso-wrap-distance-right:9pt;mso-wrap-distance-bottom:0pt;margin-top:6.25pt;mso-position-vertical-relative:text;mso-position-horizontal-relative:text;v-text-anchor:middle;position:absolute;height:18pt;mso-wrap-distance-top:0pt;width:245.3pt;mso-wrap-distance-left:9pt;margin-left:152.75pt;z-index:306;" o:spid="_x0000_s1280"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主な介助者</w:t>
                      </w:r>
                    </w:p>
                  </w:txbxContent>
                </v:textbox>
                <v:imagedata o:title=""/>
                <w10:wrap type="none" anchorx="text" anchory="text"/>
                <w10:anchorlock/>
              </v:shape>
            </w:pict>
          </mc:Fallback>
        </mc:AlternateContent>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r>
        <w:rPr>
          <w:rFonts w:hint="eastAsia"/>
        </w:rPr>
        <w:t>●</w:t>
      </w:r>
      <w:r>
        <w:rPr>
          <w:rFonts w:hint="default"/>
        </w:rPr>
        <w:t>障がい別にみると、</w:t>
      </w:r>
      <w:r>
        <w:rPr>
          <w:rFonts w:hint="eastAsia"/>
        </w:rPr>
        <w:t>「身体障がい」と「精神障がい」の主な介助者は、「父母・祖父母・兄弟姉妹」が最も高く、半数近くとなる。</w:t>
      </w:r>
    </w:p>
    <w:p>
      <w:pPr>
        <w:pStyle w:val="302"/>
        <w:rPr>
          <w:rFonts w:hint="default"/>
        </w:rPr>
      </w:pPr>
      <w:r>
        <w:rPr>
          <w:rFonts w:hint="eastAsia"/>
        </w:rPr>
        <w:t>●「知的障がい」は「父母・祖父母・兄弟姉妹」が</w:t>
      </w:r>
      <w:r>
        <w:rPr>
          <w:rFonts w:hint="eastAsia"/>
        </w:rPr>
        <w:t>82.7</w:t>
      </w:r>
      <w:r>
        <w:rPr>
          <w:rFonts w:hint="eastAsia"/>
        </w:rPr>
        <w:t>％と８割を占める。</w:t>
      </w:r>
    </w:p>
    <w:p>
      <w:pPr>
        <w:pStyle w:val="302"/>
        <w:ind w:left="876" w:hanging="204"/>
        <w:rPr>
          <w:rFonts w:hint="default"/>
        </w:rPr>
      </w:pPr>
      <w:r>
        <w:rPr>
          <w:rFonts w:hint="default"/>
        </w:rPr>
        <w:drawing>
          <wp:anchor distT="0" distB="0" distL="114300" distR="114300" simplePos="0" relativeHeight="285" behindDoc="0" locked="0" layoutInCell="1" hidden="0" allowOverlap="1">
            <wp:simplePos x="0" y="0"/>
            <wp:positionH relativeFrom="column">
              <wp:posOffset>4827270</wp:posOffset>
            </wp:positionH>
            <wp:positionV relativeFrom="paragraph">
              <wp:posOffset>217805</wp:posOffset>
            </wp:positionV>
            <wp:extent cx="1348740" cy="2549525"/>
            <wp:effectExtent l="0" t="0" r="0" b="0"/>
            <wp:wrapNone/>
            <wp:docPr id="1281" name="問5_横棒(精神)南風原町障がい全体"/>
            <a:graphic xmlns:a="http://schemas.openxmlformats.org/drawingml/2006/main">
              <a:graphicData uri="http://schemas.openxmlformats.org/drawingml/2006/picture">
                <pic:pic xmlns:pic="http://schemas.openxmlformats.org/drawingml/2006/picture">
                  <pic:nvPicPr>
                    <pic:cNvPr id="1281" name="問5_横棒(精神)南風原町障がい全体"/>
                    <pic:cNvPicPr>
                      <a:picLocks noChangeAspect="1" noChangeArrowheads="1"/>
                    </pic:cNvPicPr>
                  </pic:nvPicPr>
                  <pic:blipFill>
                    <a:blip r:embed="rId24"/>
                    <a:srcRect l="76427" t="9128" r="-581" b="3282"/>
                    <a:stretch>
                      <a:fillRect/>
                    </a:stretch>
                  </pic:blipFill>
                  <pic:spPr>
                    <a:xfrm>
                      <a:off x="0" y="0"/>
                      <a:ext cx="1348740" cy="2549525"/>
                    </a:xfrm>
                    <a:prstGeom prst="rect">
                      <a:avLst/>
                    </a:prstGeom>
                    <a:noFill/>
                    <a:ln>
                      <a:noFill/>
                    </a:ln>
                  </pic:spPr>
                </pic:pic>
              </a:graphicData>
            </a:graphic>
          </wp:anchor>
        </w:drawing>
      </w:r>
      <w:r>
        <w:rPr>
          <w:rFonts w:hint="default"/>
        </w:rPr>
        <w:drawing>
          <wp:anchor distT="0" distB="0" distL="114300" distR="114300" simplePos="0" relativeHeight="286" behindDoc="0" locked="0" layoutInCell="1" hidden="0" allowOverlap="1">
            <wp:simplePos x="0" y="0"/>
            <wp:positionH relativeFrom="column">
              <wp:posOffset>3491865</wp:posOffset>
            </wp:positionH>
            <wp:positionV relativeFrom="paragraph">
              <wp:posOffset>217805</wp:posOffset>
            </wp:positionV>
            <wp:extent cx="1348740" cy="2549525"/>
            <wp:effectExtent l="0" t="0" r="0" b="0"/>
            <wp:wrapNone/>
            <wp:docPr id="1282" name="問5_横棒(知的)南風原町障がい全体"/>
            <a:graphic xmlns:a="http://schemas.openxmlformats.org/drawingml/2006/main">
              <a:graphicData uri="http://schemas.openxmlformats.org/drawingml/2006/picture">
                <pic:pic xmlns:pic="http://schemas.openxmlformats.org/drawingml/2006/picture">
                  <pic:nvPicPr>
                    <pic:cNvPr id="1282" name="問5_横棒(知的)南風原町障がい全体"/>
                    <pic:cNvPicPr>
                      <a:picLocks noChangeAspect="1" noChangeArrowheads="1"/>
                    </pic:cNvPicPr>
                  </pic:nvPicPr>
                  <pic:blipFill>
                    <a:blip r:embed="rId25"/>
                    <a:srcRect l="76427" t="9128" r="-581" b="3282"/>
                    <a:stretch>
                      <a:fillRect/>
                    </a:stretch>
                  </pic:blipFill>
                  <pic:spPr>
                    <a:xfrm>
                      <a:off x="0" y="0"/>
                      <a:ext cx="1348740" cy="2549525"/>
                    </a:xfrm>
                    <a:prstGeom prst="rect">
                      <a:avLst/>
                    </a:prstGeom>
                    <a:noFill/>
                    <a:ln>
                      <a:noFill/>
                    </a:ln>
                  </pic:spPr>
                </pic:pic>
              </a:graphicData>
            </a:graphic>
          </wp:anchor>
        </w:drawing>
      </w:r>
      <w:r>
        <w:rPr>
          <w:rFonts w:hint="default"/>
        </w:rPr>
        <w:drawing>
          <wp:anchor distT="0" distB="0" distL="114300" distR="114300" simplePos="0" relativeHeight="287" behindDoc="0" locked="0" layoutInCell="1" hidden="0" allowOverlap="1">
            <wp:simplePos x="0" y="0"/>
            <wp:positionH relativeFrom="column">
              <wp:posOffset>798830</wp:posOffset>
            </wp:positionH>
            <wp:positionV relativeFrom="paragraph">
              <wp:posOffset>226060</wp:posOffset>
            </wp:positionV>
            <wp:extent cx="2707640" cy="2549525"/>
            <wp:effectExtent l="0" t="0" r="0" b="0"/>
            <wp:wrapNone/>
            <wp:docPr id="1283" name="問5_横棒(身体)南風原町障がい全体"/>
            <a:graphic xmlns:a="http://schemas.openxmlformats.org/drawingml/2006/main">
              <a:graphicData uri="http://schemas.openxmlformats.org/drawingml/2006/picture">
                <pic:pic xmlns:pic="http://schemas.openxmlformats.org/drawingml/2006/picture">
                  <pic:nvPicPr>
                    <pic:cNvPr id="1283" name="問5_横棒(身体)南風原町障がい全体"/>
                    <pic:cNvPicPr>
                      <a:picLocks noChangeAspect="1" noChangeArrowheads="1"/>
                    </pic:cNvPicPr>
                  </pic:nvPicPr>
                  <pic:blipFill>
                    <a:blip r:embed="rId26"/>
                    <a:srcRect l="52094" t="9128" r="-581" b="3282"/>
                    <a:stretch>
                      <a:fillRect/>
                    </a:stretch>
                  </pic:blipFill>
                  <pic:spPr>
                    <a:xfrm>
                      <a:off x="0" y="0"/>
                      <a:ext cx="2707640" cy="2549525"/>
                    </a:xfrm>
                    <a:prstGeom prst="rect">
                      <a:avLst/>
                    </a:prstGeom>
                    <a:noFill/>
                    <a:ln>
                      <a:noFill/>
                    </a:ln>
                  </pic:spPr>
                </pic:pic>
              </a:graphicData>
            </a:graphic>
          </wp:anchor>
        </w:drawing>
      </w:r>
    </w:p>
    <w:p>
      <w:pPr>
        <w:pStyle w:val="302"/>
        <w:ind w:left="876" w:hanging="204"/>
        <w:rPr>
          <w:rFonts w:hint="default"/>
        </w:rPr>
      </w:pPr>
      <w:r>
        <w:rPr>
          <w:rFonts w:hint="default"/>
        </w:rPr>
        <mc:AlternateContent>
          <mc:Choice Requires="wps">
            <w:drawing>
              <wp:anchor distT="0" distB="0" distL="114300" distR="114300" simplePos="0" relativeHeight="309" behindDoc="0" locked="0" layoutInCell="1" hidden="0" allowOverlap="1">
                <wp:simplePos x="0" y="0"/>
                <wp:positionH relativeFrom="column">
                  <wp:posOffset>4826000</wp:posOffset>
                </wp:positionH>
                <wp:positionV relativeFrom="paragraph">
                  <wp:posOffset>83185</wp:posOffset>
                </wp:positionV>
                <wp:extent cx="1136015" cy="228600"/>
                <wp:effectExtent l="0" t="0" r="635" b="635"/>
                <wp:wrapNone/>
                <wp:docPr id="1284" name="テキスト ボックス 300"/>
                <a:graphic xmlns:a="http://schemas.openxmlformats.org/drawingml/2006/main">
                  <a:graphicData uri="http://schemas.microsoft.com/office/word/2010/wordprocessingShape">
                    <wps:wsp>
                      <wps:cNvPr id="1284" name="テキスト ボックス 300"/>
                      <wps:cNvSpPr txBox="1"/>
                      <wps:spPr>
                        <a:xfrm>
                          <a:off x="0" y="0"/>
                          <a:ext cx="113601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精神</w:t>
                            </w:r>
                            <w:r>
                              <w:rPr>
                                <w:rFonts w:hint="default" w:ascii="ＭＳ ゴシック" w:hAnsi="ＭＳ ゴシック" w:eastAsia="ＭＳ ゴシック"/>
                                <w:sz w:val="20"/>
                              </w:rPr>
                              <w:t>障</w:t>
                            </w:r>
                            <w:r>
                              <w:rPr>
                                <w:rFonts w:hint="eastAsia" w:ascii="ＭＳ ゴシック" w:hAnsi="ＭＳ ゴシック" w:eastAsia="ＭＳ ゴシック"/>
                                <w:sz w:val="20"/>
                              </w:rPr>
                              <w:t>がい</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00" style="mso-wrap-distance-right:9pt;mso-wrap-distance-bottom:0pt;margin-top:6.55pt;mso-position-vertical-relative:text;mso-position-horizontal-relative:text;v-text-anchor:middle;position:absolute;height:18pt;mso-wrap-distance-top:0pt;width:89.45pt;mso-wrap-distance-left:9pt;margin-left:380pt;z-index:309;" o:spid="_x0000_s1284"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精神</w:t>
                      </w:r>
                      <w:r>
                        <w:rPr>
                          <w:rFonts w:hint="default" w:ascii="ＭＳ ゴシック" w:hAnsi="ＭＳ ゴシック" w:eastAsia="ＭＳ ゴシック"/>
                          <w:sz w:val="20"/>
                        </w:rPr>
                        <w:t>障</w:t>
                      </w:r>
                      <w:r>
                        <w:rPr>
                          <w:rFonts w:hint="eastAsia" w:ascii="ＭＳ ゴシック" w:hAnsi="ＭＳ ゴシック" w:eastAsia="ＭＳ ゴシック"/>
                          <w:sz w:val="20"/>
                        </w:rPr>
                        <w:t>がい</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308" behindDoc="0" locked="0" layoutInCell="1" hidden="0" allowOverlap="1">
                <wp:simplePos x="0" y="0"/>
                <wp:positionH relativeFrom="column">
                  <wp:posOffset>3509010</wp:posOffset>
                </wp:positionH>
                <wp:positionV relativeFrom="paragraph">
                  <wp:posOffset>83185</wp:posOffset>
                </wp:positionV>
                <wp:extent cx="1136015" cy="228600"/>
                <wp:effectExtent l="0" t="0" r="635" b="635"/>
                <wp:wrapNone/>
                <wp:docPr id="1285" name="テキスト ボックス 299"/>
                <a:graphic xmlns:a="http://schemas.openxmlformats.org/drawingml/2006/main">
                  <a:graphicData uri="http://schemas.microsoft.com/office/word/2010/wordprocessingShape">
                    <wps:wsp>
                      <wps:cNvPr id="1285" name="テキスト ボックス 299"/>
                      <wps:cNvSpPr txBox="1"/>
                      <wps:spPr>
                        <a:xfrm>
                          <a:off x="0" y="0"/>
                          <a:ext cx="113601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知的</w:t>
                            </w:r>
                            <w:r>
                              <w:rPr>
                                <w:rFonts w:hint="default" w:ascii="ＭＳ ゴシック" w:hAnsi="ＭＳ ゴシック" w:eastAsia="ＭＳ ゴシック"/>
                                <w:sz w:val="20"/>
                              </w:rPr>
                              <w:t>障</w:t>
                            </w:r>
                            <w:r>
                              <w:rPr>
                                <w:rFonts w:hint="eastAsia" w:ascii="ＭＳ ゴシック" w:hAnsi="ＭＳ ゴシック" w:eastAsia="ＭＳ ゴシック"/>
                                <w:sz w:val="20"/>
                              </w:rPr>
                              <w:t>がい</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99" style="mso-wrap-distance-right:9pt;mso-wrap-distance-bottom:0pt;margin-top:6.55pt;mso-position-vertical-relative:text;mso-position-horizontal-relative:text;v-text-anchor:middle;position:absolute;height:18pt;mso-wrap-distance-top:0pt;width:89.45pt;mso-wrap-distance-left:9pt;margin-left:276.3pt;z-index:308;" o:spid="_x0000_s1285"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知的</w:t>
                      </w:r>
                      <w:r>
                        <w:rPr>
                          <w:rFonts w:hint="default" w:ascii="ＭＳ ゴシック" w:hAnsi="ＭＳ ゴシック" w:eastAsia="ＭＳ ゴシック"/>
                          <w:sz w:val="20"/>
                        </w:rPr>
                        <w:t>障</w:t>
                      </w:r>
                      <w:r>
                        <w:rPr>
                          <w:rFonts w:hint="eastAsia" w:ascii="ＭＳ ゴシック" w:hAnsi="ＭＳ ゴシック" w:eastAsia="ＭＳ ゴシック"/>
                          <w:sz w:val="20"/>
                        </w:rPr>
                        <w:t>がい</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307" behindDoc="0" locked="0" layoutInCell="1" hidden="0" allowOverlap="1">
                <wp:simplePos x="0" y="0"/>
                <wp:positionH relativeFrom="column">
                  <wp:posOffset>2191385</wp:posOffset>
                </wp:positionH>
                <wp:positionV relativeFrom="paragraph">
                  <wp:posOffset>83185</wp:posOffset>
                </wp:positionV>
                <wp:extent cx="1136015" cy="228600"/>
                <wp:effectExtent l="0" t="0" r="635" b="635"/>
                <wp:wrapNone/>
                <wp:docPr id="1286" name="テキスト ボックス 298"/>
                <a:graphic xmlns:a="http://schemas.openxmlformats.org/drawingml/2006/main">
                  <a:graphicData uri="http://schemas.microsoft.com/office/word/2010/wordprocessingShape">
                    <wps:wsp>
                      <wps:cNvPr id="1286" name="テキスト ボックス 298"/>
                      <wps:cNvSpPr txBox="1"/>
                      <wps:spPr>
                        <a:xfrm>
                          <a:off x="0" y="0"/>
                          <a:ext cx="113601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身体</w:t>
                            </w:r>
                            <w:r>
                              <w:rPr>
                                <w:rFonts w:hint="default" w:ascii="ＭＳ ゴシック" w:hAnsi="ＭＳ ゴシック" w:eastAsia="ＭＳ ゴシック"/>
                                <w:sz w:val="20"/>
                              </w:rPr>
                              <w:t>障</w:t>
                            </w:r>
                            <w:r>
                              <w:rPr>
                                <w:rFonts w:hint="eastAsia" w:ascii="ＭＳ ゴシック" w:hAnsi="ＭＳ ゴシック" w:eastAsia="ＭＳ ゴシック"/>
                                <w:sz w:val="20"/>
                              </w:rPr>
                              <w:t>がい</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98" style="mso-wrap-distance-right:9pt;mso-wrap-distance-bottom:0pt;margin-top:6.55pt;mso-position-vertical-relative:text;mso-position-horizontal-relative:text;v-text-anchor:middle;position:absolute;height:18pt;mso-wrap-distance-top:0pt;width:89.45pt;mso-wrap-distance-left:9pt;margin-left:172.55pt;z-index:307;" o:spid="_x0000_s1286"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身体</w:t>
                      </w:r>
                      <w:r>
                        <w:rPr>
                          <w:rFonts w:hint="default" w:ascii="ＭＳ ゴシック" w:hAnsi="ＭＳ ゴシック" w:eastAsia="ＭＳ ゴシック"/>
                          <w:sz w:val="20"/>
                        </w:rPr>
                        <w:t>障</w:t>
                      </w:r>
                      <w:r>
                        <w:rPr>
                          <w:rFonts w:hint="eastAsia" w:ascii="ＭＳ ゴシック" w:hAnsi="ＭＳ ゴシック" w:eastAsia="ＭＳ ゴシック"/>
                          <w:sz w:val="20"/>
                        </w:rPr>
                        <w:t>がい</w:t>
                      </w:r>
                    </w:p>
                  </w:txbxContent>
                </v:textbox>
                <v:imagedata o:title=""/>
                <w10:wrap type="none" anchorx="text" anchory="text"/>
              </v:shape>
            </w:pict>
          </mc:Fallback>
        </mc:AlternateContent>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ascii="ＭＳ ゴシック" w:hAnsi="ＭＳ ゴシック" w:eastAsia="ＭＳ ゴシック"/>
        </w:rPr>
      </w:pPr>
      <w:bookmarkStart w:id="389" w:name="_Toc52552084"/>
      <w:r>
        <w:rPr>
          <w:rFonts w:hint="default"/>
        </w:rPr>
        <w:br w:type="page"/>
      </w:r>
    </w:p>
    <w:p>
      <w:pPr>
        <w:pStyle w:val="303"/>
        <w:spacing w:after="74" w:afterLines="0" w:afterAutospacing="0"/>
        <w:ind w:left="560"/>
        <w:rPr>
          <w:rFonts w:hint="default"/>
        </w:rPr>
      </w:pPr>
      <w:bookmarkEnd w:id="389"/>
      <w:bookmarkStart w:id="390" w:name="_Toc52552085"/>
      <w:bookmarkStart w:id="391" w:name="_Toc52987285"/>
      <w:r>
        <w:rPr>
          <w:rFonts w:hint="eastAsia"/>
        </w:rPr>
        <w:t>６．</w:t>
      </w:r>
      <w:r>
        <w:rPr>
          <w:rFonts w:hint="default"/>
        </w:rPr>
        <w:t>主な介助者が悩んでいること・困っていること（複数回答）</w:t>
      </w:r>
      <w:bookmarkEnd w:id="390"/>
      <w:bookmarkEnd w:id="391"/>
    </w:p>
    <w:p>
      <w:pPr>
        <w:pStyle w:val="302"/>
        <w:rPr>
          <w:rFonts w:hint="default"/>
        </w:rPr>
      </w:pPr>
      <w:r>
        <w:rPr>
          <w:rFonts w:hint="eastAsia"/>
        </w:rPr>
        <w:t>●「本人の将来の介助や暮らし」が</w:t>
      </w:r>
      <w:r>
        <w:rPr>
          <w:rFonts w:hint="eastAsia"/>
        </w:rPr>
        <w:t>45.0</w:t>
      </w:r>
      <w:r>
        <w:rPr>
          <w:rFonts w:hint="default"/>
        </w:rPr>
        <w:t>％と最も高く、次に「身体的な疲れが大きい」、</w:t>
      </w:r>
      <w:r>
        <w:rPr>
          <w:rFonts w:hint="eastAsia"/>
        </w:rPr>
        <w:t>「経済的な負担が大きい」がともに</w:t>
      </w:r>
      <w:r>
        <w:rPr>
          <w:rFonts w:hint="default"/>
        </w:rPr>
        <w:t>31.3</w:t>
      </w:r>
      <w:r>
        <w:rPr>
          <w:rFonts w:hint="default"/>
        </w:rPr>
        <w:t>％</w:t>
      </w:r>
      <w:r>
        <w:rPr>
          <w:rFonts w:hint="eastAsia"/>
        </w:rPr>
        <w:t>、「精神的に休まらない」が</w:t>
      </w:r>
      <w:r>
        <w:rPr>
          <w:rFonts w:hint="eastAsia"/>
        </w:rPr>
        <w:t>28.8</w:t>
      </w:r>
      <w:r>
        <w:rPr>
          <w:rFonts w:hint="eastAsia"/>
        </w:rPr>
        <w:t>％</w:t>
      </w:r>
      <w:r>
        <w:rPr>
          <w:rFonts w:hint="default"/>
        </w:rPr>
        <w:t>となる。</w:t>
      </w:r>
    </w:p>
    <w:p>
      <w:pPr>
        <w:pStyle w:val="302"/>
        <w:ind w:left="876" w:hanging="204"/>
        <w:rPr>
          <w:rFonts w:hint="default"/>
        </w:rPr>
      </w:pPr>
      <w:r>
        <w:rPr>
          <w:rFonts w:hint="default"/>
        </w:rPr>
        <w:drawing>
          <wp:anchor distT="0" distB="0" distL="114300" distR="114300" simplePos="0" relativeHeight="284" behindDoc="0" locked="0" layoutInCell="1" hidden="0" allowOverlap="1">
            <wp:simplePos x="0" y="0"/>
            <wp:positionH relativeFrom="column">
              <wp:posOffset>935355</wp:posOffset>
            </wp:positionH>
            <wp:positionV relativeFrom="paragraph">
              <wp:posOffset>1905</wp:posOffset>
            </wp:positionV>
            <wp:extent cx="4675505" cy="4270375"/>
            <wp:effectExtent l="0" t="0" r="0" b="0"/>
            <wp:wrapNone/>
            <wp:docPr id="1287" name="問7_横棒南風原町障がい全体"/>
            <a:graphic xmlns:a="http://schemas.openxmlformats.org/drawingml/2006/main">
              <a:graphicData uri="http://schemas.openxmlformats.org/drawingml/2006/picture">
                <pic:pic xmlns:pic="http://schemas.openxmlformats.org/drawingml/2006/picture">
                  <pic:nvPicPr>
                    <pic:cNvPr id="1287" name="問7_横棒南風原町障がい全体"/>
                    <pic:cNvPicPr>
                      <a:picLocks noChangeAspect="1" noChangeArrowheads="1"/>
                    </pic:cNvPicPr>
                  </pic:nvPicPr>
                  <pic:blipFill>
                    <a:blip r:embed="rId27"/>
                    <a:srcRect l="11772" t="9674" r="4510" b="7414"/>
                    <a:stretch>
                      <a:fillRect/>
                    </a:stretch>
                  </pic:blipFill>
                  <pic:spPr>
                    <a:xfrm>
                      <a:off x="0" y="0"/>
                      <a:ext cx="4675505" cy="427037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ascii="ＭＳ ゴシック" w:hAnsi="ＭＳ ゴシック" w:eastAsia="ＭＳ ゴシック"/>
        </w:rPr>
      </w:pPr>
      <w:bookmarkStart w:id="392" w:name="_Toc52552086"/>
      <w:bookmarkStart w:id="393" w:name="_Toc52987286"/>
      <w:r>
        <w:rPr>
          <w:rFonts w:hint="default"/>
        </w:rPr>
        <w:br w:type="page"/>
      </w:r>
    </w:p>
    <w:p>
      <w:pPr>
        <w:pStyle w:val="303"/>
        <w:spacing w:after="74" w:afterLines="0" w:afterAutospacing="0"/>
        <w:ind w:left="560"/>
        <w:rPr>
          <w:rFonts w:hint="default"/>
        </w:rPr>
      </w:pPr>
      <w:bookmarkEnd w:id="392"/>
      <w:bookmarkEnd w:id="393"/>
      <w:bookmarkStart w:id="394" w:name="_Toc52552087"/>
      <w:bookmarkStart w:id="395" w:name="_Toc52987287"/>
      <w:r>
        <w:rPr>
          <w:rFonts w:hint="eastAsia"/>
        </w:rPr>
        <w:t>７．障がいのある方本人が、日常生活で悩んでいること・困っていること</w:t>
      </w:r>
      <w:r>
        <w:rPr>
          <w:rFonts w:hint="default"/>
        </w:rPr>
        <w:t>（複数回答）</w:t>
      </w:r>
      <w:bookmarkEnd w:id="394"/>
      <w:bookmarkEnd w:id="395"/>
    </w:p>
    <w:p>
      <w:pPr>
        <w:pStyle w:val="302"/>
        <w:rPr>
          <w:rFonts w:hint="default"/>
        </w:rPr>
      </w:pPr>
      <w:r>
        <w:rPr>
          <w:rFonts w:hint="eastAsia"/>
        </w:rPr>
        <w:t>●「自分の健康・病気の治療」が</w:t>
      </w:r>
      <w:r>
        <w:rPr>
          <w:rFonts w:hint="eastAsia"/>
        </w:rPr>
        <w:t>53.1</w:t>
      </w:r>
      <w:r>
        <w:rPr>
          <w:rFonts w:hint="default"/>
        </w:rPr>
        <w:t>％と最も高く、次に「収入や生活費」が</w:t>
      </w:r>
      <w:r>
        <w:rPr>
          <w:rFonts w:hint="eastAsia"/>
        </w:rPr>
        <w:t>41.1</w:t>
      </w:r>
      <w:r>
        <w:rPr>
          <w:rFonts w:hint="default"/>
        </w:rPr>
        <w:t>％、「将来の生活や介助」が</w:t>
      </w:r>
      <w:r>
        <w:rPr>
          <w:rFonts w:hint="eastAsia"/>
        </w:rPr>
        <w:t>26.7</w:t>
      </w:r>
      <w:r>
        <w:rPr>
          <w:rFonts w:hint="default"/>
        </w:rPr>
        <w:t>％となる。</w:t>
      </w:r>
    </w:p>
    <w:p>
      <w:pPr>
        <w:pStyle w:val="302"/>
        <w:ind w:left="876" w:hanging="204"/>
        <w:rPr>
          <w:rFonts w:hint="default"/>
        </w:rPr>
      </w:pPr>
      <w:r>
        <w:rPr>
          <w:rFonts w:hint="default"/>
        </w:rPr>
        <w:drawing>
          <wp:anchor distT="0" distB="0" distL="114300" distR="114300" simplePos="0" relativeHeight="291" behindDoc="0" locked="0" layoutInCell="1" hidden="0" allowOverlap="1">
            <wp:simplePos x="0" y="0"/>
            <wp:positionH relativeFrom="column">
              <wp:posOffset>775335</wp:posOffset>
            </wp:positionH>
            <wp:positionV relativeFrom="paragraph">
              <wp:posOffset>36195</wp:posOffset>
            </wp:positionV>
            <wp:extent cx="5195570" cy="4488180"/>
            <wp:effectExtent l="0" t="0" r="0" b="0"/>
            <wp:wrapNone/>
            <wp:docPr id="1288" name="問35_横棒南風原町障がい全体"/>
            <a:graphic xmlns:a="http://schemas.openxmlformats.org/drawingml/2006/main">
              <a:graphicData uri="http://schemas.openxmlformats.org/drawingml/2006/picture">
                <pic:pic xmlns:pic="http://schemas.openxmlformats.org/drawingml/2006/picture">
                  <pic:nvPicPr>
                    <pic:cNvPr id="1288" name="問35_横棒南風原町障がい全体"/>
                    <pic:cNvPicPr>
                      <a:picLocks noChangeAspect="1" noChangeArrowheads="1"/>
                    </pic:cNvPicPr>
                  </pic:nvPicPr>
                  <pic:blipFill>
                    <a:blip r:embed="rId28"/>
                    <a:srcRect l="6528" t="10638" r="443" b="5807"/>
                    <a:stretch>
                      <a:fillRect/>
                    </a:stretch>
                  </pic:blipFill>
                  <pic:spPr>
                    <a:xfrm>
                      <a:off x="0" y="0"/>
                      <a:ext cx="5195570" cy="4488180"/>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ascii="ＭＳ ゴシック" w:hAnsi="ＭＳ ゴシック" w:eastAsia="ＭＳ ゴシック"/>
        </w:rPr>
      </w:pPr>
      <w:bookmarkStart w:id="396" w:name="_Toc52552088"/>
      <w:bookmarkStart w:id="397" w:name="_Toc52987288"/>
      <w:r>
        <w:rPr>
          <w:rFonts w:hint="default"/>
        </w:rPr>
        <w:br w:type="page"/>
      </w:r>
    </w:p>
    <w:p>
      <w:pPr>
        <w:pStyle w:val="303"/>
        <w:spacing w:after="74" w:afterLines="0" w:afterAutospacing="0"/>
        <w:ind w:left="560"/>
        <w:rPr>
          <w:rFonts w:hint="default"/>
        </w:rPr>
      </w:pPr>
      <w:r>
        <w:rPr>
          <w:rFonts w:hint="eastAsia"/>
        </w:rPr>
        <w:t>８．</w:t>
      </w:r>
      <w:r>
        <w:rPr>
          <w:rFonts w:hint="default"/>
        </w:rPr>
        <w:t>悩みや困りごとの相談相手・相談先（複数回答）</w:t>
      </w:r>
      <w:bookmarkEnd w:id="396"/>
      <w:bookmarkEnd w:id="397"/>
    </w:p>
    <w:p>
      <w:pPr>
        <w:pStyle w:val="302"/>
        <w:rPr>
          <w:rFonts w:hint="default"/>
        </w:rPr>
      </w:pPr>
      <w:r>
        <w:rPr>
          <w:rFonts w:hint="eastAsia"/>
        </w:rPr>
        <w:t>●「家族・親族」が</w:t>
      </w:r>
      <w:r>
        <w:rPr>
          <w:rFonts w:hint="eastAsia"/>
        </w:rPr>
        <w:t>65.8</w:t>
      </w:r>
      <w:r>
        <w:rPr>
          <w:rFonts w:hint="default"/>
        </w:rPr>
        <w:t>％と最も高く、次に「友人・知人」が</w:t>
      </w:r>
      <w:r>
        <w:rPr>
          <w:rFonts w:hint="eastAsia"/>
        </w:rPr>
        <w:t>30.4</w:t>
      </w:r>
      <w:r>
        <w:rPr>
          <w:rFonts w:hint="default"/>
        </w:rPr>
        <w:t>％、「医療の専門家</w:t>
      </w:r>
      <w:r>
        <w:rPr>
          <w:rFonts w:hint="default"/>
        </w:rPr>
        <w:t>(</w:t>
      </w:r>
      <w:r>
        <w:rPr>
          <w:rFonts w:hint="default"/>
        </w:rPr>
        <w:t>医師・看護師など</w:t>
      </w:r>
      <w:r>
        <w:rPr>
          <w:rFonts w:hint="default"/>
        </w:rPr>
        <w:t>)</w:t>
      </w:r>
      <w:r>
        <w:rPr>
          <w:rFonts w:hint="default"/>
        </w:rPr>
        <w:t>」が</w:t>
      </w:r>
      <w:r>
        <w:rPr>
          <w:rFonts w:hint="eastAsia"/>
        </w:rPr>
        <w:t>22.7</w:t>
      </w:r>
      <w:r>
        <w:rPr>
          <w:rFonts w:hint="default"/>
        </w:rPr>
        <w:t>％</w:t>
      </w:r>
      <w:r>
        <w:rPr>
          <w:rFonts w:hint="eastAsia"/>
        </w:rPr>
        <w:t>となる。</w:t>
      </w:r>
    </w:p>
    <w:p>
      <w:pPr>
        <w:pStyle w:val="302"/>
        <w:rPr>
          <w:rFonts w:hint="default"/>
        </w:rPr>
      </w:pPr>
      <w:r>
        <w:rPr>
          <w:rFonts w:hint="eastAsia"/>
        </w:rPr>
        <w:t>●割合は低いが</w:t>
      </w:r>
      <w:r>
        <w:rPr>
          <w:rFonts w:hint="default"/>
        </w:rPr>
        <w:t>「どこに相談したらよいかわからない」が</w:t>
      </w:r>
      <w:r>
        <w:rPr>
          <w:rFonts w:hint="eastAsia"/>
        </w:rPr>
        <w:t>4.2</w:t>
      </w:r>
      <w:r>
        <w:rPr>
          <w:rFonts w:hint="default"/>
        </w:rPr>
        <w:t>％、「誰にも相談したいとは思わない」が</w:t>
      </w:r>
      <w:r>
        <w:rPr>
          <w:rFonts w:hint="eastAsia"/>
        </w:rPr>
        <w:t>2.7</w:t>
      </w:r>
      <w:r>
        <w:rPr>
          <w:rFonts w:hint="default"/>
        </w:rPr>
        <w:t>％</w:t>
      </w:r>
      <w:r>
        <w:rPr>
          <w:rFonts w:hint="eastAsia"/>
        </w:rPr>
        <w:t>と悩みを抱え込んでいるケースもあると思われる。</w:t>
      </w:r>
    </w:p>
    <w:p>
      <w:pPr>
        <w:pStyle w:val="302"/>
        <w:rPr>
          <w:rFonts w:hint="default"/>
        </w:rPr>
      </w:pPr>
    </w:p>
    <w:p>
      <w:pPr>
        <w:pStyle w:val="302"/>
        <w:ind w:left="876" w:hanging="204"/>
        <w:rPr>
          <w:rFonts w:hint="default"/>
        </w:rPr>
      </w:pPr>
      <w:r>
        <w:rPr>
          <w:rFonts w:hint="default"/>
        </w:rPr>
        <w:drawing>
          <wp:anchor distT="0" distB="0" distL="114300" distR="114300" simplePos="0" relativeHeight="292" behindDoc="0" locked="0" layoutInCell="1" hidden="0" allowOverlap="1">
            <wp:simplePos x="0" y="0"/>
            <wp:positionH relativeFrom="column">
              <wp:posOffset>1086485</wp:posOffset>
            </wp:positionH>
            <wp:positionV relativeFrom="paragraph">
              <wp:posOffset>18415</wp:posOffset>
            </wp:positionV>
            <wp:extent cx="4674235" cy="3999865"/>
            <wp:effectExtent l="0" t="0" r="0" b="0"/>
            <wp:wrapNone/>
            <wp:docPr id="1289" name="問34_横棒南風原町障がい全体"/>
            <a:graphic xmlns:a="http://schemas.openxmlformats.org/drawingml/2006/main">
              <a:graphicData uri="http://schemas.openxmlformats.org/drawingml/2006/picture">
                <pic:pic xmlns:pic="http://schemas.openxmlformats.org/drawingml/2006/picture">
                  <pic:nvPicPr>
                    <pic:cNvPr id="1289" name="問34_横棒南風原町障がい全体"/>
                    <pic:cNvPicPr>
                      <a:picLocks noChangeAspect="1" noChangeArrowheads="1"/>
                    </pic:cNvPicPr>
                  </pic:nvPicPr>
                  <pic:blipFill>
                    <a:blip r:embed="rId29"/>
                    <a:srcRect l="17139" t="12141" r="-826" b="6593"/>
                    <a:stretch>
                      <a:fillRect/>
                    </a:stretch>
                  </pic:blipFill>
                  <pic:spPr>
                    <a:xfrm>
                      <a:off x="0" y="0"/>
                      <a:ext cx="4674235" cy="399986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ascii="ＭＳ ゴシック" w:hAnsi="ＭＳ ゴシック" w:eastAsia="ＭＳ ゴシック"/>
        </w:rPr>
      </w:pPr>
      <w:bookmarkStart w:id="398" w:name="_Toc52552091"/>
      <w:bookmarkStart w:id="399" w:name="_Toc52987291"/>
      <w:r>
        <w:rPr>
          <w:rFonts w:hint="default"/>
        </w:rPr>
        <w:br w:type="page"/>
      </w:r>
    </w:p>
    <w:p>
      <w:pPr>
        <w:pStyle w:val="303"/>
        <w:spacing w:after="74" w:afterLines="0" w:afterAutospacing="0"/>
        <w:ind w:left="560"/>
        <w:rPr>
          <w:rFonts w:hint="default"/>
        </w:rPr>
      </w:pPr>
      <w:r>
        <w:rPr>
          <w:rFonts w:hint="eastAsia"/>
        </w:rPr>
        <w:t>９．情報の入手方法（複数回答）</w:t>
      </w:r>
      <w:bookmarkEnd w:id="398"/>
      <w:bookmarkEnd w:id="399"/>
    </w:p>
    <w:p>
      <w:pPr>
        <w:pStyle w:val="302"/>
        <w:rPr>
          <w:rFonts w:hint="default"/>
        </w:rPr>
      </w:pPr>
      <w:r>
        <w:rPr>
          <w:rFonts w:hint="eastAsia"/>
        </w:rPr>
        <w:t>●</w:t>
      </w:r>
      <w:r>
        <w:rPr>
          <w:rFonts w:hint="default"/>
        </w:rPr>
        <w:t>福祉や医療及びその他必要な情報の入手方法については、「家族・親族」が</w:t>
      </w:r>
      <w:r>
        <w:rPr>
          <w:rFonts w:hint="eastAsia"/>
        </w:rPr>
        <w:t>41.9</w:t>
      </w:r>
      <w:r>
        <w:rPr>
          <w:rFonts w:hint="default"/>
        </w:rPr>
        <w:t>％、「医療機関」が</w:t>
      </w:r>
      <w:r>
        <w:rPr>
          <w:rFonts w:hint="eastAsia"/>
        </w:rPr>
        <w:t>28.7</w:t>
      </w:r>
      <w:r>
        <w:rPr>
          <w:rFonts w:hint="default"/>
        </w:rPr>
        <w:t>％と高い。次に</w:t>
      </w:r>
      <w:r>
        <w:rPr>
          <w:rFonts w:hint="eastAsia"/>
        </w:rPr>
        <w:t>「インターネット</w:t>
      </w:r>
      <w:r>
        <w:rPr>
          <w:rFonts w:hint="eastAsia"/>
        </w:rPr>
        <w:t>(</w:t>
      </w:r>
      <w:r>
        <w:rPr>
          <w:rFonts w:hint="eastAsia"/>
        </w:rPr>
        <w:t>スマホやパソコン</w:t>
      </w:r>
      <w:r>
        <w:rPr>
          <w:rFonts w:hint="eastAsia"/>
        </w:rPr>
        <w:t>)</w:t>
      </w:r>
      <w:r>
        <w:rPr>
          <w:rFonts w:hint="eastAsia"/>
        </w:rPr>
        <w:t>」が</w:t>
      </w:r>
      <w:r>
        <w:rPr>
          <w:rFonts w:hint="eastAsia"/>
        </w:rPr>
        <w:t>26.2</w:t>
      </w:r>
      <w:r>
        <w:rPr>
          <w:rFonts w:hint="eastAsia"/>
        </w:rPr>
        <w:t>％</w:t>
      </w:r>
      <w:r>
        <w:rPr>
          <w:rFonts w:hint="default"/>
        </w:rPr>
        <w:t>となる。</w:t>
      </w:r>
    </w:p>
    <w:p>
      <w:pPr>
        <w:pStyle w:val="302"/>
        <w:ind w:left="876" w:hanging="204"/>
        <w:rPr>
          <w:rFonts w:hint="default"/>
        </w:rPr>
      </w:pPr>
      <w:r>
        <w:rPr>
          <w:rFonts w:hint="default"/>
        </w:rPr>
        <w:drawing>
          <wp:anchor distT="0" distB="0" distL="114300" distR="114300" simplePos="0" relativeHeight="290" behindDoc="0" locked="0" layoutInCell="1" hidden="0" allowOverlap="1">
            <wp:simplePos x="0" y="0"/>
            <wp:positionH relativeFrom="column">
              <wp:posOffset>1137920</wp:posOffset>
            </wp:positionH>
            <wp:positionV relativeFrom="paragraph">
              <wp:posOffset>234950</wp:posOffset>
            </wp:positionV>
            <wp:extent cx="4862830" cy="5234305"/>
            <wp:effectExtent l="0" t="0" r="0" b="0"/>
            <wp:wrapNone/>
            <wp:docPr id="1290" name="問36_横棒南風原町障がい全体"/>
            <a:graphic xmlns:a="http://schemas.openxmlformats.org/drawingml/2006/main">
              <a:graphicData uri="http://schemas.openxmlformats.org/drawingml/2006/picture">
                <pic:pic xmlns:pic="http://schemas.openxmlformats.org/drawingml/2006/picture">
                  <pic:nvPicPr>
                    <pic:cNvPr id="1290" name="問36_横棒南風原町障がい全体"/>
                    <pic:cNvPicPr>
                      <a:picLocks noChangeAspect="1" noChangeArrowheads="1"/>
                    </pic:cNvPicPr>
                  </pic:nvPicPr>
                  <pic:blipFill>
                    <a:blip r:embed="rId30"/>
                    <a:srcRect l="16400" t="7256" r="-3464" b="2826"/>
                    <a:stretch>
                      <a:fillRect/>
                    </a:stretch>
                  </pic:blipFill>
                  <pic:spPr>
                    <a:xfrm>
                      <a:off x="0" y="0"/>
                      <a:ext cx="4862830" cy="5234305"/>
                    </a:xfrm>
                    <a:prstGeom prst="rect">
                      <a:avLst/>
                    </a:prstGeom>
                    <a:noFill/>
                    <a:ln>
                      <a:noFill/>
                    </a:ln>
                  </pic:spPr>
                </pic:pic>
              </a:graphicData>
            </a:graphic>
          </wp:anchor>
        </w:drawing>
      </w:r>
      <w:r>
        <w:rPr>
          <w:rFonts w:hint="eastAsia"/>
        </w:rPr>
        <w:t>●「情報を得るところはない・知らない」が</w:t>
      </w:r>
      <w:r>
        <w:rPr>
          <w:rFonts w:hint="eastAsia"/>
        </w:rPr>
        <w:t>12.0</w:t>
      </w:r>
      <w:r>
        <w:rPr>
          <w:rFonts w:hint="default"/>
        </w:rPr>
        <w:t>％となる。</w:t>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ascii="ＭＳ ゴシック" w:hAnsi="ＭＳ ゴシック" w:eastAsia="ＭＳ ゴシック"/>
        </w:rPr>
      </w:pPr>
      <w:bookmarkStart w:id="400" w:name="_Toc52552092"/>
      <w:bookmarkStart w:id="401" w:name="_Toc52987292"/>
      <w:r>
        <w:rPr>
          <w:rFonts w:hint="default"/>
        </w:rPr>
        <w:br w:type="page"/>
      </w:r>
    </w:p>
    <w:p>
      <w:pPr>
        <w:pStyle w:val="303"/>
        <w:spacing w:after="74" w:afterLines="0" w:afterAutospacing="0"/>
        <w:ind w:left="560"/>
        <w:rPr>
          <w:rFonts w:hint="default"/>
        </w:rPr>
      </w:pPr>
      <w:r>
        <w:rPr>
          <w:rFonts w:hint="eastAsia"/>
        </w:rPr>
        <w:t>10</w:t>
      </w:r>
      <w:r>
        <w:rPr>
          <w:rFonts w:hint="eastAsia"/>
        </w:rPr>
        <w:t>．</w:t>
      </w:r>
      <w:r>
        <w:rPr>
          <w:rFonts w:hint="default"/>
        </w:rPr>
        <w:t>情報の入手やコミュニケーションをとる上で配慮</w:t>
      </w:r>
      <w:r>
        <w:rPr>
          <w:rFonts w:hint="eastAsia"/>
        </w:rPr>
        <w:t>してほしいこと</w:t>
      </w:r>
      <w:r>
        <w:rPr>
          <w:rFonts w:hint="default"/>
        </w:rPr>
        <w:t>（複数回答）</w:t>
      </w:r>
      <w:bookmarkEnd w:id="400"/>
      <w:bookmarkEnd w:id="401"/>
    </w:p>
    <w:p>
      <w:pPr>
        <w:pStyle w:val="302"/>
        <w:rPr>
          <w:rFonts w:hint="default"/>
        </w:rPr>
      </w:pPr>
      <w:r>
        <w:rPr>
          <w:rFonts w:hint="eastAsia"/>
        </w:rPr>
        <w:t>●</w:t>
      </w:r>
      <w:r>
        <w:rPr>
          <w:rFonts w:hint="default"/>
        </w:rPr>
        <w:t>「情報をわかりやすく説明してくれる人がほしい」</w:t>
      </w:r>
      <w:r>
        <w:rPr>
          <w:rFonts w:hint="eastAsia"/>
        </w:rPr>
        <w:t>が</w:t>
      </w:r>
      <w:r>
        <w:rPr>
          <w:rFonts w:hint="eastAsia"/>
        </w:rPr>
        <w:t>26.9</w:t>
      </w:r>
      <w:r>
        <w:rPr>
          <w:rFonts w:hint="default"/>
        </w:rPr>
        <w:t>％</w:t>
      </w:r>
      <w:r>
        <w:rPr>
          <w:rFonts w:hint="eastAsia"/>
        </w:rPr>
        <w:t>、次に</w:t>
      </w:r>
      <w:r>
        <w:rPr>
          <w:rFonts w:hint="default"/>
        </w:rPr>
        <w:t>「知りたい情報について相談できる所がほしい」</w:t>
      </w:r>
      <w:r>
        <w:rPr>
          <w:rFonts w:hint="eastAsia"/>
        </w:rPr>
        <w:t>が</w:t>
      </w:r>
      <w:r>
        <w:rPr>
          <w:rFonts w:hint="eastAsia"/>
        </w:rPr>
        <w:t>25.4</w:t>
      </w:r>
      <w:r>
        <w:rPr>
          <w:rFonts w:hint="eastAsia"/>
        </w:rPr>
        <w:t>％と高く</w:t>
      </w:r>
      <w:r>
        <w:rPr>
          <w:rFonts w:hint="default"/>
        </w:rPr>
        <w:t>、</w:t>
      </w:r>
      <w:r>
        <w:rPr>
          <w:rFonts w:hint="eastAsia"/>
        </w:rPr>
        <w:t>以上の</w:t>
      </w:r>
      <w:r>
        <w:rPr>
          <w:rFonts w:hint="eastAsia"/>
        </w:rPr>
        <w:t>2</w:t>
      </w:r>
      <w:r>
        <w:rPr>
          <w:rFonts w:hint="eastAsia"/>
        </w:rPr>
        <w:t>つが特に配慮が必要なポイントとなる。</w:t>
      </w:r>
    </w:p>
    <w:p>
      <w:pPr>
        <w:pStyle w:val="302"/>
        <w:ind w:left="876" w:hanging="204"/>
        <w:rPr>
          <w:rFonts w:hint="default"/>
        </w:rPr>
      </w:pPr>
      <w:r>
        <w:rPr>
          <w:rFonts w:hint="default"/>
        </w:rPr>
        <w:drawing>
          <wp:anchor distT="0" distB="0" distL="114300" distR="114300" simplePos="0" relativeHeight="289" behindDoc="0" locked="0" layoutInCell="1" hidden="0" allowOverlap="1">
            <wp:simplePos x="0" y="0"/>
            <wp:positionH relativeFrom="column">
              <wp:posOffset>892810</wp:posOffset>
            </wp:positionH>
            <wp:positionV relativeFrom="paragraph">
              <wp:posOffset>60960</wp:posOffset>
            </wp:positionV>
            <wp:extent cx="5292725" cy="3864610"/>
            <wp:effectExtent l="0" t="0" r="0" b="0"/>
            <wp:wrapNone/>
            <wp:docPr id="1291" name="問37_横棒南風原町障がい全体"/>
            <a:graphic xmlns:a="http://schemas.openxmlformats.org/drawingml/2006/main">
              <a:graphicData uri="http://schemas.openxmlformats.org/drawingml/2006/picture">
                <pic:pic xmlns:pic="http://schemas.openxmlformats.org/drawingml/2006/picture">
                  <pic:nvPicPr>
                    <pic:cNvPr id="1291" name="問37_横棒南風原町障がい全体"/>
                    <pic:cNvPicPr>
                      <a:picLocks noChangeAspect="1" noChangeArrowheads="1"/>
                    </pic:cNvPicPr>
                  </pic:nvPicPr>
                  <pic:blipFill>
                    <a:blip r:embed="rId31"/>
                    <a:srcRect l="6587" t="11092" r="-1350" b="2647"/>
                    <a:stretch>
                      <a:fillRect/>
                    </a:stretch>
                  </pic:blipFill>
                  <pic:spPr>
                    <a:xfrm>
                      <a:off x="0" y="0"/>
                      <a:ext cx="5292725" cy="3864610"/>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ascii="ＭＳ ゴシック" w:hAnsi="ＭＳ ゴシック" w:eastAsia="ＭＳ ゴシック"/>
        </w:rPr>
      </w:pPr>
      <w:bookmarkStart w:id="402" w:name="_Toc52552093"/>
      <w:bookmarkStart w:id="403" w:name="_Toc52987293"/>
      <w:r>
        <w:rPr>
          <w:rFonts w:hint="default"/>
        </w:rPr>
        <w:br w:type="page"/>
      </w:r>
    </w:p>
    <w:p>
      <w:pPr>
        <w:pStyle w:val="303"/>
        <w:spacing w:after="74" w:afterLines="0" w:afterAutospacing="0"/>
        <w:ind w:left="560"/>
        <w:rPr>
          <w:rFonts w:hint="default"/>
        </w:rPr>
      </w:pPr>
      <w:bookmarkEnd w:id="402"/>
      <w:bookmarkEnd w:id="403"/>
      <w:bookmarkStart w:id="404" w:name="_Toc52552094"/>
      <w:bookmarkStart w:id="405" w:name="_Toc52987294"/>
      <w:r>
        <w:rPr>
          <w:rFonts w:hint="eastAsia"/>
        </w:rPr>
        <w:t>11</w:t>
      </w:r>
      <w:r>
        <w:rPr>
          <w:rFonts w:hint="eastAsia"/>
        </w:rPr>
        <w:t>．</w:t>
      </w:r>
      <w:r>
        <w:rPr>
          <w:rFonts w:hint="default"/>
        </w:rPr>
        <w:t>外出の</w:t>
      </w:r>
      <w:r>
        <w:rPr>
          <w:rFonts w:hint="eastAsia"/>
        </w:rPr>
        <w:t>状況</w:t>
      </w:r>
      <w:bookmarkEnd w:id="404"/>
      <w:bookmarkEnd w:id="405"/>
    </w:p>
    <w:p>
      <w:pPr>
        <w:pStyle w:val="302"/>
        <w:rPr>
          <w:rFonts w:hint="default"/>
        </w:rPr>
      </w:pPr>
      <w:r>
        <w:rPr>
          <w:rFonts w:hint="eastAsia"/>
        </w:rPr>
        <w:t>●１週間の外出頻度は、「毎日外出する」が</w:t>
      </w:r>
      <w:r>
        <w:rPr>
          <w:rFonts w:hint="default"/>
        </w:rPr>
        <w:t>35.4</w:t>
      </w:r>
      <w:r>
        <w:rPr>
          <w:rFonts w:hint="default"/>
        </w:rPr>
        <w:t>％と高く、次いで、「１週間に３回以上外出する」が</w:t>
      </w:r>
      <w:r>
        <w:rPr>
          <w:rFonts w:hint="default"/>
        </w:rPr>
        <w:t>33.7</w:t>
      </w:r>
      <w:r>
        <w:rPr>
          <w:rFonts w:hint="default"/>
        </w:rPr>
        <w:t>％</w:t>
      </w:r>
      <w:r>
        <w:rPr>
          <w:rFonts w:hint="eastAsia"/>
        </w:rPr>
        <w:t>、「１週間に１回程度外出する」が</w:t>
      </w:r>
      <w:r>
        <w:rPr>
          <w:rFonts w:hint="default"/>
        </w:rPr>
        <w:t>19.7</w:t>
      </w:r>
      <w:r>
        <w:rPr>
          <w:rFonts w:hint="default"/>
        </w:rPr>
        <w:t>％</w:t>
      </w:r>
      <w:r>
        <w:rPr>
          <w:rFonts w:hint="eastAsia"/>
        </w:rPr>
        <w:t>となる。</w:t>
      </w:r>
    </w:p>
    <w:p>
      <w:pPr>
        <w:pStyle w:val="302"/>
        <w:rPr>
          <w:rFonts w:hint="default"/>
        </w:rPr>
      </w:pPr>
      <w:r>
        <w:rPr>
          <w:rFonts w:hint="eastAsia"/>
        </w:rPr>
        <w:t>●「まったく外出しない」が</w:t>
      </w:r>
      <w:r>
        <w:rPr>
          <w:rFonts w:hint="eastAsia"/>
        </w:rPr>
        <w:t>7.5</w:t>
      </w:r>
      <w:r>
        <w:rPr>
          <w:rFonts w:hint="eastAsia"/>
        </w:rPr>
        <w:t>％となる。</w:t>
      </w:r>
    </w:p>
    <w:p>
      <w:pPr>
        <w:pStyle w:val="302"/>
        <w:rPr>
          <w:rFonts w:hint="default"/>
        </w:rPr>
      </w:pPr>
      <w:r>
        <w:rPr>
          <w:rFonts w:hint="eastAsia"/>
        </w:rPr>
        <w:t>●一人での外出は、「一人で外出する」が</w:t>
      </w:r>
      <w:r>
        <w:rPr>
          <w:rFonts w:hint="eastAsia"/>
        </w:rPr>
        <w:t>55.1</w:t>
      </w:r>
      <w:r>
        <w:rPr>
          <w:rFonts w:hint="eastAsia"/>
        </w:rPr>
        <w:t>％、「同伴者がいる」が</w:t>
      </w:r>
      <w:r>
        <w:rPr>
          <w:rFonts w:hint="eastAsia"/>
        </w:rPr>
        <w:t>39.0</w:t>
      </w:r>
      <w:r>
        <w:rPr>
          <w:rFonts w:hint="eastAsia"/>
        </w:rPr>
        <w:t>％と４割近くは同伴者と一緒に外出する。</w:t>
      </w:r>
    </w:p>
    <w:p>
      <w:pPr>
        <w:pStyle w:val="306"/>
        <w:spacing w:before="185" w:beforeLines="0" w:beforeAutospacing="0"/>
        <w:ind w:left="1314"/>
        <w:rPr>
          <w:rFonts w:hint="default"/>
        </w:rPr>
      </w:pPr>
      <w:r>
        <w:rPr>
          <w:rFonts w:hint="eastAsia"/>
        </w:rPr>
        <w:t>※「同伴者がいる」は、問</w:t>
      </w:r>
      <w:r>
        <w:rPr>
          <w:rFonts w:hint="eastAsia"/>
        </w:rPr>
        <w:t>21</w:t>
      </w:r>
      <w:r>
        <w:rPr>
          <w:rFonts w:hint="eastAsia"/>
        </w:rPr>
        <w:t>　主な同伴者より、選択肢</w:t>
      </w:r>
      <w:r>
        <w:rPr>
          <w:rFonts w:hint="eastAsia"/>
        </w:rPr>
        <w:t>1</w:t>
      </w:r>
      <w:r>
        <w:rPr>
          <w:rFonts w:hint="eastAsia"/>
        </w:rPr>
        <w:t>～</w:t>
      </w:r>
      <w:r>
        <w:rPr>
          <w:rFonts w:hint="eastAsia"/>
        </w:rPr>
        <w:t>6</w:t>
      </w:r>
      <w:r>
        <w:rPr>
          <w:rFonts w:hint="eastAsia"/>
        </w:rPr>
        <w:t>のいずれかを選択したもので算出。</w:t>
      </w:r>
    </w:p>
    <w:p>
      <w:pPr>
        <w:pStyle w:val="302"/>
        <w:ind w:left="876" w:hanging="204"/>
        <w:rPr>
          <w:rFonts w:hint="default"/>
        </w:rPr>
      </w:pPr>
      <w:r>
        <w:rPr>
          <w:rFonts w:hint="default"/>
        </w:rPr>
        <w:drawing>
          <wp:anchor distT="0" distB="0" distL="114300" distR="114300" simplePos="0" relativeHeight="296" behindDoc="0" locked="0" layoutInCell="1" hidden="0" allowOverlap="1">
            <wp:simplePos x="0" y="0"/>
            <wp:positionH relativeFrom="column">
              <wp:posOffset>1032510</wp:posOffset>
            </wp:positionH>
            <wp:positionV relativeFrom="paragraph">
              <wp:posOffset>197485</wp:posOffset>
            </wp:positionV>
            <wp:extent cx="2187575" cy="2527300"/>
            <wp:effectExtent l="0" t="0" r="0" b="0"/>
            <wp:wrapSquare wrapText="bothSides"/>
            <wp:docPr id="1292" name="問20_円南風原町障がい全体"/>
            <a:graphic xmlns:a="http://schemas.openxmlformats.org/drawingml/2006/main">
              <a:graphicData uri="http://schemas.openxmlformats.org/drawingml/2006/picture">
                <pic:pic xmlns:pic="http://schemas.openxmlformats.org/drawingml/2006/picture">
                  <pic:nvPicPr>
                    <pic:cNvPr id="1292" name="問20_円南風原町障がい全体"/>
                    <pic:cNvPicPr>
                      <a:picLocks noChangeAspect="1" noChangeArrowheads="1"/>
                    </pic:cNvPicPr>
                  </pic:nvPicPr>
                  <pic:blipFill>
                    <a:blip r:embed="rId32"/>
                    <a:srcRect l="20171" t="17036" r="14864" b="26543"/>
                    <a:stretch>
                      <a:fillRect/>
                    </a:stretch>
                  </pic:blipFill>
                  <pic:spPr>
                    <a:xfrm>
                      <a:off x="0" y="0"/>
                      <a:ext cx="2187575" cy="2527300"/>
                    </a:xfrm>
                    <a:prstGeom prst="rect">
                      <a:avLst/>
                    </a:prstGeom>
                    <a:noFill/>
                    <a:ln>
                      <a:noFill/>
                    </a:ln>
                  </pic:spPr>
                </pic:pic>
              </a:graphicData>
            </a:graphic>
          </wp:anchor>
        </w:drawing>
      </w:r>
      <w:r>
        <w:rPr>
          <w:rFonts w:hint="default"/>
        </w:rPr>
        <mc:AlternateContent>
          <mc:Choice Requires="wps">
            <w:drawing>
              <wp:anchor distT="0" distB="0" distL="114300" distR="114300" simplePos="0" relativeHeight="310" behindDoc="0" locked="0" layoutInCell="1" hidden="0" allowOverlap="1">
                <wp:simplePos x="0" y="0"/>
                <wp:positionH relativeFrom="column">
                  <wp:posOffset>4090670</wp:posOffset>
                </wp:positionH>
                <wp:positionV relativeFrom="paragraph">
                  <wp:posOffset>177165</wp:posOffset>
                </wp:positionV>
                <wp:extent cx="1256030" cy="228600"/>
                <wp:effectExtent l="0" t="0" r="635" b="635"/>
                <wp:wrapNone/>
                <wp:docPr id="1293" name="テキスト ボックス 19"/>
                <a:graphic xmlns:a="http://schemas.openxmlformats.org/drawingml/2006/main">
                  <a:graphicData uri="http://schemas.microsoft.com/office/word/2010/wordprocessingShape">
                    <wps:wsp>
                      <wps:cNvPr id="1293" name="テキスト ボックス 19"/>
                      <wps:cNvSpPr txBox="1"/>
                      <wps:spPr>
                        <a:xfrm>
                          <a:off x="0" y="0"/>
                          <a:ext cx="125603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一人での外出</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 style="mso-wrap-distance-right:9pt;mso-wrap-distance-bottom:0pt;margin-top:13.95pt;mso-position-vertical-relative:text;mso-position-horizontal-relative:text;v-text-anchor:middle;position:absolute;height:18pt;mso-wrap-distance-top:0pt;width:98.9pt;mso-wrap-distance-left:9pt;margin-left:322.10000000000002pt;z-index:310;" o:spid="_x0000_s1293"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一人での外出</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311" behindDoc="0" locked="0" layoutInCell="1" hidden="0" allowOverlap="1">
                <wp:simplePos x="0" y="0"/>
                <wp:positionH relativeFrom="column">
                  <wp:posOffset>1440815</wp:posOffset>
                </wp:positionH>
                <wp:positionV relativeFrom="paragraph">
                  <wp:posOffset>172720</wp:posOffset>
                </wp:positionV>
                <wp:extent cx="1256030" cy="228600"/>
                <wp:effectExtent l="0" t="0" r="635" b="635"/>
                <wp:wrapNone/>
                <wp:docPr id="1294" name="テキスト ボックス 355"/>
                <a:graphic xmlns:a="http://schemas.openxmlformats.org/drawingml/2006/main">
                  <a:graphicData uri="http://schemas.microsoft.com/office/word/2010/wordprocessingShape">
                    <wps:wsp>
                      <wps:cNvPr id="1294" name="テキスト ボックス 355"/>
                      <wps:cNvSpPr txBox="1"/>
                      <wps:spPr>
                        <a:xfrm>
                          <a:off x="0" y="0"/>
                          <a:ext cx="125603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外出頻度</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55" style="mso-wrap-distance-right:9pt;mso-wrap-distance-bottom:0pt;margin-top:13.6pt;mso-position-vertical-relative:text;mso-position-horizontal-relative:text;v-text-anchor:middle;position:absolute;height:18pt;mso-wrap-distance-top:0pt;width:98.9pt;mso-wrap-distance-left:9pt;margin-left:113.45pt;z-index:311;" o:spid="_x0000_s1294"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外出頻度</w:t>
                      </w:r>
                    </w:p>
                  </w:txbxContent>
                </v:textbox>
                <v:imagedata o:title=""/>
                <w10:wrap type="none" anchorx="text" anchory="text"/>
              </v:shape>
            </w:pict>
          </mc:Fallback>
        </mc:AlternateContent>
      </w:r>
    </w:p>
    <w:p>
      <w:pPr>
        <w:pStyle w:val="302"/>
        <w:ind w:left="876" w:hanging="204"/>
        <w:rPr>
          <w:rFonts w:hint="default"/>
        </w:rPr>
      </w:pPr>
      <w:r>
        <w:rPr>
          <w:rFonts w:hint="default"/>
        </w:rPr>
        <w:drawing>
          <wp:anchor distT="0" distB="0" distL="114300" distR="114300" simplePos="0" relativeHeight="295" behindDoc="0" locked="0" layoutInCell="1" hidden="0" allowOverlap="1">
            <wp:simplePos x="0" y="0"/>
            <wp:positionH relativeFrom="column">
              <wp:posOffset>3860165</wp:posOffset>
            </wp:positionH>
            <wp:positionV relativeFrom="paragraph">
              <wp:posOffset>101600</wp:posOffset>
            </wp:positionV>
            <wp:extent cx="1895475" cy="2181860"/>
            <wp:effectExtent l="0" t="0" r="0" b="0"/>
            <wp:wrapSquare wrapText="bothSides"/>
            <wp:docPr id="1295" name="問21(外出状況)_円南風原町障がい全体"/>
            <a:graphic xmlns:a="http://schemas.openxmlformats.org/drawingml/2006/main">
              <a:graphicData uri="http://schemas.openxmlformats.org/drawingml/2006/picture">
                <pic:pic xmlns:pic="http://schemas.openxmlformats.org/drawingml/2006/picture">
                  <pic:nvPicPr>
                    <pic:cNvPr id="1295" name="問21(外出状況)_円南風原町障がい全体"/>
                    <pic:cNvPicPr>
                      <a:picLocks noChangeAspect="1" noChangeArrowheads="1"/>
                    </pic:cNvPicPr>
                  </pic:nvPicPr>
                  <pic:blipFill>
                    <a:blip r:embed="rId33"/>
                    <a:srcRect l="25301" t="22813" r="18405" b="28464"/>
                    <a:stretch>
                      <a:fillRect/>
                    </a:stretch>
                  </pic:blipFill>
                  <pic:spPr>
                    <a:xfrm>
                      <a:off x="0" y="0"/>
                      <a:ext cx="1895475" cy="2181860"/>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r>
        <w:rPr>
          <w:rFonts w:hint="eastAsia"/>
        </w:rPr>
        <w:t>●１週間の外出頻度を障がい別にみると、１回以上の外出は３障がいともほぼ同じとなる。</w:t>
      </w:r>
    </w:p>
    <w:p>
      <w:pPr>
        <w:pStyle w:val="302"/>
        <w:rPr>
          <w:rFonts w:hint="default"/>
        </w:rPr>
      </w:pPr>
      <w:r>
        <w:rPr>
          <w:rFonts w:hint="eastAsia"/>
        </w:rPr>
        <w:t>●一人での外出を</w:t>
      </w:r>
      <w:r>
        <w:rPr>
          <w:rFonts w:hint="default"/>
        </w:rPr>
        <w:t>障がい別にみると、</w:t>
      </w:r>
      <w:r>
        <w:rPr>
          <w:rFonts w:hint="eastAsia"/>
        </w:rPr>
        <w:t>「同伴者がいる」は「知的障がい」が</w:t>
      </w:r>
      <w:r>
        <w:rPr>
          <w:rFonts w:hint="eastAsia"/>
        </w:rPr>
        <w:t>50.0</w:t>
      </w:r>
      <w:r>
        <w:rPr>
          <w:rFonts w:hint="eastAsia"/>
        </w:rPr>
        <w:t>％と最も高く、次に「精神障がい」が</w:t>
      </w:r>
      <w:r>
        <w:rPr>
          <w:rFonts w:hint="eastAsia"/>
        </w:rPr>
        <w:t>44.6</w:t>
      </w:r>
      <w:r>
        <w:rPr>
          <w:rFonts w:hint="eastAsia"/>
        </w:rPr>
        <w:t>％となる。</w:t>
      </w:r>
    </w:p>
    <w:p>
      <w:pPr>
        <w:pStyle w:val="302"/>
        <w:ind w:left="876" w:hanging="204"/>
        <w:rPr>
          <w:rFonts w:hint="default"/>
        </w:rPr>
      </w:pPr>
      <w:r>
        <w:rPr>
          <w:rFonts w:hint="default"/>
        </w:rPr>
        <mc:AlternateContent>
          <mc:Choice Requires="wps">
            <w:drawing>
              <wp:anchor distT="0" distB="0" distL="114300" distR="114300" simplePos="0" relativeHeight="312" behindDoc="0" locked="0" layoutInCell="1" hidden="0" allowOverlap="1">
                <wp:simplePos x="0" y="0"/>
                <wp:positionH relativeFrom="column">
                  <wp:posOffset>1504315</wp:posOffset>
                </wp:positionH>
                <wp:positionV relativeFrom="paragraph">
                  <wp:posOffset>36195</wp:posOffset>
                </wp:positionV>
                <wp:extent cx="4450080" cy="228600"/>
                <wp:effectExtent l="0" t="0" r="635" b="635"/>
                <wp:wrapNone/>
                <wp:docPr id="1296" name="テキスト ボックス 20"/>
                <a:graphic xmlns:a="http://schemas.openxmlformats.org/drawingml/2006/main">
                  <a:graphicData uri="http://schemas.microsoft.com/office/word/2010/wordprocessingShape">
                    <wps:wsp>
                      <wps:cNvPr id="1296" name="テキスト ボックス 20"/>
                      <wps:cNvSpPr txBox="1"/>
                      <wps:spPr>
                        <a:xfrm>
                          <a:off x="0" y="0"/>
                          <a:ext cx="44500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外出頻度</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mso-wrap-distance-right:9pt;mso-wrap-distance-bottom:0pt;margin-top:2.85pt;mso-position-vertical-relative:text;mso-position-horizontal-relative:text;v-text-anchor:middle;position:absolute;height:18pt;mso-wrap-distance-top:0pt;width:350.4pt;mso-wrap-distance-left:9pt;margin-left:118.45pt;z-index:312;" o:spid="_x0000_s1296"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外出頻度</w:t>
                      </w:r>
                    </w:p>
                  </w:txbxContent>
                </v:textbox>
                <v:imagedata o:title=""/>
                <w10:wrap type="none" anchorx="text" anchory="text"/>
              </v:shape>
            </w:pict>
          </mc:Fallback>
        </mc:AlternateContent>
      </w:r>
    </w:p>
    <w:p>
      <w:pPr>
        <w:pStyle w:val="302"/>
        <w:ind w:left="876" w:hanging="204"/>
        <w:rPr>
          <w:rFonts w:hint="default"/>
        </w:rPr>
      </w:pPr>
      <w:r>
        <w:rPr>
          <w:rFonts w:hint="default"/>
        </w:rPr>
        <w:drawing>
          <wp:anchor distT="0" distB="0" distL="114300" distR="114300" simplePos="0" relativeHeight="294" behindDoc="0" locked="0" layoutInCell="1" hidden="0" allowOverlap="1">
            <wp:simplePos x="0" y="0"/>
            <wp:positionH relativeFrom="column">
              <wp:posOffset>684530</wp:posOffset>
            </wp:positionH>
            <wp:positionV relativeFrom="paragraph">
              <wp:posOffset>29210</wp:posOffset>
            </wp:positionV>
            <wp:extent cx="5563870" cy="1604010"/>
            <wp:effectExtent l="0" t="0" r="0" b="0"/>
            <wp:wrapNone/>
            <wp:docPr id="1297" name="問20_帯(障がい種類)南風原町障がい全体"/>
            <a:graphic xmlns:a="http://schemas.openxmlformats.org/drawingml/2006/main">
              <a:graphicData uri="http://schemas.openxmlformats.org/drawingml/2006/picture">
                <pic:pic xmlns:pic="http://schemas.openxmlformats.org/drawingml/2006/picture">
                  <pic:nvPicPr>
                    <pic:cNvPr id="1297" name="問20_帯(障がい種類)南風原町障がい全体"/>
                    <pic:cNvPicPr>
                      <a:picLocks noChangeAspect="1" noChangeArrowheads="1"/>
                    </pic:cNvPicPr>
                  </pic:nvPicPr>
                  <pic:blipFill>
                    <a:blip r:embed="rId34"/>
                    <a:srcRect t="7439" r="3423" b="64838"/>
                    <a:stretch>
                      <a:fillRect/>
                    </a:stretch>
                  </pic:blipFill>
                  <pic:spPr>
                    <a:xfrm>
                      <a:off x="0" y="0"/>
                      <a:ext cx="5563870" cy="1604010"/>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ind w:left="876" w:hanging="204"/>
        <w:rPr>
          <w:rFonts w:hint="default"/>
        </w:rPr>
      </w:pPr>
      <w:r>
        <w:rPr>
          <w:rFonts w:hint="default"/>
        </w:rPr>
        <mc:AlternateContent>
          <mc:Choice Requires="wps">
            <w:drawing>
              <wp:anchor distT="0" distB="0" distL="114300" distR="114300" simplePos="0" relativeHeight="318" behindDoc="0" locked="0" layoutInCell="1" hidden="0" allowOverlap="1">
                <wp:simplePos x="0" y="0"/>
                <wp:positionH relativeFrom="column">
                  <wp:posOffset>1504315</wp:posOffset>
                </wp:positionH>
                <wp:positionV relativeFrom="paragraph">
                  <wp:posOffset>165735</wp:posOffset>
                </wp:positionV>
                <wp:extent cx="4450080" cy="228600"/>
                <wp:effectExtent l="0" t="0" r="635" b="635"/>
                <wp:wrapNone/>
                <wp:docPr id="1298" name="テキスト ボックス 20"/>
                <a:graphic xmlns:a="http://schemas.openxmlformats.org/drawingml/2006/main">
                  <a:graphicData uri="http://schemas.microsoft.com/office/word/2010/wordprocessingShape">
                    <wps:wsp>
                      <wps:cNvPr id="1298" name="テキスト ボックス 20"/>
                      <wps:cNvSpPr txBox="1"/>
                      <wps:spPr>
                        <a:xfrm>
                          <a:off x="0" y="0"/>
                          <a:ext cx="44500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一人での外出</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mso-wrap-distance-right:9pt;mso-wrap-distance-bottom:0pt;margin-top:13.05pt;mso-position-vertical-relative:text;mso-position-horizontal-relative:text;v-text-anchor:middle;position:absolute;height:18pt;mso-wrap-distance-top:0pt;width:350.4pt;mso-wrap-distance-left:9pt;margin-left:118.45pt;z-index:318;" o:spid="_x0000_s1298"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一人での外出</w:t>
                      </w:r>
                    </w:p>
                  </w:txbxContent>
                </v:textbox>
                <v:imagedata o:title=""/>
                <w10:wrap type="none" anchorx="text" anchory="text"/>
              </v:shape>
            </w:pict>
          </mc:Fallback>
        </mc:AlternateContent>
      </w:r>
      <w:r>
        <w:rPr>
          <w:rFonts w:hint="default"/>
        </w:rPr>
        <w:drawing>
          <wp:anchor distT="0" distB="0" distL="114300" distR="114300" simplePos="0" relativeHeight="293" behindDoc="0" locked="0" layoutInCell="1" hidden="0" allowOverlap="1">
            <wp:simplePos x="0" y="0"/>
            <wp:positionH relativeFrom="column">
              <wp:posOffset>685800</wp:posOffset>
            </wp:positionH>
            <wp:positionV relativeFrom="paragraph">
              <wp:posOffset>274320</wp:posOffset>
            </wp:positionV>
            <wp:extent cx="5582285" cy="1609090"/>
            <wp:effectExtent l="0" t="0" r="0" b="0"/>
            <wp:wrapNone/>
            <wp:docPr id="1299" name="問21(外出状況)_帯(障がい種類)南風原町障がい全体"/>
            <a:graphic xmlns:a="http://schemas.openxmlformats.org/drawingml/2006/main">
              <a:graphicData uri="http://schemas.openxmlformats.org/drawingml/2006/picture">
                <pic:pic xmlns:pic="http://schemas.openxmlformats.org/drawingml/2006/picture">
                  <pic:nvPicPr>
                    <pic:cNvPr id="1299" name="問21(外出状況)_帯(障がい種類)南風原町障がい全体"/>
                    <pic:cNvPicPr>
                      <a:picLocks noChangeAspect="1" noChangeArrowheads="1"/>
                    </pic:cNvPicPr>
                  </pic:nvPicPr>
                  <pic:blipFill>
                    <a:blip r:embed="rId35"/>
                    <a:srcRect t="7439" r="3423" b="64838"/>
                    <a:stretch>
                      <a:fillRect/>
                    </a:stretch>
                  </pic:blipFill>
                  <pic:spPr>
                    <a:xfrm>
                      <a:off x="0" y="0"/>
                      <a:ext cx="5582285" cy="1609090"/>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rPr>
      </w:pPr>
      <w:r>
        <w:rPr>
          <w:rFonts w:hint="default"/>
        </w:rPr>
        <w:br w:type="page"/>
      </w:r>
    </w:p>
    <w:p>
      <w:pPr>
        <w:pStyle w:val="303"/>
        <w:spacing w:after="74" w:afterLines="0" w:afterAutospacing="0"/>
        <w:ind w:left="560"/>
        <w:rPr>
          <w:rFonts w:hint="default"/>
        </w:rPr>
      </w:pPr>
      <w:bookmarkStart w:id="406" w:name="_Toc52552097"/>
      <w:bookmarkStart w:id="407" w:name="_Toc52987297"/>
      <w:r>
        <w:rPr>
          <w:rFonts w:hint="eastAsia"/>
        </w:rPr>
        <w:t>12</w:t>
      </w:r>
      <w:r>
        <w:rPr>
          <w:rFonts w:hint="eastAsia"/>
        </w:rPr>
        <w:t>．</w:t>
      </w:r>
      <w:r>
        <w:rPr>
          <w:rFonts w:hint="default"/>
        </w:rPr>
        <w:t>外出</w:t>
      </w:r>
      <w:r>
        <w:rPr>
          <w:rFonts w:hint="eastAsia"/>
        </w:rPr>
        <w:t>する時に困ること</w:t>
      </w:r>
      <w:r>
        <w:rPr>
          <w:rFonts w:hint="default"/>
        </w:rPr>
        <w:t>（複数回答）</w:t>
      </w:r>
      <w:bookmarkEnd w:id="406"/>
      <w:bookmarkEnd w:id="407"/>
    </w:p>
    <w:p>
      <w:pPr>
        <w:pStyle w:val="302"/>
        <w:rPr>
          <w:rFonts w:hint="default"/>
        </w:rPr>
      </w:pPr>
      <w:r>
        <w:rPr>
          <w:rFonts w:hint="eastAsia"/>
        </w:rPr>
        <w:t>●「外出にお金がかかる」が</w:t>
      </w:r>
      <w:r>
        <w:rPr>
          <w:rFonts w:hint="default"/>
        </w:rPr>
        <w:t>22.2</w:t>
      </w:r>
      <w:r>
        <w:rPr>
          <w:rFonts w:hint="default"/>
        </w:rPr>
        <w:t>％、「困った時にどうすればいいのか心配」が</w:t>
      </w:r>
      <w:r>
        <w:rPr>
          <w:rFonts w:hint="default"/>
        </w:rPr>
        <w:t>20.8</w:t>
      </w:r>
      <w:r>
        <w:rPr>
          <w:rFonts w:hint="default"/>
        </w:rPr>
        <w:t>％、「公共交通機関が少ない（ない）」が</w:t>
      </w:r>
      <w:r>
        <w:rPr>
          <w:rFonts w:hint="default"/>
        </w:rPr>
        <w:t>17.7</w:t>
      </w:r>
      <w:r>
        <w:rPr>
          <w:rFonts w:hint="default"/>
        </w:rPr>
        <w:t>％、</w:t>
      </w:r>
      <w:r>
        <w:rPr>
          <w:rFonts w:hint="eastAsia"/>
        </w:rPr>
        <w:t>となる</w:t>
      </w:r>
      <w:r>
        <w:rPr>
          <w:rFonts w:hint="default"/>
        </w:rPr>
        <w:t>。</w:t>
      </w:r>
    </w:p>
    <w:p>
      <w:pPr>
        <w:pStyle w:val="302"/>
        <w:ind w:left="876" w:hanging="204"/>
        <w:rPr>
          <w:rFonts w:hint="default"/>
        </w:rPr>
      </w:pPr>
      <w:r>
        <w:rPr>
          <w:rFonts w:hint="default"/>
        </w:rPr>
        <w:drawing>
          <wp:anchor distT="0" distB="0" distL="114300" distR="114300" simplePos="0" relativeHeight="282" behindDoc="0" locked="0" layoutInCell="1" hidden="0" allowOverlap="1">
            <wp:simplePos x="0" y="0"/>
            <wp:positionH relativeFrom="column">
              <wp:posOffset>737235</wp:posOffset>
            </wp:positionH>
            <wp:positionV relativeFrom="paragraph">
              <wp:posOffset>166370</wp:posOffset>
            </wp:positionV>
            <wp:extent cx="5360035" cy="3346450"/>
            <wp:effectExtent l="0" t="0" r="0" b="0"/>
            <wp:wrapNone/>
            <wp:docPr id="1300" name="問24_横棒南風原町障がい全体"/>
            <a:graphic xmlns:a="http://schemas.openxmlformats.org/drawingml/2006/main">
              <a:graphicData uri="http://schemas.openxmlformats.org/drawingml/2006/picture">
                <pic:pic xmlns:pic="http://schemas.openxmlformats.org/drawingml/2006/picture">
                  <pic:nvPicPr>
                    <pic:cNvPr id="1300" name="問24_横棒南風原町障がい全体"/>
                    <pic:cNvPicPr>
                      <a:picLocks noChangeAspect="1" noChangeArrowheads="1"/>
                    </pic:cNvPicPr>
                  </pic:nvPicPr>
                  <pic:blipFill>
                    <a:blip r:embed="rId36"/>
                    <a:srcRect l="4010" t="14053" b="2899"/>
                    <a:stretch>
                      <a:fillRect/>
                    </a:stretch>
                  </pic:blipFill>
                  <pic:spPr>
                    <a:xfrm>
                      <a:off x="0" y="0"/>
                      <a:ext cx="5360035" cy="3346450"/>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ascii="ＭＳ ゴシック" w:hAnsi="ＭＳ ゴシック" w:eastAsia="ＭＳ ゴシック"/>
        </w:rPr>
      </w:pPr>
      <w:bookmarkStart w:id="408" w:name="_Toc52552100"/>
      <w:bookmarkStart w:id="409" w:name="_Toc52987300"/>
      <w:r>
        <w:rPr>
          <w:rFonts w:hint="default"/>
        </w:rPr>
        <w:br w:type="page"/>
      </w:r>
    </w:p>
    <w:p>
      <w:pPr>
        <w:pStyle w:val="303"/>
        <w:spacing w:after="74" w:afterLines="0" w:afterAutospacing="0"/>
        <w:ind w:left="560"/>
        <w:rPr>
          <w:rFonts w:hint="default"/>
        </w:rPr>
      </w:pPr>
      <w:bookmarkEnd w:id="408"/>
      <w:bookmarkEnd w:id="409"/>
      <w:bookmarkStart w:id="410" w:name="_Toc52552108"/>
      <w:bookmarkStart w:id="411" w:name="_Toc52987308"/>
      <w:r>
        <w:rPr>
          <w:rFonts w:hint="eastAsia"/>
        </w:rPr>
        <w:t>13</w:t>
      </w:r>
      <w:r>
        <w:rPr>
          <w:rFonts w:hint="eastAsia"/>
        </w:rPr>
        <w:t>．</w:t>
      </w:r>
      <w:r>
        <w:rPr>
          <w:rFonts w:hint="default"/>
        </w:rPr>
        <w:t>就労状況</w:t>
      </w:r>
      <w:bookmarkEnd w:id="410"/>
      <w:bookmarkEnd w:id="411"/>
    </w:p>
    <w:p>
      <w:pPr>
        <w:pStyle w:val="302"/>
        <w:rPr>
          <w:rFonts w:hint="default"/>
        </w:rPr>
      </w:pPr>
      <w:r>
        <w:rPr>
          <w:rFonts w:hint="eastAsia"/>
        </w:rPr>
        <w:t>●</w:t>
      </w:r>
      <w:r>
        <w:rPr>
          <w:rFonts w:hint="default"/>
        </w:rPr>
        <w:t>「働いている」が</w:t>
      </w:r>
      <w:r>
        <w:rPr>
          <w:rFonts w:hint="eastAsia"/>
        </w:rPr>
        <w:t>51.6</w:t>
      </w:r>
      <w:r>
        <w:rPr>
          <w:rFonts w:hint="default"/>
        </w:rPr>
        <w:t>％</w:t>
      </w:r>
      <w:r>
        <w:rPr>
          <w:rFonts w:hint="eastAsia"/>
        </w:rPr>
        <w:t>で</w:t>
      </w:r>
      <w:r>
        <w:rPr>
          <w:rFonts w:hint="default"/>
        </w:rPr>
        <w:t>、「働いている</w:t>
      </w:r>
      <w:r>
        <w:rPr>
          <w:rFonts w:hint="default"/>
        </w:rPr>
        <w:t>(</w:t>
      </w:r>
      <w:r>
        <w:rPr>
          <w:rFonts w:hint="default"/>
        </w:rPr>
        <w:t>体調などが悪くて一時的に休職している</w:t>
      </w:r>
      <w:r>
        <w:rPr>
          <w:rFonts w:hint="default"/>
        </w:rPr>
        <w:t>)</w:t>
      </w:r>
      <w:r>
        <w:rPr>
          <w:rFonts w:hint="default"/>
        </w:rPr>
        <w:t>」の</w:t>
      </w:r>
      <w:r>
        <w:rPr>
          <w:rFonts w:hint="eastAsia"/>
        </w:rPr>
        <w:t>2.7</w:t>
      </w:r>
      <w:r>
        <w:rPr>
          <w:rFonts w:hint="default"/>
        </w:rPr>
        <w:t>％を合わせると、</w:t>
      </w:r>
      <w:r>
        <w:rPr>
          <w:rFonts w:hint="eastAsia"/>
        </w:rPr>
        <w:t>54.3</w:t>
      </w:r>
      <w:r>
        <w:rPr>
          <w:rFonts w:hint="default"/>
        </w:rPr>
        <w:t>％が現在働いている。</w:t>
      </w:r>
    </w:p>
    <w:p>
      <w:pPr>
        <w:pStyle w:val="302"/>
        <w:ind w:left="876" w:hanging="204"/>
        <w:rPr>
          <w:rFonts w:hint="default"/>
        </w:rPr>
      </w:pPr>
      <w:r>
        <w:rPr>
          <w:rFonts w:hint="default"/>
        </w:rPr>
        <w:drawing>
          <wp:anchor distT="0" distB="0" distL="114300" distR="114300" simplePos="0" relativeHeight="281" behindDoc="1" locked="0" layoutInCell="1" hidden="0" allowOverlap="1">
            <wp:simplePos x="0" y="0"/>
            <wp:positionH relativeFrom="column">
              <wp:posOffset>1945005</wp:posOffset>
            </wp:positionH>
            <wp:positionV relativeFrom="paragraph">
              <wp:posOffset>148590</wp:posOffset>
            </wp:positionV>
            <wp:extent cx="2894330" cy="3242945"/>
            <wp:effectExtent l="0" t="0" r="0" b="0"/>
            <wp:wrapNone/>
            <wp:docPr id="1301" name="問25_円南風原町障がい全体"/>
            <a:graphic xmlns:a="http://schemas.openxmlformats.org/drawingml/2006/main">
              <a:graphicData uri="http://schemas.openxmlformats.org/drawingml/2006/picture">
                <pic:pic xmlns:pic="http://schemas.openxmlformats.org/drawingml/2006/picture">
                  <pic:nvPicPr>
                    <pic:cNvPr id="1301" name="問25_円南風原町障がい全体"/>
                    <pic:cNvPicPr>
                      <a:picLocks noChangeAspect="1" noChangeArrowheads="1"/>
                    </pic:cNvPicPr>
                  </pic:nvPicPr>
                  <pic:blipFill>
                    <a:blip r:embed="rId37"/>
                    <a:srcRect l="5133" t="14711" r="8923" b="12891"/>
                    <a:stretch>
                      <a:fillRect/>
                    </a:stretch>
                  </pic:blipFill>
                  <pic:spPr>
                    <a:xfrm>
                      <a:off x="0" y="0"/>
                      <a:ext cx="2894330" cy="324294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r>
        <w:rPr>
          <w:rFonts w:hint="eastAsia"/>
        </w:rPr>
        <w:t>●障がい別にみると、「働いている」は「知的障がい」が</w:t>
      </w:r>
      <w:r>
        <w:rPr>
          <w:rFonts w:hint="eastAsia"/>
        </w:rPr>
        <w:t>73.4</w:t>
      </w:r>
      <w:r>
        <w:rPr>
          <w:rFonts w:hint="default"/>
        </w:rPr>
        <w:t>％と最も高く、</w:t>
      </w:r>
      <w:r>
        <w:rPr>
          <w:rFonts w:hint="eastAsia"/>
        </w:rPr>
        <w:t>次に「身体障がい」が</w:t>
      </w:r>
      <w:r>
        <w:rPr>
          <w:rFonts w:hint="eastAsia"/>
        </w:rPr>
        <w:t>45.9</w:t>
      </w:r>
      <w:r>
        <w:rPr>
          <w:rFonts w:hint="eastAsia"/>
        </w:rPr>
        <w:t>％で、</w:t>
      </w:r>
      <w:r>
        <w:rPr>
          <w:rFonts w:hint="default"/>
        </w:rPr>
        <w:t>「精神障がい」が</w:t>
      </w:r>
      <w:r>
        <w:rPr>
          <w:rFonts w:hint="eastAsia"/>
        </w:rPr>
        <w:t>43.1</w:t>
      </w:r>
      <w:r>
        <w:rPr>
          <w:rFonts w:hint="default"/>
        </w:rPr>
        <w:t>％</w:t>
      </w:r>
      <w:r>
        <w:rPr>
          <w:rFonts w:hint="eastAsia"/>
        </w:rPr>
        <w:t>となる</w:t>
      </w:r>
      <w:r>
        <w:rPr>
          <w:rFonts w:hint="default"/>
        </w:rPr>
        <w:t>。</w:t>
      </w:r>
    </w:p>
    <w:p>
      <w:pPr>
        <w:pStyle w:val="302"/>
        <w:rPr>
          <w:rFonts w:hint="default"/>
        </w:rPr>
      </w:pPr>
      <w:r>
        <w:rPr>
          <w:rFonts w:hint="eastAsia"/>
        </w:rPr>
        <w:t>●「以前は働いていたが、今は働いていない」は「精神障がい」が</w:t>
      </w:r>
      <w:r>
        <w:rPr>
          <w:rFonts w:hint="eastAsia"/>
        </w:rPr>
        <w:t>42.0</w:t>
      </w:r>
      <w:r>
        <w:rPr>
          <w:rFonts w:hint="eastAsia"/>
        </w:rPr>
        <w:t>％と最も高く、次に「身体障がい」が</w:t>
      </w:r>
      <w:r>
        <w:rPr>
          <w:rFonts w:hint="eastAsia"/>
        </w:rPr>
        <w:t>36.8</w:t>
      </w:r>
      <w:r>
        <w:rPr>
          <w:rFonts w:hint="eastAsia"/>
        </w:rPr>
        <w:t>％、「知的障がい」が</w:t>
      </w:r>
      <w:r>
        <w:rPr>
          <w:rFonts w:hint="eastAsia"/>
        </w:rPr>
        <w:t>8.9</w:t>
      </w:r>
      <w:r>
        <w:rPr>
          <w:rFonts w:hint="eastAsia"/>
        </w:rPr>
        <w:t>％となる。</w:t>
      </w:r>
    </w:p>
    <w:p>
      <w:pPr>
        <w:pStyle w:val="302"/>
        <w:ind w:left="876" w:hanging="204"/>
        <w:rPr>
          <w:rFonts w:hint="default"/>
        </w:rPr>
      </w:pPr>
      <w:r>
        <w:rPr>
          <w:rFonts w:hint="default"/>
        </w:rPr>
        <w:drawing>
          <wp:anchor distT="0" distB="0" distL="114300" distR="114300" simplePos="0" relativeHeight="280" behindDoc="1" locked="0" layoutInCell="1" hidden="0" allowOverlap="1">
            <wp:simplePos x="0" y="0"/>
            <wp:positionH relativeFrom="column">
              <wp:posOffset>737870</wp:posOffset>
            </wp:positionH>
            <wp:positionV relativeFrom="paragraph">
              <wp:posOffset>176530</wp:posOffset>
            </wp:positionV>
            <wp:extent cx="5510530" cy="1784985"/>
            <wp:effectExtent l="0" t="0" r="0" b="0"/>
            <wp:wrapNone/>
            <wp:docPr id="1302" name="問25_帯(障がい種類)南風原町障がい全体"/>
            <a:graphic xmlns:a="http://schemas.openxmlformats.org/drawingml/2006/main">
              <a:graphicData uri="http://schemas.openxmlformats.org/drawingml/2006/picture">
                <pic:pic xmlns:pic="http://schemas.openxmlformats.org/drawingml/2006/picture">
                  <pic:nvPicPr>
                    <pic:cNvPr id="1302" name="問25_帯(障がい種類)南風原町障がい全体"/>
                    <pic:cNvPicPr>
                      <a:picLocks noChangeAspect="1" noChangeArrowheads="1"/>
                    </pic:cNvPicPr>
                  </pic:nvPicPr>
                  <pic:blipFill>
                    <a:blip r:embed="rId38"/>
                    <a:srcRect l="702" t="4448" r="3941" b="64787"/>
                    <a:stretch>
                      <a:fillRect/>
                    </a:stretch>
                  </pic:blipFill>
                  <pic:spPr>
                    <a:xfrm>
                      <a:off x="0" y="0"/>
                      <a:ext cx="5510530" cy="178498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rPr>
      </w:pPr>
      <w:r>
        <w:rPr>
          <w:rFonts w:hint="default"/>
        </w:rPr>
        <w:br w:type="page"/>
      </w:r>
    </w:p>
    <w:p>
      <w:pPr>
        <w:pStyle w:val="303"/>
        <w:spacing w:after="74" w:afterLines="0" w:afterAutospacing="0"/>
        <w:ind w:left="560"/>
        <w:rPr>
          <w:rFonts w:hint="default"/>
        </w:rPr>
      </w:pPr>
      <w:bookmarkStart w:id="412" w:name="_Toc52552109"/>
      <w:bookmarkStart w:id="413" w:name="_Toc52987309"/>
      <w:r>
        <w:rPr>
          <w:rFonts w:hint="eastAsia"/>
        </w:rPr>
        <w:t>14</w:t>
      </w:r>
      <w:r>
        <w:rPr>
          <w:rFonts w:hint="eastAsia"/>
        </w:rPr>
        <w:t>．</w:t>
      </w:r>
      <w:r>
        <w:rPr>
          <w:rFonts w:hint="default"/>
        </w:rPr>
        <w:t>就労形態</w:t>
      </w:r>
      <w:bookmarkEnd w:id="412"/>
      <w:bookmarkEnd w:id="413"/>
    </w:p>
    <w:p>
      <w:pPr>
        <w:pStyle w:val="302"/>
        <w:rPr>
          <w:rFonts w:hint="default"/>
        </w:rPr>
      </w:pPr>
      <w:r>
        <w:rPr>
          <w:rFonts w:hint="eastAsia"/>
        </w:rPr>
        <w:t>●現在働いている方の就労形態は、「パート・アルバイトをしている」が</w:t>
      </w:r>
      <w:r>
        <w:rPr>
          <w:rFonts w:hint="default"/>
        </w:rPr>
        <w:t>24.8</w:t>
      </w:r>
      <w:r>
        <w:rPr>
          <w:rFonts w:hint="default"/>
        </w:rPr>
        <w:t>％と最も高く、次</w:t>
      </w:r>
      <w:r>
        <w:rPr>
          <w:rFonts w:hint="eastAsia"/>
        </w:rPr>
        <w:t>に</w:t>
      </w:r>
      <w:r>
        <w:rPr>
          <w:rFonts w:hint="default"/>
        </w:rPr>
        <w:t>「正規職員として働いている」が</w:t>
      </w:r>
      <w:r>
        <w:rPr>
          <w:rFonts w:hint="default"/>
        </w:rPr>
        <w:t>23.4</w:t>
      </w:r>
      <w:r>
        <w:rPr>
          <w:rFonts w:hint="default"/>
        </w:rPr>
        <w:t>％、「就労継続支援事業所に通っている」が</w:t>
      </w:r>
      <w:r>
        <w:rPr>
          <w:rFonts w:hint="default"/>
        </w:rPr>
        <w:t>19.7</w:t>
      </w:r>
      <w:r>
        <w:rPr>
          <w:rFonts w:hint="default"/>
        </w:rPr>
        <w:t>％となる。</w:t>
      </w:r>
    </w:p>
    <w:p>
      <w:pPr>
        <w:pStyle w:val="302"/>
        <w:ind w:left="876" w:hanging="204"/>
        <w:rPr>
          <w:rFonts w:hint="default"/>
        </w:rPr>
      </w:pPr>
      <w:r>
        <w:rPr>
          <w:rFonts w:hint="default"/>
        </w:rPr>
        <w:drawing>
          <wp:anchor distT="0" distB="0" distL="114300" distR="114300" simplePos="0" relativeHeight="279" behindDoc="0" locked="0" layoutInCell="1" hidden="0" allowOverlap="1">
            <wp:simplePos x="0" y="0"/>
            <wp:positionH relativeFrom="column">
              <wp:posOffset>784860</wp:posOffset>
            </wp:positionH>
            <wp:positionV relativeFrom="paragraph">
              <wp:posOffset>60960</wp:posOffset>
            </wp:positionV>
            <wp:extent cx="4562475" cy="2512695"/>
            <wp:effectExtent l="0" t="0" r="0" b="0"/>
            <wp:wrapNone/>
            <wp:docPr id="1303" name="問26_横棒南風原町障がい全体"/>
            <a:graphic xmlns:a="http://schemas.openxmlformats.org/drawingml/2006/main">
              <a:graphicData uri="http://schemas.openxmlformats.org/drawingml/2006/picture">
                <pic:pic xmlns:pic="http://schemas.openxmlformats.org/drawingml/2006/picture">
                  <pic:nvPicPr>
                    <pic:cNvPr id="1303" name="問26_横棒南風原町障がい全体"/>
                    <pic:cNvPicPr>
                      <a:picLocks noChangeAspect="1" noChangeArrowheads="1"/>
                    </pic:cNvPicPr>
                  </pic:nvPicPr>
                  <pic:blipFill>
                    <a:blip r:embed="rId39"/>
                    <a:srcRect l="17931" t="15816" r="375" b="9404"/>
                    <a:stretch>
                      <a:fillRect/>
                    </a:stretch>
                  </pic:blipFill>
                  <pic:spPr>
                    <a:xfrm>
                      <a:off x="0" y="0"/>
                      <a:ext cx="4562475" cy="251269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bookmarkStart w:id="414" w:name="_Toc52552110"/>
      <w:bookmarkStart w:id="415" w:name="_Toc52987310"/>
    </w:p>
    <w:p>
      <w:pPr>
        <w:pStyle w:val="303"/>
        <w:spacing w:after="74" w:afterLines="0" w:afterAutospacing="0"/>
        <w:ind w:left="560"/>
        <w:rPr>
          <w:rFonts w:hint="default"/>
        </w:rPr>
      </w:pPr>
      <w:r>
        <w:rPr>
          <w:rFonts w:hint="eastAsia"/>
        </w:rPr>
        <w:t>15</w:t>
      </w:r>
      <w:r>
        <w:rPr>
          <w:rFonts w:hint="eastAsia"/>
        </w:rPr>
        <w:t>．仕事をする上で悩んでいること（複数回答）</w:t>
      </w:r>
      <w:bookmarkEnd w:id="414"/>
      <w:bookmarkEnd w:id="415"/>
    </w:p>
    <w:p>
      <w:pPr>
        <w:pStyle w:val="302"/>
        <w:rPr>
          <w:rFonts w:hint="default"/>
        </w:rPr>
      </w:pPr>
      <w:r>
        <w:rPr>
          <w:rFonts w:hint="eastAsia"/>
        </w:rPr>
        <w:t>●</w:t>
      </w:r>
      <w:r>
        <w:rPr>
          <w:rFonts w:hint="default"/>
        </w:rPr>
        <w:t>「給与・工賃などの収入が少ない」が</w:t>
      </w:r>
      <w:r>
        <w:rPr>
          <w:rFonts w:hint="eastAsia"/>
        </w:rPr>
        <w:t>23.4</w:t>
      </w:r>
      <w:r>
        <w:rPr>
          <w:rFonts w:hint="default"/>
        </w:rPr>
        <w:t>％と高く、次に「精神的な負担が大きい」</w:t>
      </w:r>
      <w:r>
        <w:rPr>
          <w:rFonts w:hint="eastAsia"/>
        </w:rPr>
        <w:t>、</w:t>
      </w:r>
      <w:r>
        <w:rPr>
          <w:rFonts w:hint="default"/>
        </w:rPr>
        <w:t>「職場の人間関係」が</w:t>
      </w:r>
      <w:r>
        <w:rPr>
          <w:rFonts w:hint="eastAsia"/>
        </w:rPr>
        <w:t>ともに</w:t>
      </w:r>
      <w:r>
        <w:rPr>
          <w:rFonts w:hint="eastAsia"/>
        </w:rPr>
        <w:t>18.8</w:t>
      </w:r>
      <w:r>
        <w:rPr>
          <w:rFonts w:hint="default"/>
        </w:rPr>
        <w:t>％、「身体的な負担が大きい」が</w:t>
      </w:r>
      <w:r>
        <w:rPr>
          <w:rFonts w:hint="eastAsia"/>
        </w:rPr>
        <w:t>15.6</w:t>
      </w:r>
      <w:r>
        <w:rPr>
          <w:rFonts w:hint="default"/>
        </w:rPr>
        <w:t>％となる。</w:t>
      </w:r>
    </w:p>
    <w:p>
      <w:pPr>
        <w:pStyle w:val="302"/>
        <w:ind w:left="876" w:hanging="204"/>
        <w:rPr>
          <w:rFonts w:hint="default"/>
        </w:rPr>
      </w:pPr>
      <w:r>
        <w:rPr>
          <w:rFonts w:hint="default"/>
        </w:rPr>
        <w:drawing>
          <wp:anchor distT="0" distB="0" distL="114300" distR="114300" simplePos="0" relativeHeight="278" behindDoc="0" locked="0" layoutInCell="1" hidden="0" allowOverlap="1">
            <wp:simplePos x="0" y="0"/>
            <wp:positionH relativeFrom="column">
              <wp:posOffset>780415</wp:posOffset>
            </wp:positionH>
            <wp:positionV relativeFrom="paragraph">
              <wp:posOffset>160655</wp:posOffset>
            </wp:positionV>
            <wp:extent cx="5285740" cy="4010660"/>
            <wp:effectExtent l="0" t="0" r="0" b="0"/>
            <wp:wrapNone/>
            <wp:docPr id="1304" name="問27_横棒南風原町障がい全体"/>
            <a:graphic xmlns:a="http://schemas.openxmlformats.org/drawingml/2006/main">
              <a:graphicData uri="http://schemas.openxmlformats.org/drawingml/2006/picture">
                <pic:pic xmlns:pic="http://schemas.openxmlformats.org/drawingml/2006/picture">
                  <pic:nvPicPr>
                    <pic:cNvPr id="1304" name="問27_横棒南風原町障がい全体"/>
                    <pic:cNvPicPr>
                      <a:picLocks noChangeAspect="1" noChangeArrowheads="1"/>
                    </pic:cNvPicPr>
                  </pic:nvPicPr>
                  <pic:blipFill>
                    <a:blip r:embed="rId40"/>
                    <a:srcRect l="5289" t="11536" r="56" b="3134"/>
                    <a:stretch>
                      <a:fillRect/>
                    </a:stretch>
                  </pic:blipFill>
                  <pic:spPr>
                    <a:xfrm>
                      <a:off x="0" y="0"/>
                      <a:ext cx="5285740" cy="4010660"/>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ascii="ＭＳ ゴシック" w:hAnsi="ＭＳ ゴシック" w:eastAsia="ＭＳ ゴシック"/>
          <w:spacing w:val="-4"/>
          <w:sz w:val="20"/>
        </w:rPr>
      </w:pPr>
      <w:bookmarkStart w:id="416" w:name="_Toc52552116"/>
      <w:bookmarkStart w:id="417" w:name="_Toc52987316"/>
      <w:r>
        <w:rPr>
          <w:rFonts w:hint="default"/>
        </w:rPr>
        <w:br w:type="page"/>
      </w:r>
    </w:p>
    <w:p>
      <w:pPr>
        <w:pStyle w:val="303"/>
        <w:spacing w:after="74" w:afterLines="0" w:afterAutospacing="0"/>
        <w:ind w:left="560"/>
        <w:rPr>
          <w:rFonts w:hint="default"/>
        </w:rPr>
      </w:pPr>
      <w:r>
        <w:rPr>
          <w:rFonts w:hint="eastAsia"/>
        </w:rPr>
        <w:t>16</w:t>
      </w:r>
      <w:r>
        <w:rPr>
          <w:rFonts w:hint="eastAsia"/>
        </w:rPr>
        <w:t>．火事や地震、台風等の災害時の避難</w:t>
      </w:r>
      <w:bookmarkEnd w:id="416"/>
      <w:bookmarkEnd w:id="417"/>
      <w:r>
        <w:rPr>
          <w:rFonts w:hint="eastAsia"/>
        </w:rPr>
        <w:t>について</w:t>
      </w:r>
    </w:p>
    <w:p>
      <w:pPr>
        <w:pStyle w:val="302"/>
        <w:rPr>
          <w:rFonts w:hint="default"/>
        </w:rPr>
      </w:pPr>
      <w:r>
        <w:rPr>
          <w:rFonts w:hint="eastAsia"/>
        </w:rPr>
        <w:t>●一人での避難については、「できる」が</w:t>
      </w:r>
      <w:r>
        <w:rPr>
          <w:rFonts w:hint="eastAsia"/>
        </w:rPr>
        <w:t>40.1</w:t>
      </w:r>
      <w:r>
        <w:rPr>
          <w:rFonts w:hint="eastAsia"/>
        </w:rPr>
        <w:t>％、「できない」が</w:t>
      </w:r>
      <w:r>
        <w:rPr>
          <w:rFonts w:hint="eastAsia"/>
        </w:rPr>
        <w:t>30.9</w:t>
      </w:r>
      <w:r>
        <w:rPr>
          <w:rFonts w:hint="eastAsia"/>
        </w:rPr>
        <w:t>％、「わからない」が</w:t>
      </w:r>
      <w:r>
        <w:rPr>
          <w:rFonts w:hint="eastAsia"/>
        </w:rPr>
        <w:t>25.7</w:t>
      </w:r>
      <w:r>
        <w:rPr>
          <w:rFonts w:hint="eastAsia"/>
        </w:rPr>
        <w:t>％となる。</w:t>
      </w:r>
    </w:p>
    <w:p>
      <w:pPr>
        <w:pStyle w:val="302"/>
        <w:rPr>
          <w:rFonts w:hint="default"/>
        </w:rPr>
      </w:pPr>
      <w:r>
        <w:rPr>
          <w:rFonts w:hint="eastAsia"/>
        </w:rPr>
        <w:t>●避難の際に近所で助けてくれる人の有無については、「いる」が</w:t>
      </w:r>
      <w:r>
        <w:rPr>
          <w:rFonts w:hint="eastAsia"/>
        </w:rPr>
        <w:t>27.9</w:t>
      </w:r>
      <w:r>
        <w:rPr>
          <w:rFonts w:hint="eastAsia"/>
        </w:rPr>
        <w:t>％、「いない」が</w:t>
      </w:r>
      <w:r>
        <w:rPr>
          <w:rFonts w:hint="eastAsia"/>
        </w:rPr>
        <w:t>38.9</w:t>
      </w:r>
      <w:r>
        <w:rPr>
          <w:rFonts w:hint="eastAsia"/>
        </w:rPr>
        <w:t>％、「わからない」が</w:t>
      </w:r>
      <w:r>
        <w:rPr>
          <w:rFonts w:hint="eastAsia"/>
        </w:rPr>
        <w:t>28.7</w:t>
      </w:r>
      <w:r>
        <w:rPr>
          <w:rFonts w:hint="eastAsia"/>
        </w:rPr>
        <w:t>％となる。</w:t>
      </w:r>
    </w:p>
    <w:p>
      <w:pPr>
        <w:pStyle w:val="302"/>
        <w:ind w:left="876" w:hanging="204"/>
        <w:rPr>
          <w:rFonts w:hint="default"/>
        </w:rPr>
      </w:pPr>
      <w:r>
        <w:rPr>
          <w:rFonts w:hint="default"/>
        </w:rPr>
        <w:drawing>
          <wp:anchor distT="0" distB="0" distL="114300" distR="114300" simplePos="0" relativeHeight="266" behindDoc="0" locked="0" layoutInCell="1" hidden="0" allowOverlap="1">
            <wp:simplePos x="0" y="0"/>
            <wp:positionH relativeFrom="column">
              <wp:posOffset>3458845</wp:posOffset>
            </wp:positionH>
            <wp:positionV relativeFrom="paragraph">
              <wp:posOffset>137160</wp:posOffset>
            </wp:positionV>
            <wp:extent cx="2001520" cy="2148205"/>
            <wp:effectExtent l="0" t="0" r="0" b="0"/>
            <wp:wrapSquare wrapText="bothSides"/>
            <wp:docPr id="1305" name="問45_円南風原町障がい全体"/>
            <a:graphic xmlns:a="http://schemas.openxmlformats.org/drawingml/2006/main">
              <a:graphicData uri="http://schemas.openxmlformats.org/drawingml/2006/picture">
                <pic:pic xmlns:pic="http://schemas.openxmlformats.org/drawingml/2006/picture">
                  <pic:nvPicPr>
                    <pic:cNvPr id="1305" name="問45_円南風原町障がい全体"/>
                    <pic:cNvPicPr>
                      <a:picLocks noChangeAspect="1" noChangeArrowheads="1"/>
                    </pic:cNvPicPr>
                  </pic:nvPicPr>
                  <pic:blipFill>
                    <a:blip r:embed="rId41"/>
                    <a:srcRect l="22276" t="20375" r="18282" b="31680"/>
                    <a:stretch>
                      <a:fillRect/>
                    </a:stretch>
                  </pic:blipFill>
                  <pic:spPr>
                    <a:xfrm>
                      <a:off x="0" y="0"/>
                      <a:ext cx="2001520" cy="2148205"/>
                    </a:xfrm>
                    <a:prstGeom prst="rect">
                      <a:avLst/>
                    </a:prstGeom>
                    <a:noFill/>
                    <a:ln>
                      <a:noFill/>
                    </a:ln>
                  </pic:spPr>
                </pic:pic>
              </a:graphicData>
            </a:graphic>
          </wp:anchor>
        </w:drawing>
      </w:r>
      <w:r>
        <w:rPr>
          <w:rFonts w:hint="default"/>
        </w:rPr>
        <mc:AlternateContent>
          <mc:Choice Requires="wps">
            <w:drawing>
              <wp:anchor distT="0" distB="0" distL="114300" distR="114300" simplePos="0" relativeHeight="320" behindDoc="0" locked="0" layoutInCell="1" hidden="0" allowOverlap="1">
                <wp:simplePos x="0" y="0"/>
                <wp:positionH relativeFrom="column">
                  <wp:posOffset>3477895</wp:posOffset>
                </wp:positionH>
                <wp:positionV relativeFrom="paragraph">
                  <wp:posOffset>34925</wp:posOffset>
                </wp:positionV>
                <wp:extent cx="1949450" cy="228600"/>
                <wp:effectExtent l="0" t="0" r="635" b="635"/>
                <wp:wrapNone/>
                <wp:docPr id="1306" name="テキスト ボックス 20"/>
                <a:graphic xmlns:a="http://schemas.openxmlformats.org/drawingml/2006/main">
                  <a:graphicData uri="http://schemas.microsoft.com/office/word/2010/wordprocessingShape">
                    <wps:wsp>
                      <wps:cNvPr id="1306" name="テキスト ボックス 20"/>
                      <wps:cNvSpPr txBox="1"/>
                      <wps:spPr>
                        <a:xfrm>
                          <a:off x="0" y="0"/>
                          <a:ext cx="19494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近所で助けてくれる人</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mso-wrap-distance-right:9pt;mso-wrap-distance-bottom:0pt;margin-top:2.75pt;mso-position-vertical-relative:text;mso-position-horizontal-relative:text;v-text-anchor:middle;position:absolute;height:18pt;mso-wrap-distance-top:0pt;width:153.5pt;mso-wrap-distance-left:9pt;margin-left:273.85000000000002pt;z-index:320;" o:spid="_x0000_s1306"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近所で助けてくれる人</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319" behindDoc="0" locked="0" layoutInCell="1" hidden="0" allowOverlap="1">
                <wp:simplePos x="0" y="0"/>
                <wp:positionH relativeFrom="column">
                  <wp:posOffset>1062990</wp:posOffset>
                </wp:positionH>
                <wp:positionV relativeFrom="paragraph">
                  <wp:posOffset>34925</wp:posOffset>
                </wp:positionV>
                <wp:extent cx="1949450" cy="228600"/>
                <wp:effectExtent l="0" t="0" r="635" b="635"/>
                <wp:wrapNone/>
                <wp:docPr id="1307" name="テキスト ボックス 20"/>
                <a:graphic xmlns:a="http://schemas.openxmlformats.org/drawingml/2006/main">
                  <a:graphicData uri="http://schemas.microsoft.com/office/word/2010/wordprocessingShape">
                    <wps:wsp>
                      <wps:cNvPr id="1307" name="テキスト ボックス 20"/>
                      <wps:cNvSpPr txBox="1"/>
                      <wps:spPr>
                        <a:xfrm>
                          <a:off x="0" y="0"/>
                          <a:ext cx="19494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一人で避難</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mso-wrap-distance-right:9pt;mso-wrap-distance-bottom:0pt;margin-top:2.75pt;mso-position-vertical-relative:text;mso-position-horizontal-relative:text;v-text-anchor:middle;position:absolute;height:18pt;mso-wrap-distance-top:0pt;width:153.5pt;mso-wrap-distance-left:9pt;margin-left:83.7pt;z-index:319;" o:spid="_x0000_s1307"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一人で避難</w:t>
                      </w:r>
                    </w:p>
                  </w:txbxContent>
                </v:textbox>
                <v:imagedata o:title=""/>
                <w10:wrap type="none" anchorx="text" anchory="text"/>
              </v:shape>
            </w:pict>
          </mc:Fallback>
        </mc:AlternateContent>
      </w:r>
      <w:r>
        <w:rPr>
          <w:rFonts w:hint="default"/>
        </w:rPr>
        <w:drawing>
          <wp:anchor distT="0" distB="0" distL="114300" distR="114300" simplePos="0" relativeHeight="277" behindDoc="0" locked="0" layoutInCell="1" hidden="0" allowOverlap="1">
            <wp:simplePos x="0" y="0"/>
            <wp:positionH relativeFrom="column">
              <wp:posOffset>1038860</wp:posOffset>
            </wp:positionH>
            <wp:positionV relativeFrom="paragraph">
              <wp:posOffset>138430</wp:posOffset>
            </wp:positionV>
            <wp:extent cx="2000250" cy="2146300"/>
            <wp:effectExtent l="0" t="0" r="0" b="0"/>
            <wp:wrapSquare wrapText="bothSides"/>
            <wp:docPr id="1308" name="問44_円南風原町障がい全体"/>
            <a:graphic xmlns:a="http://schemas.openxmlformats.org/drawingml/2006/main">
              <a:graphicData uri="http://schemas.openxmlformats.org/drawingml/2006/picture">
                <pic:pic xmlns:pic="http://schemas.openxmlformats.org/drawingml/2006/picture">
                  <pic:nvPicPr>
                    <pic:cNvPr id="1308" name="問44_円南風原町障がい全体"/>
                    <pic:cNvPicPr>
                      <a:picLocks noChangeAspect="1" noChangeArrowheads="1"/>
                    </pic:cNvPicPr>
                  </pic:nvPicPr>
                  <pic:blipFill>
                    <a:blip r:embed="rId42"/>
                    <a:srcRect l="22276" t="20375" r="18282" b="31680"/>
                    <a:stretch>
                      <a:fillRect/>
                    </a:stretch>
                  </pic:blipFill>
                  <pic:spPr>
                    <a:xfrm>
                      <a:off x="0" y="0"/>
                      <a:ext cx="2000250" cy="2146300"/>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3"/>
        <w:spacing w:after="74" w:afterLines="0" w:afterAutospacing="0"/>
        <w:ind w:left="560"/>
        <w:rPr>
          <w:rFonts w:hint="default"/>
        </w:rPr>
      </w:pPr>
      <w:bookmarkStart w:id="418" w:name="_Toc52552117"/>
      <w:bookmarkStart w:id="419" w:name="_Toc52987317"/>
      <w:r>
        <w:rPr>
          <w:rFonts w:hint="eastAsia"/>
        </w:rPr>
        <w:t>17</w:t>
      </w:r>
      <w:r>
        <w:rPr>
          <w:rFonts w:hint="eastAsia"/>
        </w:rPr>
        <w:t>．災害時に困ること</w:t>
      </w:r>
      <w:r>
        <w:rPr>
          <w:rFonts w:hint="default"/>
        </w:rPr>
        <w:t>（複数回答）</w:t>
      </w:r>
      <w:bookmarkEnd w:id="418"/>
      <w:bookmarkEnd w:id="419"/>
    </w:p>
    <w:p>
      <w:pPr>
        <w:pStyle w:val="302"/>
        <w:rPr>
          <w:rFonts w:hint="default"/>
        </w:rPr>
      </w:pPr>
      <w:r>
        <w:rPr>
          <w:rFonts w:hint="eastAsia"/>
        </w:rPr>
        <w:t>●「投薬や治療が受けられない」が</w:t>
      </w:r>
      <w:r>
        <w:rPr>
          <w:rFonts w:hint="default"/>
        </w:rPr>
        <w:t>37.2</w:t>
      </w:r>
      <w:r>
        <w:rPr>
          <w:rFonts w:hint="default"/>
        </w:rPr>
        <w:t>％と高く、次</w:t>
      </w:r>
      <w:r>
        <w:rPr>
          <w:rFonts w:hint="eastAsia"/>
        </w:rPr>
        <w:t>に</w:t>
      </w:r>
      <w:r>
        <w:rPr>
          <w:rFonts w:hint="default"/>
        </w:rPr>
        <w:t>「避難場所の設備（トイレ等）や生活環境が不安」が</w:t>
      </w:r>
      <w:r>
        <w:rPr>
          <w:rFonts w:hint="default"/>
        </w:rPr>
        <w:t>36.7</w:t>
      </w:r>
      <w:r>
        <w:rPr>
          <w:rFonts w:hint="default"/>
        </w:rPr>
        <w:t>％、「安全なところまで、迅速に避難することができない」が</w:t>
      </w:r>
      <w:r>
        <w:rPr>
          <w:rFonts w:hint="default"/>
        </w:rPr>
        <w:t>29.2</w:t>
      </w:r>
      <w:r>
        <w:rPr>
          <w:rFonts w:hint="default"/>
        </w:rPr>
        <w:t>％</w:t>
      </w:r>
      <w:r>
        <w:rPr>
          <w:rFonts w:hint="eastAsia"/>
        </w:rPr>
        <w:t>となる。</w:t>
      </w:r>
    </w:p>
    <w:p>
      <w:pPr>
        <w:pStyle w:val="302"/>
        <w:ind w:left="876" w:hanging="204"/>
        <w:rPr>
          <w:rFonts w:hint="default"/>
        </w:rPr>
      </w:pPr>
      <w:r>
        <w:rPr>
          <w:rFonts w:hint="default"/>
        </w:rPr>
        <w:drawing>
          <wp:anchor distT="0" distB="0" distL="114300" distR="114300" simplePos="0" relativeHeight="276" behindDoc="0" locked="0" layoutInCell="1" hidden="0" allowOverlap="1">
            <wp:simplePos x="0" y="0"/>
            <wp:positionH relativeFrom="column">
              <wp:posOffset>714375</wp:posOffset>
            </wp:positionH>
            <wp:positionV relativeFrom="paragraph">
              <wp:posOffset>87630</wp:posOffset>
            </wp:positionV>
            <wp:extent cx="5411470" cy="3000375"/>
            <wp:effectExtent l="0" t="0" r="0" b="0"/>
            <wp:wrapNone/>
            <wp:docPr id="1309" name="問47_横棒南風原町障がい全体"/>
            <a:graphic xmlns:a="http://schemas.openxmlformats.org/drawingml/2006/main">
              <a:graphicData uri="http://schemas.openxmlformats.org/drawingml/2006/picture">
                <pic:pic xmlns:pic="http://schemas.openxmlformats.org/drawingml/2006/picture">
                  <pic:nvPicPr>
                    <pic:cNvPr id="1309" name="問47_横棒南風原町障がい全体"/>
                    <pic:cNvPicPr>
                      <a:picLocks noChangeAspect="1" noChangeArrowheads="1"/>
                    </pic:cNvPicPr>
                  </pic:nvPicPr>
                  <pic:blipFill>
                    <a:blip r:embed="rId43"/>
                    <a:srcRect l="2875" t="13586" r="237" b="7660"/>
                    <a:stretch>
                      <a:fillRect/>
                    </a:stretch>
                  </pic:blipFill>
                  <pic:spPr>
                    <a:xfrm>
                      <a:off x="0" y="0"/>
                      <a:ext cx="5411470" cy="300037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r>
        <w:rPr>
          <w:rFonts w:hint="default"/>
        </w:rPr>
        <w:t xml:space="preserve"> </w:t>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sz w:val="21"/>
        </w:rPr>
      </w:pPr>
      <w:r>
        <w:rPr>
          <w:rFonts w:hint="default"/>
        </w:rPr>
        <w:br w:type="page"/>
      </w:r>
    </w:p>
    <w:p>
      <w:pPr>
        <w:pStyle w:val="303"/>
        <w:spacing w:after="74" w:afterLines="0" w:afterAutospacing="0"/>
        <w:ind w:left="560"/>
        <w:rPr>
          <w:rFonts w:hint="default"/>
        </w:rPr>
      </w:pPr>
      <w:bookmarkStart w:id="420" w:name="_Toc52552123"/>
      <w:bookmarkStart w:id="421" w:name="_Toc52987323"/>
      <w:r>
        <w:rPr>
          <w:rFonts w:hint="default"/>
        </w:rPr>
        <w:drawing>
          <wp:anchor distT="0" distB="0" distL="114300" distR="114300" simplePos="0" relativeHeight="275" behindDoc="0" locked="0" layoutInCell="1" hidden="0" allowOverlap="1">
            <wp:simplePos x="0" y="0"/>
            <wp:positionH relativeFrom="column">
              <wp:posOffset>4490085</wp:posOffset>
            </wp:positionH>
            <wp:positionV relativeFrom="paragraph">
              <wp:posOffset>123825</wp:posOffset>
            </wp:positionV>
            <wp:extent cx="1983740" cy="2190750"/>
            <wp:effectExtent l="0" t="0" r="0" b="0"/>
            <wp:wrapSquare wrapText="bothSides"/>
            <wp:docPr id="1310" name="問38_円南風原町障がい全体"/>
            <a:graphic xmlns:a="http://schemas.openxmlformats.org/drawingml/2006/main">
              <a:graphicData uri="http://schemas.openxmlformats.org/drawingml/2006/picture">
                <pic:pic xmlns:pic="http://schemas.openxmlformats.org/drawingml/2006/picture">
                  <pic:nvPicPr>
                    <pic:cNvPr id="1310" name="問38_円南風原町障がい全体"/>
                    <pic:cNvPicPr>
                      <a:picLocks noChangeAspect="1" noChangeArrowheads="1"/>
                    </pic:cNvPicPr>
                  </pic:nvPicPr>
                  <pic:blipFill>
                    <a:blip r:embed="rId44"/>
                    <a:srcRect l="25565" t="20929" r="15504" b="30135"/>
                    <a:stretch>
                      <a:fillRect/>
                    </a:stretch>
                  </pic:blipFill>
                  <pic:spPr>
                    <a:xfrm>
                      <a:off x="0" y="0"/>
                      <a:ext cx="1983740" cy="2190750"/>
                    </a:xfrm>
                    <a:prstGeom prst="rect">
                      <a:avLst/>
                    </a:prstGeom>
                    <a:noFill/>
                    <a:ln>
                      <a:noFill/>
                    </a:ln>
                  </pic:spPr>
                </pic:pic>
              </a:graphicData>
            </a:graphic>
          </wp:anchor>
        </w:drawing>
      </w:r>
      <w:r>
        <w:rPr>
          <w:rFonts w:hint="eastAsia"/>
        </w:rPr>
        <w:t>18</w:t>
      </w:r>
      <w:r>
        <w:rPr>
          <w:rFonts w:hint="eastAsia"/>
        </w:rPr>
        <w:t>．差別や嫌な思いの</w:t>
      </w:r>
      <w:bookmarkEnd w:id="420"/>
      <w:bookmarkEnd w:id="421"/>
      <w:r>
        <w:rPr>
          <w:rFonts w:hint="eastAsia"/>
        </w:rPr>
        <w:t>経験</w:t>
      </w:r>
    </w:p>
    <w:p>
      <w:pPr>
        <w:pStyle w:val="302"/>
        <w:rPr>
          <w:rFonts w:hint="default"/>
        </w:rPr>
      </w:pPr>
      <w:r>
        <w:rPr>
          <w:rFonts w:hint="eastAsia"/>
        </w:rPr>
        <w:t>●</w:t>
      </w:r>
      <w:r>
        <w:rPr>
          <w:rFonts w:hint="default"/>
        </w:rPr>
        <w:t>「ある」が</w:t>
      </w:r>
      <w:r>
        <w:rPr>
          <w:rFonts w:hint="eastAsia"/>
        </w:rPr>
        <w:t>19.0</w:t>
      </w:r>
      <w:r>
        <w:rPr>
          <w:rFonts w:hint="default"/>
        </w:rPr>
        <w:t>％</w:t>
      </w:r>
      <w:r>
        <w:rPr>
          <w:rFonts w:hint="eastAsia"/>
        </w:rPr>
        <w:t>、「少しある」が</w:t>
      </w:r>
      <w:r>
        <w:rPr>
          <w:rFonts w:hint="eastAsia"/>
        </w:rPr>
        <w:t>16.7</w:t>
      </w:r>
      <w:r>
        <w:rPr>
          <w:rFonts w:hint="eastAsia"/>
        </w:rPr>
        <w:t>％でこれらを合わせると差別等の経験があるのは</w:t>
      </w:r>
      <w:r>
        <w:rPr>
          <w:rFonts w:hint="eastAsia"/>
        </w:rPr>
        <w:t>35.7</w:t>
      </w:r>
      <w:r>
        <w:rPr>
          <w:rFonts w:hint="eastAsia"/>
        </w:rPr>
        <w:t>％と</w:t>
      </w:r>
      <w:r>
        <w:rPr>
          <w:rFonts w:hint="default"/>
        </w:rPr>
        <w:t>なる。</w:t>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3"/>
        <w:spacing w:after="74" w:afterLines="0" w:afterAutospacing="0"/>
        <w:ind w:left="560"/>
        <w:rPr>
          <w:rFonts w:hint="default"/>
        </w:rPr>
      </w:pPr>
      <w:r>
        <w:rPr>
          <w:rFonts w:hint="eastAsia"/>
        </w:rPr>
        <w:t>19</w:t>
      </w:r>
      <w:r>
        <w:rPr>
          <w:rFonts w:hint="eastAsia"/>
        </w:rPr>
        <w:t>．差別や嫌な思いをした場所</w:t>
      </w:r>
    </w:p>
    <w:p>
      <w:pPr>
        <w:pStyle w:val="302"/>
        <w:rPr>
          <w:rFonts w:hint="default"/>
        </w:rPr>
      </w:pPr>
      <w:r>
        <w:rPr>
          <w:rFonts w:hint="eastAsia"/>
        </w:rPr>
        <w:t>●差別等の経験をした場所は、「病院」が</w:t>
      </w:r>
      <w:r>
        <w:rPr>
          <w:rFonts w:hint="default"/>
        </w:rPr>
        <w:t>30.1</w:t>
      </w:r>
      <w:r>
        <w:rPr>
          <w:rFonts w:hint="default"/>
        </w:rPr>
        <w:t>％と高く、次に「学校」が</w:t>
      </w:r>
      <w:r>
        <w:rPr>
          <w:rFonts w:hint="default"/>
        </w:rPr>
        <w:t>28.0</w:t>
      </w:r>
      <w:r>
        <w:rPr>
          <w:rFonts w:hint="default"/>
        </w:rPr>
        <w:t>％、「スーパー・ショッピングセンター」が</w:t>
      </w:r>
      <w:r>
        <w:rPr>
          <w:rFonts w:hint="default"/>
        </w:rPr>
        <w:t>25.2</w:t>
      </w:r>
      <w:r>
        <w:rPr>
          <w:rFonts w:hint="default"/>
        </w:rPr>
        <w:t>％となる。</w:t>
      </w:r>
    </w:p>
    <w:p>
      <w:pPr>
        <w:pStyle w:val="302"/>
        <w:ind w:left="876" w:hanging="204"/>
        <w:rPr>
          <w:rFonts w:hint="default"/>
        </w:rPr>
      </w:pPr>
      <w:r>
        <w:rPr>
          <w:rFonts w:hint="default"/>
        </w:rPr>
        <w:drawing>
          <wp:anchor distT="0" distB="0" distL="114300" distR="114300" simplePos="0" relativeHeight="274" behindDoc="0" locked="0" layoutInCell="1" hidden="0" allowOverlap="1">
            <wp:simplePos x="0" y="0"/>
            <wp:positionH relativeFrom="column">
              <wp:posOffset>457835</wp:posOffset>
            </wp:positionH>
            <wp:positionV relativeFrom="paragraph">
              <wp:posOffset>81915</wp:posOffset>
            </wp:positionV>
            <wp:extent cx="5411470" cy="4341495"/>
            <wp:effectExtent l="0" t="0" r="0" b="0"/>
            <wp:wrapNone/>
            <wp:docPr id="1311" name="問39_横棒南風原町障がい全体"/>
            <a:graphic xmlns:a="http://schemas.openxmlformats.org/drawingml/2006/main">
              <a:graphicData uri="http://schemas.openxmlformats.org/drawingml/2006/picture">
                <pic:pic xmlns:pic="http://schemas.openxmlformats.org/drawingml/2006/picture">
                  <pic:nvPicPr>
                    <pic:cNvPr id="1311" name="問39_横棒南風原町障がい全体"/>
                    <pic:cNvPicPr>
                      <a:picLocks noChangeAspect="1" noChangeArrowheads="1"/>
                    </pic:cNvPicPr>
                  </pic:nvPicPr>
                  <pic:blipFill>
                    <a:blip r:embed="rId45"/>
                    <a:srcRect l="2875" t="10049" r="237" b="5666"/>
                    <a:stretch>
                      <a:fillRect/>
                    </a:stretch>
                  </pic:blipFill>
                  <pic:spPr>
                    <a:xfrm>
                      <a:off x="0" y="0"/>
                      <a:ext cx="5411470" cy="434149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rPr>
      </w:pPr>
      <w:r>
        <w:rPr>
          <w:rFonts w:hint="default"/>
        </w:rPr>
        <w:br w:type="page"/>
      </w:r>
    </w:p>
    <w:p>
      <w:pPr>
        <w:pStyle w:val="303"/>
        <w:spacing w:after="74" w:afterLines="0" w:afterAutospacing="0"/>
        <w:ind w:left="560"/>
        <w:rPr>
          <w:rFonts w:hint="default"/>
        </w:rPr>
      </w:pPr>
      <w:bookmarkStart w:id="422" w:name="_Toc52552125"/>
      <w:bookmarkStart w:id="423" w:name="_Toc52987325"/>
      <w:r>
        <w:rPr>
          <w:rFonts w:hint="eastAsia"/>
        </w:rPr>
        <w:t>20</w:t>
      </w:r>
      <w:r>
        <w:rPr>
          <w:rFonts w:hint="eastAsia"/>
        </w:rPr>
        <w:t>．成年後見制度・日常生活自立支援事業の周知度</w:t>
      </w:r>
    </w:p>
    <w:p>
      <w:pPr>
        <w:pStyle w:val="302"/>
        <w:rPr>
          <w:rFonts w:hint="default"/>
        </w:rPr>
      </w:pPr>
      <w:r>
        <w:rPr>
          <w:rFonts w:hint="eastAsia"/>
        </w:rPr>
        <w:t>●成年後見制度について、「名称も制度内容も知らない」が</w:t>
      </w:r>
      <w:r>
        <w:rPr>
          <w:rFonts w:hint="default"/>
        </w:rPr>
        <w:t>32.2</w:t>
      </w:r>
      <w:r>
        <w:rPr>
          <w:rFonts w:hint="default"/>
        </w:rPr>
        <w:t>％となる。</w:t>
      </w:r>
    </w:p>
    <w:p>
      <w:pPr>
        <w:pStyle w:val="302"/>
        <w:rPr>
          <w:rFonts w:hint="default"/>
        </w:rPr>
      </w:pPr>
      <w:r>
        <w:rPr>
          <w:rFonts w:hint="default"/>
        </w:rPr>
        <w:t>●</w:t>
      </w:r>
      <w:r>
        <w:rPr>
          <w:rFonts w:hint="default"/>
        </w:rPr>
        <w:t>日常生活自立支援事業について、</w:t>
      </w:r>
      <w:r>
        <w:rPr>
          <w:rFonts w:hint="eastAsia"/>
        </w:rPr>
        <w:t>「名称も制度内容も知らない」が</w:t>
      </w:r>
      <w:r>
        <w:rPr>
          <w:rFonts w:hint="eastAsia"/>
        </w:rPr>
        <w:t>50.1</w:t>
      </w:r>
      <w:r>
        <w:rPr>
          <w:rFonts w:hint="default"/>
        </w:rPr>
        <w:t>％となる。</w:t>
      </w:r>
    </w:p>
    <w:p>
      <w:pPr>
        <w:pStyle w:val="302"/>
        <w:ind w:left="876" w:hanging="204"/>
        <w:rPr>
          <w:rFonts w:hint="default"/>
          <w:highlight w:val="green"/>
        </w:rPr>
      </w:pPr>
      <w:r>
        <w:rPr>
          <w:rFonts w:hint="default"/>
        </w:rPr>
        <mc:AlternateContent>
          <mc:Choice Requires="wps">
            <w:drawing>
              <wp:anchor distT="0" distB="0" distL="114300" distR="114300" simplePos="0" relativeHeight="322" behindDoc="0" locked="1" layoutInCell="1" hidden="0" allowOverlap="1">
                <wp:simplePos x="0" y="0"/>
                <wp:positionH relativeFrom="column">
                  <wp:posOffset>3489325</wp:posOffset>
                </wp:positionH>
                <wp:positionV relativeFrom="paragraph">
                  <wp:posOffset>19685</wp:posOffset>
                </wp:positionV>
                <wp:extent cx="1949450" cy="228600"/>
                <wp:effectExtent l="0" t="0" r="635" b="635"/>
                <wp:wrapNone/>
                <wp:docPr id="1312" name="テキスト ボックス 20"/>
                <a:graphic xmlns:a="http://schemas.openxmlformats.org/drawingml/2006/main">
                  <a:graphicData uri="http://schemas.microsoft.com/office/word/2010/wordprocessingShape">
                    <wps:wsp>
                      <wps:cNvPr id="1312" name="テキスト ボックス 20"/>
                      <wps:cNvSpPr txBox="1"/>
                      <wps:spPr>
                        <a:xfrm>
                          <a:off x="0" y="0"/>
                          <a:ext cx="19494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日常生活自立支援事業</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mso-wrap-distance-right:9pt;mso-wrap-distance-bottom:0pt;margin-top:1.55pt;mso-position-vertical-relative:text;mso-position-horizontal-relative:text;v-text-anchor:middle;position:absolute;height:18pt;mso-wrap-distance-top:0pt;width:153.5pt;mso-wrap-distance-left:9pt;margin-left:274.75pt;z-index:322;" o:spid="_x0000_s1312"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日常生活自立支援事業</w:t>
                      </w:r>
                    </w:p>
                  </w:txbxContent>
                </v:textbox>
                <v:imagedata o:title=""/>
                <w10:wrap type="none" anchorx="text" anchory="text"/>
                <w10:anchorlock/>
              </v:shape>
            </w:pict>
          </mc:Fallback>
        </mc:AlternateContent>
      </w:r>
      <w:r>
        <w:rPr>
          <w:rFonts w:hint="default"/>
        </w:rPr>
        <mc:AlternateContent>
          <mc:Choice Requires="wps">
            <w:drawing>
              <wp:anchor distT="0" distB="0" distL="114300" distR="114300" simplePos="0" relativeHeight="321" behindDoc="0" locked="1" layoutInCell="1" hidden="0" allowOverlap="1">
                <wp:simplePos x="0" y="0"/>
                <wp:positionH relativeFrom="column">
                  <wp:posOffset>1073785</wp:posOffset>
                </wp:positionH>
                <wp:positionV relativeFrom="paragraph">
                  <wp:posOffset>19685</wp:posOffset>
                </wp:positionV>
                <wp:extent cx="1949450" cy="228600"/>
                <wp:effectExtent l="0" t="0" r="635" b="635"/>
                <wp:wrapNone/>
                <wp:docPr id="1313" name="テキスト ボックス 20"/>
                <a:graphic xmlns:a="http://schemas.openxmlformats.org/drawingml/2006/main">
                  <a:graphicData uri="http://schemas.microsoft.com/office/word/2010/wordprocessingShape">
                    <wps:wsp>
                      <wps:cNvPr id="1313" name="テキスト ボックス 20"/>
                      <wps:cNvSpPr txBox="1"/>
                      <wps:spPr>
                        <a:xfrm>
                          <a:off x="0" y="0"/>
                          <a:ext cx="19494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成年後見制度</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mso-wrap-distance-right:9pt;mso-wrap-distance-bottom:0pt;margin-top:1.55pt;mso-position-vertical-relative:text;mso-position-horizontal-relative:text;v-text-anchor:middle;position:absolute;height:18pt;mso-wrap-distance-top:0pt;width:153.5pt;mso-wrap-distance-left:9pt;margin-left:84.55pt;z-index:321;" o:spid="_x0000_s1313"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成年後見制度</w:t>
                      </w:r>
                    </w:p>
                  </w:txbxContent>
                </v:textbox>
                <v:imagedata o:title=""/>
                <w10:wrap type="none" anchorx="text" anchory="text"/>
                <w10:anchorlock/>
              </v:shape>
            </w:pict>
          </mc:Fallback>
        </mc:AlternateContent>
      </w:r>
      <w:r>
        <w:rPr>
          <w:rFonts w:hint="default"/>
        </w:rPr>
        <w:drawing>
          <wp:anchor distT="0" distB="0" distL="114300" distR="114300" simplePos="0" relativeHeight="272" behindDoc="0" locked="1" layoutInCell="1" hidden="0" allowOverlap="1">
            <wp:simplePos x="0" y="0"/>
            <wp:positionH relativeFrom="column">
              <wp:posOffset>3463290</wp:posOffset>
            </wp:positionH>
            <wp:positionV relativeFrom="paragraph">
              <wp:posOffset>173990</wp:posOffset>
            </wp:positionV>
            <wp:extent cx="2458085" cy="2035175"/>
            <wp:effectExtent l="0" t="0" r="0" b="0"/>
            <wp:wrapSquare wrapText="bothSides"/>
            <wp:docPr id="1314" name="問42②_円南風原町障がい全体"/>
            <a:graphic xmlns:a="http://schemas.openxmlformats.org/drawingml/2006/main">
              <a:graphicData uri="http://schemas.openxmlformats.org/drawingml/2006/picture">
                <pic:pic xmlns:pic="http://schemas.openxmlformats.org/drawingml/2006/picture">
                  <pic:nvPicPr>
                    <pic:cNvPr id="1314" name="問42②_円南風原町障がい全体"/>
                    <pic:cNvPicPr>
                      <a:picLocks noChangeAspect="1" noChangeArrowheads="1"/>
                    </pic:cNvPicPr>
                  </pic:nvPicPr>
                  <pic:blipFill>
                    <a:blip r:embed="rId46"/>
                    <a:srcRect l="22276" t="22878" r="4707" b="31680"/>
                    <a:stretch>
                      <a:fillRect/>
                    </a:stretch>
                  </pic:blipFill>
                  <pic:spPr>
                    <a:xfrm>
                      <a:off x="0" y="0"/>
                      <a:ext cx="2458085" cy="2035175"/>
                    </a:xfrm>
                    <a:prstGeom prst="rect">
                      <a:avLst/>
                    </a:prstGeom>
                    <a:noFill/>
                    <a:ln>
                      <a:noFill/>
                    </a:ln>
                  </pic:spPr>
                </pic:pic>
              </a:graphicData>
            </a:graphic>
          </wp:anchor>
        </w:drawing>
      </w:r>
      <w:r>
        <w:rPr>
          <w:rFonts w:hint="default"/>
        </w:rPr>
        <w:drawing>
          <wp:anchor distT="0" distB="0" distL="114300" distR="114300" simplePos="0" relativeHeight="273" behindDoc="0" locked="1" layoutInCell="1" hidden="0" allowOverlap="1">
            <wp:simplePos x="0" y="0"/>
            <wp:positionH relativeFrom="column">
              <wp:posOffset>1047750</wp:posOffset>
            </wp:positionH>
            <wp:positionV relativeFrom="paragraph">
              <wp:posOffset>130810</wp:posOffset>
            </wp:positionV>
            <wp:extent cx="2087245" cy="2233930"/>
            <wp:effectExtent l="0" t="0" r="0" b="0"/>
            <wp:wrapSquare wrapText="bothSides"/>
            <wp:docPr id="1315" name="問42①_円南風原町障がい全体"/>
            <a:graphic xmlns:a="http://schemas.openxmlformats.org/drawingml/2006/main">
              <a:graphicData uri="http://schemas.openxmlformats.org/drawingml/2006/picture">
                <pic:pic xmlns:pic="http://schemas.openxmlformats.org/drawingml/2006/picture">
                  <pic:nvPicPr>
                    <pic:cNvPr id="1315" name="問42①_円南風原町障がい全体"/>
                    <pic:cNvPicPr>
                      <a:picLocks noChangeAspect="1" noChangeArrowheads="1"/>
                    </pic:cNvPicPr>
                  </pic:nvPicPr>
                  <pic:blipFill>
                    <a:blip r:embed="rId47"/>
                    <a:srcRect l="22276" t="22879" r="15726" b="27242"/>
                    <a:stretch>
                      <a:fillRect/>
                    </a:stretch>
                  </pic:blipFill>
                  <pic:spPr>
                    <a:xfrm>
                      <a:off x="0" y="0"/>
                      <a:ext cx="2087245" cy="2233930"/>
                    </a:xfrm>
                    <a:prstGeom prst="rect">
                      <a:avLst/>
                    </a:prstGeom>
                    <a:noFill/>
                    <a:ln>
                      <a:noFill/>
                    </a:ln>
                  </pic:spPr>
                </pic:pic>
              </a:graphicData>
            </a:graphic>
          </wp:anchor>
        </w:drawing>
      </w: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rPr>
      </w:pPr>
      <w:r>
        <w:rPr>
          <w:rFonts w:hint="eastAsia"/>
        </w:rPr>
        <w:t>●成年後見制度や日常生活自立支援事業の利用希望は、「利用したいと思う」が</w:t>
      </w:r>
      <w:r>
        <w:rPr>
          <w:rFonts w:hint="eastAsia"/>
        </w:rPr>
        <w:t>29.4</w:t>
      </w:r>
      <w:r>
        <w:rPr>
          <w:rFonts w:hint="eastAsia"/>
        </w:rPr>
        <w:t>％と３割程度となる。</w:t>
      </w:r>
    </w:p>
    <w:p>
      <w:pPr>
        <w:pStyle w:val="302"/>
        <w:rPr>
          <w:rFonts w:hint="default"/>
        </w:rPr>
      </w:pPr>
      <w:r>
        <w:rPr>
          <w:rFonts w:hint="default"/>
        </w:rPr>
        <w:t>●</w:t>
      </w:r>
      <w:r>
        <w:rPr>
          <w:rFonts w:hint="default"/>
        </w:rPr>
        <w:t>成年後見制度の内容や利用方法の相談窓口について、</w:t>
      </w:r>
      <w:r>
        <w:rPr>
          <w:rFonts w:hint="eastAsia"/>
        </w:rPr>
        <w:t>利用したいと思う人を対象に窓口の周知状況を聞いたところ、</w:t>
      </w:r>
      <w:r>
        <w:rPr>
          <w:rFonts w:hint="default"/>
        </w:rPr>
        <w:t>「</w:t>
      </w:r>
      <w:r>
        <w:rPr>
          <w:rFonts w:hint="eastAsia"/>
        </w:rPr>
        <w:t>知らない</w:t>
      </w:r>
      <w:r>
        <w:rPr>
          <w:rFonts w:hint="default"/>
        </w:rPr>
        <w:t>」</w:t>
      </w:r>
      <w:r>
        <w:rPr>
          <w:rFonts w:hint="eastAsia"/>
        </w:rPr>
        <w:t>が</w:t>
      </w:r>
      <w:r>
        <w:rPr>
          <w:rFonts w:hint="eastAsia"/>
        </w:rPr>
        <w:t>65.3</w:t>
      </w:r>
      <w:r>
        <w:rPr>
          <w:rFonts w:hint="default"/>
        </w:rPr>
        <w:t>％と</w:t>
      </w:r>
      <w:r>
        <w:rPr>
          <w:rFonts w:hint="eastAsia"/>
        </w:rPr>
        <w:t>６割以上は知らない</w:t>
      </w:r>
      <w:r>
        <w:rPr>
          <w:rFonts w:hint="default"/>
        </w:rPr>
        <w:t>。</w:t>
      </w:r>
    </w:p>
    <w:p>
      <w:pPr>
        <w:pStyle w:val="302"/>
        <w:rPr>
          <w:rFonts w:hint="default"/>
        </w:rPr>
      </w:pPr>
    </w:p>
    <w:p>
      <w:pPr>
        <w:pStyle w:val="302"/>
        <w:ind w:left="876" w:hanging="204"/>
        <w:rPr>
          <w:rFonts w:hint="default"/>
          <w:highlight w:val="green"/>
        </w:rPr>
      </w:pPr>
      <w:r>
        <w:rPr>
          <w:rFonts w:hint="default"/>
        </w:rPr>
        <w:drawing>
          <wp:anchor distT="0" distB="0" distL="114300" distR="114300" simplePos="0" relativeHeight="270" behindDoc="0" locked="1" layoutInCell="1" hidden="0" allowOverlap="1">
            <wp:simplePos x="0" y="0"/>
            <wp:positionH relativeFrom="column">
              <wp:posOffset>3467100</wp:posOffset>
            </wp:positionH>
            <wp:positionV relativeFrom="paragraph">
              <wp:posOffset>179070</wp:posOffset>
            </wp:positionV>
            <wp:extent cx="2458720" cy="2035810"/>
            <wp:effectExtent l="0" t="0" r="0" b="0"/>
            <wp:wrapSquare wrapText="bothSides"/>
            <wp:docPr id="1316" name="問42⑥_円南風原町障がい全体"/>
            <a:graphic xmlns:a="http://schemas.openxmlformats.org/drawingml/2006/main">
              <a:graphicData uri="http://schemas.openxmlformats.org/drawingml/2006/picture">
                <pic:pic xmlns:pic="http://schemas.openxmlformats.org/drawingml/2006/picture">
                  <pic:nvPicPr>
                    <pic:cNvPr id="1316" name="問42⑥_円南風原町障がい全体"/>
                    <pic:cNvPicPr>
                      <a:picLocks noChangeAspect="1" noChangeArrowheads="1"/>
                    </pic:cNvPicPr>
                  </pic:nvPicPr>
                  <pic:blipFill>
                    <a:blip r:embed="rId48"/>
                    <a:srcRect l="22276" t="22878" r="4707" b="31680"/>
                    <a:stretch>
                      <a:fillRect/>
                    </a:stretch>
                  </pic:blipFill>
                  <pic:spPr>
                    <a:xfrm>
                      <a:off x="0" y="0"/>
                      <a:ext cx="2458720" cy="2035810"/>
                    </a:xfrm>
                    <a:prstGeom prst="rect">
                      <a:avLst/>
                    </a:prstGeom>
                    <a:noFill/>
                    <a:ln>
                      <a:noFill/>
                    </a:ln>
                  </pic:spPr>
                </pic:pic>
              </a:graphicData>
            </a:graphic>
          </wp:anchor>
        </w:drawing>
      </w:r>
      <w:r>
        <w:rPr>
          <w:rFonts w:hint="default"/>
        </w:rPr>
        <w:drawing>
          <wp:anchor distT="0" distB="0" distL="114300" distR="114300" simplePos="0" relativeHeight="271" behindDoc="0" locked="1" layoutInCell="1" hidden="0" allowOverlap="1">
            <wp:simplePos x="0" y="0"/>
            <wp:positionH relativeFrom="column">
              <wp:posOffset>1051560</wp:posOffset>
            </wp:positionH>
            <wp:positionV relativeFrom="paragraph">
              <wp:posOffset>130175</wp:posOffset>
            </wp:positionV>
            <wp:extent cx="2087880" cy="2234565"/>
            <wp:effectExtent l="0" t="0" r="0" b="0"/>
            <wp:wrapSquare wrapText="bothSides"/>
            <wp:docPr id="1317" name="問42④_円南風原町障がい全体"/>
            <a:graphic xmlns:a="http://schemas.openxmlformats.org/drawingml/2006/main">
              <a:graphicData uri="http://schemas.openxmlformats.org/drawingml/2006/picture">
                <pic:pic xmlns:pic="http://schemas.openxmlformats.org/drawingml/2006/picture">
                  <pic:nvPicPr>
                    <pic:cNvPr id="1317" name="問42④_円南風原町障がい全体"/>
                    <pic:cNvPicPr>
                      <a:picLocks noChangeAspect="1" noChangeArrowheads="1"/>
                    </pic:cNvPicPr>
                  </pic:nvPicPr>
                  <pic:blipFill>
                    <a:blip r:embed="rId49"/>
                    <a:srcRect l="22276" t="22879" r="15726" b="27242"/>
                    <a:stretch>
                      <a:fillRect/>
                    </a:stretch>
                  </pic:blipFill>
                  <pic:spPr>
                    <a:xfrm>
                      <a:off x="0" y="0"/>
                      <a:ext cx="2087880" cy="2234565"/>
                    </a:xfrm>
                    <a:prstGeom prst="rect">
                      <a:avLst/>
                    </a:prstGeom>
                    <a:noFill/>
                    <a:ln>
                      <a:noFill/>
                    </a:ln>
                  </pic:spPr>
                </pic:pic>
              </a:graphicData>
            </a:graphic>
          </wp:anchor>
        </w:drawing>
      </w:r>
      <w:r>
        <w:rPr>
          <w:rFonts w:hint="default"/>
        </w:rPr>
        <mc:AlternateContent>
          <mc:Choice Requires="wps">
            <w:drawing>
              <wp:anchor distT="0" distB="0" distL="114300" distR="114300" simplePos="0" relativeHeight="324" behindDoc="0" locked="1" layoutInCell="1" hidden="0" allowOverlap="1">
                <wp:simplePos x="0" y="0"/>
                <wp:positionH relativeFrom="column">
                  <wp:posOffset>2945130</wp:posOffset>
                </wp:positionH>
                <wp:positionV relativeFrom="paragraph">
                  <wp:posOffset>-95885</wp:posOffset>
                </wp:positionV>
                <wp:extent cx="3156585" cy="422275"/>
                <wp:effectExtent l="0" t="0" r="635" b="635"/>
                <wp:wrapNone/>
                <wp:docPr id="1318" name="テキスト ボックス 20"/>
                <a:graphic xmlns:a="http://schemas.openxmlformats.org/drawingml/2006/main">
                  <a:graphicData uri="http://schemas.microsoft.com/office/word/2010/wordprocessingShape">
                    <wps:wsp>
                      <wps:cNvPr id="1318" name="テキスト ボックス 20"/>
                      <wps:cNvSpPr txBox="1"/>
                      <wps:spPr>
                        <a:xfrm>
                          <a:off x="0" y="0"/>
                          <a:ext cx="3156585"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成年後見制度の内容や</w:t>
                            </w:r>
                          </w:p>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利用方法の相談窓口の周知状況</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mso-wrap-distance-right:9pt;mso-wrap-distance-bottom:0pt;margin-top:-7.55pt;mso-position-vertical-relative:text;mso-position-horizontal-relative:text;v-text-anchor:middle;position:absolute;height:33.25pt;mso-wrap-distance-top:0pt;width:248.55pt;mso-wrap-distance-left:9pt;margin-left:231.9pt;z-index:324;" o:spid="_x0000_s1318" o:allowincell="t" o:allowoverlap="t" filled="f" stroked="f" strokeweight="0.5pt" o:spt="202" type="#_x0000_t202">
                <v:fill/>
                <v:textbox style="layout-flow:horizontal;" inset="0mm,0mm,0mm,0mm">
                  <w:txbxContent>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成年後見制度の内容や</w:t>
                      </w:r>
                    </w:p>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利用方法の相談窓口の周知状況</w:t>
                      </w:r>
                    </w:p>
                  </w:txbxContent>
                </v:textbox>
                <v:imagedata o:title=""/>
                <w10:wrap type="none" anchorx="text" anchory="text"/>
                <w10:anchorlock/>
              </v:shape>
            </w:pict>
          </mc:Fallback>
        </mc:AlternateContent>
      </w:r>
      <w:r>
        <w:rPr>
          <w:rFonts w:hint="default"/>
        </w:rPr>
        <mc:AlternateContent>
          <mc:Choice Requires="wps">
            <w:drawing>
              <wp:anchor distT="0" distB="0" distL="114300" distR="114300" simplePos="0" relativeHeight="323" behindDoc="0" locked="1" layoutInCell="1" hidden="0" allowOverlap="1">
                <wp:simplePos x="0" y="0"/>
                <wp:positionH relativeFrom="column">
                  <wp:posOffset>469900</wp:posOffset>
                </wp:positionH>
                <wp:positionV relativeFrom="paragraph">
                  <wp:posOffset>-95885</wp:posOffset>
                </wp:positionV>
                <wp:extent cx="3156585" cy="422275"/>
                <wp:effectExtent l="0" t="0" r="635" b="635"/>
                <wp:wrapNone/>
                <wp:docPr id="1319" name="テキスト ボックス 20"/>
                <a:graphic xmlns:a="http://schemas.openxmlformats.org/drawingml/2006/main">
                  <a:graphicData uri="http://schemas.microsoft.com/office/word/2010/wordprocessingShape">
                    <wps:wsp>
                      <wps:cNvPr id="1319" name="テキスト ボックス 20"/>
                      <wps:cNvSpPr txBox="1"/>
                      <wps:spPr>
                        <a:xfrm>
                          <a:off x="0" y="0"/>
                          <a:ext cx="3156585"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成年後見制度や</w:t>
                            </w:r>
                          </w:p>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日常生活自立支援事業の利用希望</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mso-wrap-distance-right:9pt;mso-wrap-distance-bottom:0pt;margin-top:-7.55pt;mso-position-vertical-relative:text;mso-position-horizontal-relative:text;v-text-anchor:middle;position:absolute;height:33.25pt;mso-wrap-distance-top:0pt;width:248.55pt;mso-wrap-distance-left:9pt;margin-left:37pt;z-index:323;" o:spid="_x0000_s1319" o:allowincell="t" o:allowoverlap="t" filled="f" stroked="f" strokeweight="0.5pt" o:spt="202" type="#_x0000_t202">
                <v:fill/>
                <v:textbox style="layout-flow:horizontal;" inset="0mm,0mm,0mm,0mm">
                  <w:txbxContent>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成年後見制度や</w:t>
                      </w:r>
                    </w:p>
                    <w:p>
                      <w:pPr>
                        <w:pStyle w:val="0"/>
                        <w:spacing w:line="240" w:lineRule="exact"/>
                        <w:jc w:val="center"/>
                        <w:rPr>
                          <w:rFonts w:hint="default" w:ascii="ＭＳ ゴシック" w:hAnsi="ＭＳ ゴシック" w:eastAsia="ＭＳ ゴシック"/>
                          <w:sz w:val="20"/>
                        </w:rPr>
                      </w:pPr>
                      <w:r>
                        <w:rPr>
                          <w:rFonts w:hint="eastAsia" w:ascii="ＭＳ ゴシック" w:hAnsi="ＭＳ ゴシック" w:eastAsia="ＭＳ ゴシック"/>
                          <w:sz w:val="20"/>
                        </w:rPr>
                        <w:t>日常生活自立支援事業の利用希望</w:t>
                      </w:r>
                    </w:p>
                  </w:txbxContent>
                </v:textbox>
                <v:imagedata o:title=""/>
                <w10:wrap type="none" anchorx="text" anchory="text"/>
                <w10:anchorlock/>
              </v:shape>
            </w:pict>
          </mc:Fallback>
        </mc:AlternateContent>
      </w: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rPr>
      </w:pPr>
      <w:bookmarkEnd w:id="422"/>
      <w:bookmarkEnd w:id="423"/>
    </w:p>
    <w:p>
      <w:pPr>
        <w:pStyle w:val="0"/>
        <w:widowControl w:val="1"/>
        <w:jc w:val="left"/>
        <w:rPr>
          <w:rFonts w:hint="default" w:ascii="ＭＳ ゴシック" w:hAnsi="ＭＳ ゴシック" w:eastAsia="ＭＳ ゴシック"/>
        </w:rPr>
      </w:pPr>
      <w:bookmarkStart w:id="424" w:name="_Toc52552132"/>
      <w:bookmarkStart w:id="425" w:name="_Toc52987332"/>
      <w:r>
        <w:rPr>
          <w:rFonts w:hint="default"/>
        </w:rPr>
        <w:br w:type="page"/>
      </w:r>
    </w:p>
    <w:p>
      <w:pPr>
        <w:pStyle w:val="303"/>
        <w:spacing w:after="74" w:afterLines="0" w:afterAutospacing="0"/>
        <w:ind w:left="560"/>
        <w:rPr>
          <w:rFonts w:hint="default"/>
        </w:rPr>
      </w:pPr>
      <w:r>
        <w:rPr>
          <w:rFonts w:hint="eastAsia"/>
        </w:rPr>
        <w:t>21</w:t>
      </w:r>
      <w:r>
        <w:rPr>
          <w:rFonts w:hint="eastAsia"/>
        </w:rPr>
        <w:t>．</w:t>
      </w:r>
      <w:r>
        <w:rPr>
          <w:rFonts w:hint="default"/>
        </w:rPr>
        <w:t>南風原町の暮らしやすさ</w:t>
      </w:r>
      <w:bookmarkEnd w:id="424"/>
      <w:bookmarkEnd w:id="425"/>
    </w:p>
    <w:p>
      <w:pPr>
        <w:pStyle w:val="302"/>
        <w:rPr>
          <w:rFonts w:hint="default"/>
        </w:rPr>
      </w:pPr>
      <w:r>
        <w:rPr>
          <w:rFonts w:hint="eastAsia"/>
        </w:rPr>
        <w:t>●</w:t>
      </w:r>
      <w:r>
        <w:rPr>
          <w:rFonts w:hint="default"/>
        </w:rPr>
        <w:t>暮らしやすいと「思う」が</w:t>
      </w:r>
      <w:r>
        <w:rPr>
          <w:rFonts w:hint="default"/>
        </w:rPr>
        <w:t>51.4</w:t>
      </w:r>
      <w:r>
        <w:rPr>
          <w:rFonts w:hint="default"/>
        </w:rPr>
        <w:t>％となる。</w:t>
      </w:r>
    </w:p>
    <w:p>
      <w:pPr>
        <w:pStyle w:val="302"/>
        <w:rPr>
          <w:rFonts w:hint="default"/>
        </w:rPr>
      </w:pPr>
      <w:r>
        <w:rPr>
          <w:rFonts w:hint="eastAsia"/>
        </w:rPr>
        <w:t>●</w:t>
      </w:r>
      <w:r>
        <w:rPr>
          <w:rFonts w:hint="default"/>
        </w:rPr>
        <w:t>「あまり思わない」</w:t>
      </w:r>
      <w:r>
        <w:rPr>
          <w:rFonts w:hint="eastAsia"/>
        </w:rPr>
        <w:t>と</w:t>
      </w:r>
      <w:r>
        <w:rPr>
          <w:rFonts w:hint="default"/>
        </w:rPr>
        <w:t>「思わない」</w:t>
      </w:r>
      <w:r>
        <w:rPr>
          <w:rFonts w:hint="eastAsia"/>
        </w:rPr>
        <w:t>を</w:t>
      </w:r>
      <w:r>
        <w:rPr>
          <w:rFonts w:hint="default"/>
        </w:rPr>
        <w:t>合わせ</w:t>
      </w:r>
      <w:r>
        <w:rPr>
          <w:rFonts w:hint="eastAsia"/>
        </w:rPr>
        <w:t>た、</w:t>
      </w:r>
      <w:r>
        <w:rPr>
          <w:rFonts w:hint="eastAsia"/>
        </w:rPr>
        <w:t>9.7</w:t>
      </w:r>
      <w:r>
        <w:rPr>
          <w:rFonts w:hint="default"/>
        </w:rPr>
        <w:t>％が暮らしやすいとは思っていない。</w:t>
      </w:r>
    </w:p>
    <w:p>
      <w:pPr>
        <w:pStyle w:val="302"/>
        <w:ind w:left="876" w:hanging="204"/>
        <w:rPr>
          <w:rFonts w:hint="default"/>
        </w:rPr>
      </w:pPr>
      <w:r>
        <w:rPr>
          <w:rFonts w:hint="default"/>
        </w:rPr>
        <w:drawing>
          <wp:anchor distT="0" distB="0" distL="114300" distR="114300" simplePos="0" relativeHeight="269" behindDoc="0" locked="0" layoutInCell="1" hidden="0" allowOverlap="1">
            <wp:simplePos x="0" y="0"/>
            <wp:positionH relativeFrom="column">
              <wp:posOffset>2419350</wp:posOffset>
            </wp:positionH>
            <wp:positionV relativeFrom="paragraph">
              <wp:posOffset>68580</wp:posOffset>
            </wp:positionV>
            <wp:extent cx="2072005" cy="2544445"/>
            <wp:effectExtent l="0" t="0" r="0" b="0"/>
            <wp:wrapSquare wrapText="bothSides"/>
            <wp:docPr id="1320" name="問54_円南風原町障がい全体"/>
            <a:graphic xmlns:a="http://schemas.openxmlformats.org/drawingml/2006/main">
              <a:graphicData uri="http://schemas.openxmlformats.org/drawingml/2006/picture">
                <pic:pic xmlns:pic="http://schemas.openxmlformats.org/drawingml/2006/picture">
                  <pic:nvPicPr>
                    <pic:cNvPr id="1320" name="問54_円南風原町障がい全体"/>
                    <pic:cNvPicPr>
                      <a:picLocks noChangeAspect="1" noChangeArrowheads="1"/>
                    </pic:cNvPicPr>
                  </pic:nvPicPr>
                  <pic:blipFill>
                    <a:blip r:embed="rId50"/>
                    <a:srcRect l="22868" t="20326" r="15581" b="22871"/>
                    <a:stretch>
                      <a:fillRect/>
                    </a:stretch>
                  </pic:blipFill>
                  <pic:spPr>
                    <a:xfrm>
                      <a:off x="0" y="0"/>
                      <a:ext cx="2072005" cy="254444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3"/>
        <w:spacing w:after="74" w:afterLines="0" w:afterAutospacing="0"/>
        <w:ind w:left="560"/>
        <w:rPr>
          <w:rFonts w:hint="default"/>
        </w:rPr>
      </w:pPr>
      <w:bookmarkStart w:id="426" w:name="_Toc52552133"/>
      <w:bookmarkStart w:id="427" w:name="_Toc52987333"/>
      <w:r>
        <w:rPr>
          <w:rFonts w:hint="eastAsia"/>
        </w:rPr>
        <w:t>22</w:t>
      </w:r>
      <w:r>
        <w:rPr>
          <w:rFonts w:hint="eastAsia"/>
        </w:rPr>
        <w:t>．</w:t>
      </w:r>
      <w:r>
        <w:rPr>
          <w:rFonts w:hint="default"/>
        </w:rPr>
        <w:t>障がい者に対する地域の理解・認識の深まり</w:t>
      </w:r>
      <w:bookmarkEnd w:id="426"/>
      <w:bookmarkEnd w:id="427"/>
    </w:p>
    <w:p>
      <w:pPr>
        <w:pStyle w:val="302"/>
        <w:rPr>
          <w:rFonts w:hint="default"/>
        </w:rPr>
      </w:pPr>
      <w:r>
        <w:rPr>
          <w:rFonts w:hint="eastAsia"/>
        </w:rPr>
        <w:t>●</w:t>
      </w:r>
      <w:r>
        <w:rPr>
          <w:rFonts w:hint="default"/>
        </w:rPr>
        <w:t>５年前と比べて「何も変わらない」が</w:t>
      </w:r>
      <w:r>
        <w:rPr>
          <w:rFonts w:hint="eastAsia"/>
        </w:rPr>
        <w:t>48.6</w:t>
      </w:r>
      <w:r>
        <w:rPr>
          <w:rFonts w:hint="default"/>
        </w:rPr>
        <w:t>％、次に「深まっていると思う」が</w:t>
      </w:r>
      <w:r>
        <w:rPr>
          <w:rFonts w:hint="eastAsia"/>
        </w:rPr>
        <w:t>28.9</w:t>
      </w:r>
      <w:r>
        <w:rPr>
          <w:rFonts w:hint="default"/>
        </w:rPr>
        <w:t>％</w:t>
      </w:r>
      <w:r>
        <w:rPr>
          <w:rFonts w:hint="eastAsia"/>
        </w:rPr>
        <w:t>、「低くなっている」が</w:t>
      </w:r>
      <w:r>
        <w:rPr>
          <w:rFonts w:hint="eastAsia"/>
        </w:rPr>
        <w:t>3.7</w:t>
      </w:r>
      <w:r>
        <w:rPr>
          <w:rFonts w:hint="eastAsia"/>
        </w:rPr>
        <w:t>％となる。</w:t>
      </w:r>
    </w:p>
    <w:p>
      <w:pPr>
        <w:pStyle w:val="302"/>
        <w:ind w:left="876" w:hanging="204"/>
        <w:rPr>
          <w:rFonts w:hint="default"/>
        </w:rPr>
      </w:pPr>
      <w:r>
        <w:rPr>
          <w:rFonts w:hint="default"/>
        </w:rPr>
        <w:drawing>
          <wp:anchor distT="0" distB="0" distL="114300" distR="114300" simplePos="0" relativeHeight="268" behindDoc="0" locked="0" layoutInCell="1" hidden="0" allowOverlap="1">
            <wp:simplePos x="0" y="0"/>
            <wp:positionH relativeFrom="column">
              <wp:posOffset>1764030</wp:posOffset>
            </wp:positionH>
            <wp:positionV relativeFrom="paragraph">
              <wp:posOffset>65405</wp:posOffset>
            </wp:positionV>
            <wp:extent cx="2990215" cy="2328545"/>
            <wp:effectExtent l="0" t="0" r="0" b="0"/>
            <wp:wrapSquare wrapText="bothSides"/>
            <wp:docPr id="1321" name="問55_円南風原町障がい全体"/>
            <a:graphic xmlns:a="http://schemas.openxmlformats.org/drawingml/2006/main">
              <a:graphicData uri="http://schemas.openxmlformats.org/drawingml/2006/picture">
                <pic:pic xmlns:pic="http://schemas.openxmlformats.org/drawingml/2006/picture">
                  <pic:nvPicPr>
                    <pic:cNvPr id="1321" name="問55_円南風原町障がい全体"/>
                    <pic:cNvPicPr>
                      <a:picLocks noChangeAspect="1" noChangeArrowheads="1"/>
                    </pic:cNvPicPr>
                  </pic:nvPicPr>
                  <pic:blipFill>
                    <a:blip r:embed="rId51"/>
                    <a:srcRect l="5205" t="19225" r="6000" b="28783"/>
                    <a:stretch>
                      <a:fillRect/>
                    </a:stretch>
                  </pic:blipFill>
                  <pic:spPr>
                    <a:xfrm>
                      <a:off x="0" y="0"/>
                      <a:ext cx="2990215" cy="232854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ascii="ＭＳ ゴシック" w:hAnsi="ＭＳ ゴシック" w:eastAsia="ＭＳ ゴシック"/>
        </w:rPr>
      </w:pPr>
      <w:bookmarkStart w:id="428" w:name="_Toc52552134"/>
      <w:bookmarkStart w:id="429" w:name="_Toc52987334"/>
      <w:r>
        <w:rPr>
          <w:rFonts w:hint="default"/>
        </w:rPr>
        <w:br w:type="page"/>
      </w:r>
    </w:p>
    <w:p>
      <w:pPr>
        <w:pStyle w:val="303"/>
        <w:spacing w:after="74" w:afterLines="0" w:afterAutospacing="0"/>
        <w:ind w:left="560"/>
        <w:rPr>
          <w:rFonts w:hint="default"/>
        </w:rPr>
      </w:pPr>
      <w:r>
        <w:rPr>
          <w:rFonts w:hint="eastAsia"/>
        </w:rPr>
        <w:t>23</w:t>
      </w:r>
      <w:r>
        <w:rPr>
          <w:rFonts w:hint="eastAsia"/>
        </w:rPr>
        <w:t>．</w:t>
      </w:r>
      <w:r>
        <w:rPr>
          <w:rFonts w:hint="default"/>
        </w:rPr>
        <w:t>特に早めに取り組んでほしいこと（複数回答）</w:t>
      </w:r>
      <w:bookmarkEnd w:id="428"/>
      <w:bookmarkEnd w:id="429"/>
    </w:p>
    <w:p>
      <w:pPr>
        <w:pStyle w:val="302"/>
        <w:rPr>
          <w:rFonts w:hint="default"/>
        </w:rPr>
      </w:pPr>
      <w:r>
        <w:rPr>
          <w:rFonts w:hint="eastAsia"/>
        </w:rPr>
        <w:t>●「福祉サービス利用手続きを簡素化してほしい」が</w:t>
      </w:r>
      <w:r>
        <w:rPr>
          <w:rFonts w:hint="default"/>
        </w:rPr>
        <w:t>24.2</w:t>
      </w:r>
      <w:r>
        <w:rPr>
          <w:rFonts w:hint="default"/>
        </w:rPr>
        <w:t>％と高く、次</w:t>
      </w:r>
      <w:r>
        <w:rPr>
          <w:rFonts w:hint="eastAsia"/>
        </w:rPr>
        <w:t>に</w:t>
      </w:r>
      <w:r>
        <w:rPr>
          <w:rFonts w:hint="default"/>
        </w:rPr>
        <w:t>「保健・福祉・医療に関する情報提供の充実を図ってほしい」が</w:t>
      </w:r>
      <w:r>
        <w:rPr>
          <w:rFonts w:hint="default"/>
        </w:rPr>
        <w:t>22.9</w:t>
      </w:r>
      <w:r>
        <w:rPr>
          <w:rFonts w:hint="default"/>
        </w:rPr>
        <w:t>％、「障害福祉の制度をわかりやすく説明してほしい」が</w:t>
      </w:r>
      <w:r>
        <w:rPr>
          <w:rFonts w:hint="default"/>
        </w:rPr>
        <w:t>21.9</w:t>
      </w:r>
      <w:r>
        <w:rPr>
          <w:rFonts w:hint="default"/>
        </w:rPr>
        <w:t>％</w:t>
      </w:r>
      <w:r>
        <w:rPr>
          <w:rFonts w:hint="eastAsia"/>
        </w:rPr>
        <w:t>で</w:t>
      </w:r>
      <w:r>
        <w:rPr>
          <w:rFonts w:hint="default"/>
        </w:rPr>
        <w:t>、制度の理解に対する支援とともに、サービス利用手続きの簡素化</w:t>
      </w:r>
      <w:r>
        <w:rPr>
          <w:rFonts w:hint="eastAsia"/>
        </w:rPr>
        <w:t>や</w:t>
      </w:r>
      <w:r>
        <w:rPr>
          <w:rFonts w:hint="default"/>
        </w:rPr>
        <w:t>情報提供の充実を求める</w:t>
      </w:r>
      <w:r>
        <w:rPr>
          <w:rFonts w:hint="eastAsia"/>
        </w:rPr>
        <w:t>方</w:t>
      </w:r>
      <w:r>
        <w:rPr>
          <w:rFonts w:hint="default"/>
        </w:rPr>
        <w:t>が多い。</w:t>
      </w:r>
    </w:p>
    <w:p>
      <w:pPr>
        <w:pStyle w:val="302"/>
        <w:ind w:left="876" w:hanging="204"/>
        <w:rPr>
          <w:rFonts w:hint="default"/>
        </w:rPr>
      </w:pPr>
      <w:r>
        <w:rPr>
          <w:rFonts w:hint="default"/>
        </w:rPr>
        <w:drawing>
          <wp:anchor distT="0" distB="0" distL="114300" distR="114300" simplePos="0" relativeHeight="267" behindDoc="0" locked="0" layoutInCell="1" hidden="0" allowOverlap="1">
            <wp:simplePos x="0" y="0"/>
            <wp:positionH relativeFrom="column">
              <wp:posOffset>567055</wp:posOffset>
            </wp:positionH>
            <wp:positionV relativeFrom="paragraph">
              <wp:posOffset>86995</wp:posOffset>
            </wp:positionV>
            <wp:extent cx="5527675" cy="4953635"/>
            <wp:effectExtent l="0" t="0" r="0" b="0"/>
            <wp:wrapNone/>
            <wp:docPr id="1322" name="問56_横棒南風原町障がい全体"/>
            <a:graphic xmlns:a="http://schemas.openxmlformats.org/drawingml/2006/main">
              <a:graphicData uri="http://schemas.openxmlformats.org/drawingml/2006/picture">
                <pic:pic xmlns:pic="http://schemas.openxmlformats.org/drawingml/2006/picture">
                  <pic:nvPicPr>
                    <pic:cNvPr id="1322" name="問56_横棒南風原町障がい全体"/>
                    <pic:cNvPicPr>
                      <a:picLocks noChangeAspect="1" noChangeArrowheads="1"/>
                    </pic:cNvPicPr>
                  </pic:nvPicPr>
                  <pic:blipFill>
                    <a:blip r:embed="rId52"/>
                    <a:srcRect l="1530" t="9239" r="-504" b="5669"/>
                    <a:stretch>
                      <a:fillRect/>
                    </a:stretch>
                  </pic:blipFill>
                  <pic:spPr>
                    <a:xfrm>
                      <a:off x="0" y="0"/>
                      <a:ext cx="5527675" cy="495363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rPr>
      </w:pPr>
      <w:r>
        <w:rPr>
          <w:rFonts w:hint="default"/>
        </w:rPr>
        <w:br w:type="page"/>
      </w:r>
    </w:p>
    <w:p>
      <w:pPr>
        <w:pStyle w:val="125"/>
        <w:spacing w:after="70" w:afterLines="20" w:afterAutospacing="0"/>
        <w:ind w:left="336" w:leftChars="150"/>
        <w:outlineLvl w:val="2"/>
        <w:rPr>
          <w:rFonts w:hint="default"/>
        </w:rPr>
      </w:pPr>
      <w:bookmarkStart w:id="430" w:name="_Toc496708252"/>
      <w:bookmarkStart w:id="431" w:name="_Toc500234846"/>
      <w:bookmarkStart w:id="432" w:name="_Toc492542835"/>
      <w:r>
        <w:rPr>
          <w:rFonts w:hint="eastAsia"/>
        </w:rPr>
        <w:t>【障がい児調査結果</w:t>
      </w:r>
      <w:bookmarkEnd w:id="430"/>
      <w:bookmarkEnd w:id="431"/>
      <w:r>
        <w:rPr>
          <w:rFonts w:hint="eastAsia"/>
        </w:rPr>
        <w:t>】</w:t>
      </w:r>
    </w:p>
    <w:p>
      <w:pPr>
        <w:pStyle w:val="303"/>
        <w:spacing w:after="74" w:afterLines="0" w:afterAutospacing="0"/>
        <w:ind w:left="560"/>
        <w:rPr>
          <w:rFonts w:hint="default"/>
        </w:rPr>
      </w:pPr>
      <w:bookmarkEnd w:id="432"/>
      <w:bookmarkStart w:id="433" w:name="_Toc496708256"/>
      <w:bookmarkStart w:id="434" w:name="_Toc52552140"/>
      <w:bookmarkStart w:id="435" w:name="_Toc52987340"/>
      <w:bookmarkStart w:id="436" w:name="_Hlk66441450"/>
      <w:r>
        <w:rPr>
          <w:rFonts w:hint="eastAsia"/>
        </w:rPr>
        <w:t>１．障害者手帳の所持状況（複数回答）</w:t>
      </w:r>
      <w:bookmarkEnd w:id="433"/>
      <w:bookmarkEnd w:id="434"/>
      <w:bookmarkEnd w:id="435"/>
    </w:p>
    <w:p>
      <w:pPr>
        <w:pStyle w:val="302"/>
        <w:rPr>
          <w:rFonts w:hint="default"/>
        </w:rPr>
      </w:pPr>
      <w:r>
        <w:rPr>
          <w:rFonts w:hint="eastAsia"/>
        </w:rPr>
        <w:t>●「いずれも持っていない」が</w:t>
      </w:r>
      <w:r>
        <w:rPr>
          <w:rFonts w:hint="eastAsia"/>
        </w:rPr>
        <w:t>43.1</w:t>
      </w:r>
      <w:r>
        <w:rPr>
          <w:rFonts w:hint="eastAsia"/>
        </w:rPr>
        <w:t>％と最も高い。</w:t>
      </w:r>
    </w:p>
    <w:p>
      <w:pPr>
        <w:pStyle w:val="302"/>
        <w:rPr>
          <w:rFonts w:hint="default"/>
        </w:rPr>
      </w:pPr>
      <w:r>
        <w:rPr>
          <w:rFonts w:hint="eastAsia"/>
        </w:rPr>
        <w:t>●手帳所持者の中では「療育手帳」が</w:t>
      </w:r>
      <w:r>
        <w:rPr>
          <w:rFonts w:hint="eastAsia"/>
        </w:rPr>
        <w:t>38.6</w:t>
      </w:r>
      <w:r>
        <w:rPr>
          <w:rFonts w:hint="eastAsia"/>
        </w:rPr>
        <w:t>％と高く、次に「身体障害者手帳」が</w:t>
      </w:r>
      <w:r>
        <w:rPr>
          <w:rFonts w:hint="eastAsia"/>
        </w:rPr>
        <w:t>12.4</w:t>
      </w:r>
      <w:r>
        <w:rPr>
          <w:rFonts w:hint="eastAsia"/>
        </w:rPr>
        <w:t>％、「精神障害保健福祉手帳」が</w:t>
      </w:r>
      <w:r>
        <w:rPr>
          <w:rFonts w:hint="eastAsia"/>
        </w:rPr>
        <w:t>8.5</w:t>
      </w:r>
      <w:r>
        <w:rPr>
          <w:rFonts w:hint="eastAsia"/>
        </w:rPr>
        <w:t>％となる。</w:t>
      </w:r>
    </w:p>
    <w:p>
      <w:pPr>
        <w:pStyle w:val="302"/>
        <w:ind w:left="876" w:hanging="204"/>
        <w:rPr>
          <w:rFonts w:hint="default"/>
        </w:rPr>
      </w:pPr>
      <w:r>
        <w:rPr>
          <w:rFonts w:hint="default"/>
        </w:rPr>
        <w:drawing>
          <wp:anchor distT="0" distB="0" distL="114300" distR="114300" simplePos="0" relativeHeight="265" behindDoc="0" locked="0" layoutInCell="1" hidden="0" allowOverlap="1">
            <wp:simplePos x="0" y="0"/>
            <wp:positionH relativeFrom="column">
              <wp:posOffset>1133475</wp:posOffset>
            </wp:positionH>
            <wp:positionV relativeFrom="paragraph">
              <wp:posOffset>52070</wp:posOffset>
            </wp:positionV>
            <wp:extent cx="4204970" cy="2009775"/>
            <wp:effectExtent l="0" t="0" r="0" b="0"/>
            <wp:wrapNone/>
            <wp:docPr id="1323" name="問2(手帳種類)_横棒南風原町障がい児童"/>
            <a:graphic xmlns:a="http://schemas.openxmlformats.org/drawingml/2006/main">
              <a:graphicData uri="http://schemas.openxmlformats.org/drawingml/2006/picture">
                <pic:pic xmlns:pic="http://schemas.openxmlformats.org/drawingml/2006/picture">
                  <pic:nvPicPr>
                    <pic:cNvPr id="1323" name="問2(手帳種類)_横棒南風原町障がい児童"/>
                    <pic:cNvPicPr>
                      <a:picLocks noChangeAspect="1" noChangeArrowheads="1"/>
                    </pic:cNvPicPr>
                  </pic:nvPicPr>
                  <pic:blipFill>
                    <a:blip r:embed="rId53"/>
                    <a:srcRect l="24530" t="15898" r="159" b="9361"/>
                    <a:stretch>
                      <a:fillRect/>
                    </a:stretch>
                  </pic:blipFill>
                  <pic:spPr>
                    <a:xfrm>
                      <a:off x="0" y="0"/>
                      <a:ext cx="4204970" cy="200977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3"/>
        <w:spacing w:after="74" w:afterLines="0" w:afterAutospacing="0"/>
        <w:ind w:left="560"/>
        <w:rPr>
          <w:rFonts w:hint="default"/>
        </w:rPr>
      </w:pPr>
      <w:bookmarkStart w:id="437" w:name="_Hlk492558509"/>
      <w:bookmarkStart w:id="438" w:name="_Toc496708258"/>
      <w:bookmarkStart w:id="439" w:name="_Toc52552142"/>
      <w:bookmarkStart w:id="440" w:name="_Toc52987342"/>
      <w:r>
        <w:rPr>
          <w:rFonts w:hint="eastAsia"/>
        </w:rPr>
        <w:t>２．発達障がいの診断</w:t>
      </w:r>
      <w:bookmarkEnd w:id="437"/>
      <w:bookmarkEnd w:id="438"/>
      <w:bookmarkEnd w:id="439"/>
      <w:bookmarkEnd w:id="440"/>
      <w:r>
        <w:rPr>
          <w:rFonts w:hint="eastAsia"/>
        </w:rPr>
        <w:t>・医療的ケアの有無</w:t>
      </w:r>
    </w:p>
    <w:p>
      <w:pPr>
        <w:pStyle w:val="302"/>
        <w:rPr>
          <w:rFonts w:hint="default"/>
        </w:rPr>
      </w:pPr>
      <w:r>
        <w:rPr>
          <w:rFonts w:hint="eastAsia"/>
        </w:rPr>
        <w:t>●発達障がいと診断されている児童</w:t>
      </w:r>
      <w:r>
        <w:rPr>
          <w:rFonts w:hint="eastAsia"/>
        </w:rPr>
        <w:t>(</w:t>
      </w:r>
      <w:r>
        <w:rPr>
          <w:rFonts w:hint="eastAsia"/>
        </w:rPr>
        <w:t>「はい」</w:t>
      </w:r>
      <w:r>
        <w:rPr>
          <w:rFonts w:hint="eastAsia"/>
        </w:rPr>
        <w:t>)</w:t>
      </w:r>
      <w:r>
        <w:rPr>
          <w:rFonts w:hint="eastAsia"/>
        </w:rPr>
        <w:t>が</w:t>
      </w:r>
      <w:r>
        <w:rPr>
          <w:rFonts w:hint="eastAsia"/>
        </w:rPr>
        <w:t>69.9</w:t>
      </w:r>
      <w:r>
        <w:rPr>
          <w:rFonts w:hint="eastAsia"/>
        </w:rPr>
        <w:t>％と多く、「いいえ」が</w:t>
      </w:r>
      <w:r>
        <w:rPr>
          <w:rFonts w:hint="eastAsia"/>
        </w:rPr>
        <w:t>24.8</w:t>
      </w:r>
      <w:r>
        <w:rPr>
          <w:rFonts w:hint="eastAsia"/>
        </w:rPr>
        <w:t>％となる。</w:t>
      </w:r>
    </w:p>
    <w:p>
      <w:pPr>
        <w:pStyle w:val="302"/>
        <w:rPr>
          <w:rFonts w:hint="default"/>
        </w:rPr>
      </w:pPr>
      <w:r>
        <w:rPr>
          <w:rFonts w:hint="eastAsia"/>
        </w:rPr>
        <w:t>●日常的に医療的ケアを「受けている」が</w:t>
      </w:r>
      <w:r>
        <w:rPr>
          <w:rFonts w:hint="eastAsia"/>
        </w:rPr>
        <w:t>6.5</w:t>
      </w:r>
      <w:r>
        <w:rPr>
          <w:rFonts w:hint="eastAsia"/>
        </w:rPr>
        <w:t>％となる。</w:t>
      </w:r>
    </w:p>
    <w:p>
      <w:pPr>
        <w:pStyle w:val="302"/>
        <w:rPr>
          <w:rFonts w:hint="default"/>
        </w:rPr>
      </w:pPr>
    </w:p>
    <w:p>
      <w:pPr>
        <w:pStyle w:val="302"/>
        <w:ind w:left="876" w:hanging="204"/>
        <w:rPr>
          <w:rFonts w:hint="default"/>
        </w:rPr>
      </w:pPr>
      <w:r>
        <w:rPr>
          <w:rFonts w:hint="default"/>
        </w:rPr>
        <w:drawing>
          <wp:anchor distT="0" distB="0" distL="114300" distR="114300" simplePos="0" relativeHeight="263" behindDoc="0" locked="0" layoutInCell="1" hidden="0" allowOverlap="1">
            <wp:simplePos x="0" y="0"/>
            <wp:positionH relativeFrom="column">
              <wp:posOffset>3790950</wp:posOffset>
            </wp:positionH>
            <wp:positionV relativeFrom="paragraph">
              <wp:posOffset>229870</wp:posOffset>
            </wp:positionV>
            <wp:extent cx="1965325" cy="2138045"/>
            <wp:effectExtent l="0" t="0" r="0" b="0"/>
            <wp:wrapSquare wrapText="bothSides"/>
            <wp:docPr id="1324" name="問53_円南風原町障がい児童"/>
            <a:graphic xmlns:a="http://schemas.openxmlformats.org/drawingml/2006/main">
              <a:graphicData uri="http://schemas.openxmlformats.org/drawingml/2006/picture">
                <pic:pic xmlns:pic="http://schemas.openxmlformats.org/drawingml/2006/picture">
                  <pic:nvPicPr>
                    <pic:cNvPr id="1324" name="問53_円南風原町障がい児童"/>
                    <pic:cNvPicPr>
                      <a:picLocks noChangeAspect="1" noChangeArrowheads="1"/>
                    </pic:cNvPicPr>
                  </pic:nvPicPr>
                  <pic:blipFill>
                    <a:blip r:embed="rId54"/>
                    <a:srcRect l="24776" t="22092" r="16826" b="30161"/>
                    <a:stretch>
                      <a:fillRect/>
                    </a:stretch>
                  </pic:blipFill>
                  <pic:spPr>
                    <a:xfrm>
                      <a:off x="0" y="0"/>
                      <a:ext cx="1965325" cy="2138045"/>
                    </a:xfrm>
                    <a:prstGeom prst="rect">
                      <a:avLst/>
                    </a:prstGeom>
                    <a:noFill/>
                    <a:ln>
                      <a:noFill/>
                    </a:ln>
                  </pic:spPr>
                </pic:pic>
              </a:graphicData>
            </a:graphic>
          </wp:anchor>
        </w:drawing>
      </w:r>
      <w:r>
        <w:rPr>
          <w:rFonts w:hint="default"/>
        </w:rPr>
        <w:t xml:space="preserve"> </w:t>
      </w:r>
      <w:r>
        <w:rPr>
          <w:rFonts w:hint="default"/>
        </w:rPr>
        <mc:AlternateContent>
          <mc:Choice Requires="wps">
            <w:drawing>
              <wp:anchor distT="0" distB="0" distL="114300" distR="114300" simplePos="0" relativeHeight="313" behindDoc="0" locked="1" layoutInCell="1" hidden="0" allowOverlap="1">
                <wp:simplePos x="0" y="0"/>
                <wp:positionH relativeFrom="column">
                  <wp:posOffset>1290955</wp:posOffset>
                </wp:positionH>
                <wp:positionV relativeFrom="paragraph">
                  <wp:posOffset>1270</wp:posOffset>
                </wp:positionV>
                <wp:extent cx="1514475" cy="228600"/>
                <wp:effectExtent l="0" t="0" r="635" b="635"/>
                <wp:wrapNone/>
                <wp:docPr id="1325" name="テキスト ボックス 21"/>
                <a:graphic xmlns:a="http://schemas.openxmlformats.org/drawingml/2006/main">
                  <a:graphicData uri="http://schemas.microsoft.com/office/word/2010/wordprocessingShape">
                    <wps:wsp>
                      <wps:cNvPr id="1325" name="テキスト ボックス 21"/>
                      <wps:cNvSpPr txBox="1"/>
                      <wps:spPr>
                        <a:xfrm>
                          <a:off x="0" y="0"/>
                          <a:ext cx="15144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発達障がいの診断の有無</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1" style="mso-wrap-distance-right:9pt;mso-wrap-distance-bottom:0pt;margin-top:0.1pt;mso-position-vertical-relative:text;mso-position-horizontal-relative:text;v-text-anchor:middle;position:absolute;height:18pt;mso-wrap-distance-top:0pt;width:119.25pt;mso-wrap-distance-left:9pt;margin-left:101.65pt;z-index:313;" o:spid="_x0000_s1325"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発達障がいの診断の有無</w:t>
                      </w:r>
                    </w:p>
                  </w:txbxContent>
                </v:textbox>
                <v:imagedata o:title=""/>
                <w10:wrap type="none" anchorx="text" anchory="text"/>
                <w10:anchorlock/>
              </v:shape>
            </w:pict>
          </mc:Fallback>
        </mc:AlternateContent>
      </w:r>
    </w:p>
    <w:p>
      <w:pPr>
        <w:pStyle w:val="302"/>
        <w:ind w:left="876" w:hanging="204"/>
        <w:rPr>
          <w:rFonts w:hint="default"/>
        </w:rPr>
      </w:pPr>
      <w:r>
        <w:rPr>
          <w:rFonts w:hint="default"/>
        </w:rPr>
        <w:drawing>
          <wp:anchor distT="0" distB="0" distL="114300" distR="114300" simplePos="0" relativeHeight="264" behindDoc="0" locked="0" layoutInCell="1" hidden="0" allowOverlap="1">
            <wp:simplePos x="0" y="0"/>
            <wp:positionH relativeFrom="column">
              <wp:posOffset>1167765</wp:posOffset>
            </wp:positionH>
            <wp:positionV relativeFrom="paragraph">
              <wp:posOffset>78105</wp:posOffset>
            </wp:positionV>
            <wp:extent cx="1862455" cy="2052955"/>
            <wp:effectExtent l="0" t="0" r="0" b="0"/>
            <wp:wrapSquare wrapText="bothSides"/>
            <wp:docPr id="1326" name="問4_円南風原町障がい児童"/>
            <a:graphic xmlns:a="http://schemas.openxmlformats.org/drawingml/2006/main">
              <a:graphicData uri="http://schemas.openxmlformats.org/drawingml/2006/picture">
                <pic:pic xmlns:pic="http://schemas.openxmlformats.org/drawingml/2006/picture">
                  <pic:nvPicPr>
                    <pic:cNvPr id="1326" name="問4_円南風原町障がい児童"/>
                    <pic:cNvPicPr>
                      <a:picLocks noChangeAspect="1" noChangeArrowheads="1"/>
                    </pic:cNvPicPr>
                  </pic:nvPicPr>
                  <pic:blipFill>
                    <a:blip r:embed="rId55"/>
                    <a:srcRect l="27850" t="24017" r="16827" b="30161"/>
                    <a:stretch>
                      <a:fillRect/>
                    </a:stretch>
                  </pic:blipFill>
                  <pic:spPr>
                    <a:xfrm>
                      <a:off x="0" y="0"/>
                      <a:ext cx="1862455" cy="2052955"/>
                    </a:xfrm>
                    <a:prstGeom prst="rect">
                      <a:avLst/>
                    </a:prstGeom>
                    <a:noFill/>
                    <a:ln>
                      <a:noFill/>
                    </a:ln>
                  </pic:spPr>
                </pic:pic>
              </a:graphicData>
            </a:graphic>
          </wp:anchor>
        </w:drawing>
      </w:r>
    </w:p>
    <w:p>
      <w:pPr>
        <w:pStyle w:val="302"/>
        <w:rPr>
          <w:rFonts w:hint="default"/>
        </w:rPr>
      </w:pPr>
    </w:p>
    <w:p>
      <w:pPr>
        <w:pStyle w:val="302"/>
        <w:ind w:left="876" w:hanging="204"/>
        <w:rPr>
          <w:rFonts w:hint="default"/>
        </w:rPr>
      </w:pPr>
      <w:r>
        <w:rPr>
          <w:rFonts w:hint="default"/>
        </w:rPr>
        <mc:AlternateContent>
          <mc:Choice Requires="wps">
            <w:drawing>
              <wp:anchor distT="0" distB="0" distL="114300" distR="114300" simplePos="0" relativeHeight="314" behindDoc="0" locked="1" layoutInCell="1" hidden="0" allowOverlap="1">
                <wp:simplePos x="0" y="0"/>
                <wp:positionH relativeFrom="column">
                  <wp:posOffset>3724275</wp:posOffset>
                </wp:positionH>
                <wp:positionV relativeFrom="paragraph">
                  <wp:posOffset>-676910</wp:posOffset>
                </wp:positionV>
                <wp:extent cx="1905000" cy="228600"/>
                <wp:effectExtent l="0" t="0" r="635" b="635"/>
                <wp:wrapNone/>
                <wp:docPr id="1327" name="テキスト ボックス 1647"/>
                <a:graphic xmlns:a="http://schemas.openxmlformats.org/drawingml/2006/main">
                  <a:graphicData uri="http://schemas.microsoft.com/office/word/2010/wordprocessingShape">
                    <wps:wsp>
                      <wps:cNvPr id="1327" name="テキスト ボックス 1647"/>
                      <wps:cNvSpPr txBox="1"/>
                      <wps:spPr>
                        <a:xfrm>
                          <a:off x="0" y="0"/>
                          <a:ext cx="19050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医療的ケアの有無</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47" style="mso-wrap-distance-right:9pt;mso-wrap-distance-bottom:0pt;margin-top:-53.3pt;mso-position-vertical-relative:text;mso-position-horizontal-relative:text;v-text-anchor:middle;position:absolute;height:18pt;mso-wrap-distance-top:0pt;width:150pt;mso-wrap-distance-left:9pt;margin-left:293.25pt;z-index:314;" o:spid="_x0000_s1327"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医療的ケアの有無</w:t>
                      </w:r>
                    </w:p>
                  </w:txbxContent>
                </v:textbox>
                <v:imagedata o:title=""/>
                <w10:wrap type="none" anchorx="text" anchory="text"/>
                <w10:anchorlock/>
              </v:shape>
            </w:pict>
          </mc:Fallback>
        </mc:AlternateContent>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ascii="ＭＳ ゴシック" w:hAnsi="ＭＳ ゴシック" w:eastAsia="ＭＳ ゴシック"/>
        </w:rPr>
      </w:pPr>
      <w:bookmarkStart w:id="441" w:name="_Toc496708263"/>
      <w:bookmarkStart w:id="442" w:name="_Toc52552146"/>
      <w:bookmarkStart w:id="443" w:name="_Toc52987346"/>
      <w:r>
        <w:rPr>
          <w:rFonts w:hint="default"/>
        </w:rPr>
        <w:br w:type="page"/>
      </w:r>
    </w:p>
    <w:p>
      <w:pPr>
        <w:pStyle w:val="303"/>
        <w:spacing w:after="74" w:afterLines="0" w:afterAutospacing="0"/>
        <w:ind w:left="560"/>
        <w:rPr>
          <w:rFonts w:hint="default"/>
        </w:rPr>
      </w:pPr>
      <w:bookmarkEnd w:id="441"/>
      <w:bookmarkEnd w:id="442"/>
      <w:bookmarkEnd w:id="443"/>
      <w:bookmarkStart w:id="444" w:name="_Toc496708266"/>
      <w:bookmarkStart w:id="445" w:name="_Toc52552150"/>
      <w:bookmarkStart w:id="446" w:name="_Toc52987350"/>
      <w:r>
        <w:rPr>
          <w:rFonts w:hint="eastAsia"/>
        </w:rPr>
        <w:t>３．世帯同居者（複数回答）</w:t>
      </w:r>
      <w:bookmarkEnd w:id="444"/>
      <w:bookmarkEnd w:id="445"/>
      <w:bookmarkEnd w:id="446"/>
    </w:p>
    <w:p>
      <w:pPr>
        <w:pStyle w:val="302"/>
        <w:rPr>
          <w:rFonts w:hint="default"/>
        </w:rPr>
      </w:pPr>
      <w:r>
        <w:rPr>
          <w:rFonts w:hint="eastAsia"/>
        </w:rPr>
        <w:t>●障がいのある児童と一緒に暮らしているのは、「母親」が</w:t>
      </w:r>
      <w:r>
        <w:rPr>
          <w:rFonts w:hint="eastAsia"/>
        </w:rPr>
        <w:t>98.0</w:t>
      </w:r>
      <w:r>
        <w:rPr>
          <w:rFonts w:hint="eastAsia"/>
        </w:rPr>
        <w:t>％、「父親」が</w:t>
      </w:r>
      <w:r>
        <w:rPr>
          <w:rFonts w:hint="eastAsia"/>
        </w:rPr>
        <w:t>81.0</w:t>
      </w:r>
      <w:r>
        <w:rPr>
          <w:rFonts w:hint="eastAsia"/>
        </w:rPr>
        <w:t>％、「兄弟姉妹」が</w:t>
      </w:r>
      <w:r>
        <w:rPr>
          <w:rFonts w:hint="eastAsia"/>
        </w:rPr>
        <w:t>78.4</w:t>
      </w:r>
      <w:r>
        <w:rPr>
          <w:rFonts w:hint="eastAsia"/>
        </w:rPr>
        <w:t>％となる。また、「祖父母」が</w:t>
      </w:r>
      <w:r>
        <w:rPr>
          <w:rFonts w:hint="eastAsia"/>
        </w:rPr>
        <w:t>3.3</w:t>
      </w:r>
      <w:r>
        <w:rPr>
          <w:rFonts w:hint="eastAsia"/>
        </w:rPr>
        <w:t>％と低いことから、多くが核家族世帯であると推測する。</w:t>
      </w:r>
    </w:p>
    <w:p>
      <w:pPr>
        <w:pStyle w:val="302"/>
        <w:ind w:left="876" w:hanging="204"/>
        <w:rPr>
          <w:rFonts w:hint="default"/>
        </w:rPr>
      </w:pPr>
      <w:r>
        <w:rPr>
          <w:rFonts w:hint="default"/>
        </w:rPr>
        <mc:AlternateContent>
          <mc:Choice Requires="wps">
            <w:drawing>
              <wp:anchor distT="0" distB="0" distL="114300" distR="114300" simplePos="0" relativeHeight="315" behindDoc="0" locked="0" layoutInCell="1" hidden="0" allowOverlap="1">
                <wp:simplePos x="0" y="0"/>
                <wp:positionH relativeFrom="column">
                  <wp:posOffset>2765425</wp:posOffset>
                </wp:positionH>
                <wp:positionV relativeFrom="paragraph">
                  <wp:posOffset>97790</wp:posOffset>
                </wp:positionV>
                <wp:extent cx="1440180" cy="228600"/>
                <wp:effectExtent l="0" t="0" r="635" b="635"/>
                <wp:wrapNone/>
                <wp:docPr id="1328" name="テキスト ボックス 1651"/>
                <a:graphic xmlns:a="http://schemas.openxmlformats.org/drawingml/2006/main">
                  <a:graphicData uri="http://schemas.microsoft.com/office/word/2010/wordprocessingShape">
                    <wps:wsp>
                      <wps:cNvPr id="1328" name="テキスト ボックス 1651"/>
                      <wps:cNvSpPr txBox="1"/>
                      <wps:spPr>
                        <a:xfrm>
                          <a:off x="0" y="0"/>
                          <a:ext cx="14401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世帯同居者</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51" style="mso-wrap-distance-right:9pt;mso-wrap-distance-bottom:0pt;margin-top:7.7pt;mso-position-vertical-relative:text;mso-position-horizontal-relative:text;v-text-anchor:middle;position:absolute;height:18pt;mso-wrap-distance-top:0pt;width:113.4pt;mso-wrap-distance-left:9pt;margin-left:217.75pt;z-index:315;" o:spid="_x0000_s1328"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世帯同居者</w:t>
                      </w:r>
                    </w:p>
                  </w:txbxContent>
                </v:textbox>
                <v:imagedata o:title=""/>
                <w10:wrap type="none" anchorx="text" anchory="text"/>
              </v:shape>
            </w:pict>
          </mc:Fallback>
        </mc:AlternateContent>
      </w:r>
    </w:p>
    <w:p>
      <w:pPr>
        <w:pStyle w:val="302"/>
        <w:ind w:left="876" w:hanging="204"/>
        <w:rPr>
          <w:rFonts w:hint="default"/>
        </w:rPr>
      </w:pPr>
      <w:r>
        <w:rPr>
          <w:rFonts w:hint="default"/>
        </w:rPr>
        <w:drawing>
          <wp:anchor distT="0" distB="0" distL="114300" distR="114300" simplePos="0" relativeHeight="262" behindDoc="0" locked="0" layoutInCell="1" hidden="0" allowOverlap="1">
            <wp:simplePos x="0" y="0"/>
            <wp:positionH relativeFrom="column">
              <wp:posOffset>1225550</wp:posOffset>
            </wp:positionH>
            <wp:positionV relativeFrom="paragraph">
              <wp:posOffset>26670</wp:posOffset>
            </wp:positionV>
            <wp:extent cx="4117975" cy="1861185"/>
            <wp:effectExtent l="0" t="0" r="0" b="0"/>
            <wp:wrapNone/>
            <wp:docPr id="1329" name="問7_横棒南風原町障がい児童"/>
            <a:graphic xmlns:a="http://schemas.openxmlformats.org/drawingml/2006/main">
              <a:graphicData uri="http://schemas.openxmlformats.org/drawingml/2006/picture">
                <pic:pic xmlns:pic="http://schemas.openxmlformats.org/drawingml/2006/picture">
                  <pic:nvPicPr>
                    <pic:cNvPr id="1329" name="問7_横棒南風原町障がい児童"/>
                    <pic:cNvPicPr>
                      <a:picLocks noChangeAspect="1" noChangeArrowheads="1"/>
                    </pic:cNvPicPr>
                  </pic:nvPicPr>
                  <pic:blipFill>
                    <a:blip r:embed="rId56"/>
                    <a:srcRect l="26263" t="20183" b="10622"/>
                    <a:stretch>
                      <a:fillRect/>
                    </a:stretch>
                  </pic:blipFill>
                  <pic:spPr>
                    <a:xfrm>
                      <a:off x="0" y="0"/>
                      <a:ext cx="4117975" cy="186118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r>
        <w:rPr>
          <w:rFonts w:hint="eastAsia"/>
        </w:rPr>
        <w:t>●親との同居については、「両親」と同居が</w:t>
      </w:r>
      <w:r>
        <w:rPr>
          <w:rFonts w:hint="eastAsia"/>
        </w:rPr>
        <w:t>79.7</w:t>
      </w:r>
      <w:r>
        <w:rPr>
          <w:rFonts w:hint="eastAsia"/>
        </w:rPr>
        <w:t>％とほとんどであるが、「母親のみ」が</w:t>
      </w:r>
      <w:r>
        <w:rPr>
          <w:rFonts w:hint="eastAsia"/>
        </w:rPr>
        <w:t>18.3</w:t>
      </w:r>
      <w:r>
        <w:rPr>
          <w:rFonts w:hint="eastAsia"/>
        </w:rPr>
        <w:t>％、「父親のみ」が</w:t>
      </w:r>
      <w:r>
        <w:rPr>
          <w:rFonts w:hint="eastAsia"/>
        </w:rPr>
        <w:t>1.3</w:t>
      </w:r>
      <w:r>
        <w:rPr>
          <w:rFonts w:hint="eastAsia"/>
        </w:rPr>
        <w:t>％で、</w:t>
      </w:r>
      <w:r>
        <w:rPr>
          <w:rFonts w:hint="eastAsia"/>
        </w:rPr>
        <w:t>19.6</w:t>
      </w:r>
      <w:r>
        <w:rPr>
          <w:rFonts w:hint="eastAsia"/>
        </w:rPr>
        <w:t>％がひとり親の家庭である。</w:t>
      </w:r>
    </w:p>
    <w:p>
      <w:pPr>
        <w:pStyle w:val="302"/>
        <w:ind w:left="876" w:hanging="204"/>
        <w:rPr>
          <w:rFonts w:hint="default"/>
        </w:rPr>
      </w:pPr>
      <w:r>
        <w:rPr>
          <w:rFonts w:hint="default"/>
        </w:rPr>
        <mc:AlternateContent>
          <mc:Choice Requires="wps">
            <w:drawing>
              <wp:anchor distT="0" distB="0" distL="114300" distR="114300" simplePos="0" relativeHeight="316" behindDoc="0" locked="0" layoutInCell="1" hidden="0" allowOverlap="1">
                <wp:simplePos x="0" y="0"/>
                <wp:positionH relativeFrom="column">
                  <wp:posOffset>2743200</wp:posOffset>
                </wp:positionH>
                <wp:positionV relativeFrom="paragraph">
                  <wp:posOffset>104775</wp:posOffset>
                </wp:positionV>
                <wp:extent cx="1440180" cy="228600"/>
                <wp:effectExtent l="0" t="0" r="635" b="635"/>
                <wp:wrapNone/>
                <wp:docPr id="1330" name="テキスト ボックス 22"/>
                <a:graphic xmlns:a="http://schemas.openxmlformats.org/drawingml/2006/main">
                  <a:graphicData uri="http://schemas.microsoft.com/office/word/2010/wordprocessingShape">
                    <wps:wsp>
                      <wps:cNvPr id="1330" name="テキスト ボックス 22"/>
                      <wps:cNvSpPr txBox="1"/>
                      <wps:spPr>
                        <a:xfrm>
                          <a:off x="0" y="0"/>
                          <a:ext cx="14401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親との</w:t>
                            </w:r>
                            <w:r>
                              <w:rPr>
                                <w:rFonts w:hint="default" w:ascii="ＭＳ ゴシック" w:hAnsi="ＭＳ ゴシック" w:eastAsia="ＭＳ ゴシック"/>
                                <w:sz w:val="20"/>
                              </w:rPr>
                              <w:t>同居</w:t>
                            </w:r>
                            <w:r>
                              <w:rPr>
                                <w:rFonts w:hint="eastAsia" w:ascii="ＭＳ ゴシック" w:hAnsi="ＭＳ ゴシック" w:eastAsia="ＭＳ ゴシック"/>
                                <w:sz w:val="20"/>
                              </w:rPr>
                              <w:t>の</w:t>
                            </w:r>
                            <w:r>
                              <w:rPr>
                                <w:rFonts w:hint="default" w:ascii="ＭＳ ゴシック" w:hAnsi="ＭＳ ゴシック" w:eastAsia="ＭＳ ゴシック"/>
                                <w:sz w:val="20"/>
                              </w:rPr>
                              <w:t>状況</w:t>
                            </w:r>
                          </w:p>
                          <w:p>
                            <w:pPr>
                              <w:pStyle w:val="0"/>
                              <w:jc w:val="center"/>
                              <w:rPr>
                                <w:rFonts w:hint="default" w:ascii="ＭＳ ゴシック" w:hAnsi="ＭＳ ゴシック" w:eastAsia="ＭＳ ゴシック"/>
                                <w:sz w:val="20"/>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2" style="mso-wrap-distance-right:9pt;mso-wrap-distance-bottom:0pt;margin-top:8.25pt;mso-position-vertical-relative:text;mso-position-horizontal-relative:text;v-text-anchor:middle;position:absolute;height:18pt;mso-wrap-distance-top:0pt;width:113.4pt;mso-wrap-distance-left:9pt;margin-left:216pt;z-index:316;" o:spid="_x0000_s1330"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親との</w:t>
                      </w:r>
                      <w:r>
                        <w:rPr>
                          <w:rFonts w:hint="default" w:ascii="ＭＳ ゴシック" w:hAnsi="ＭＳ ゴシック" w:eastAsia="ＭＳ ゴシック"/>
                          <w:sz w:val="20"/>
                        </w:rPr>
                        <w:t>同居</w:t>
                      </w:r>
                      <w:r>
                        <w:rPr>
                          <w:rFonts w:hint="eastAsia" w:ascii="ＭＳ ゴシック" w:hAnsi="ＭＳ ゴシック" w:eastAsia="ＭＳ ゴシック"/>
                          <w:sz w:val="20"/>
                        </w:rPr>
                        <w:t>の</w:t>
                      </w:r>
                      <w:r>
                        <w:rPr>
                          <w:rFonts w:hint="default" w:ascii="ＭＳ ゴシック" w:hAnsi="ＭＳ ゴシック" w:eastAsia="ＭＳ ゴシック"/>
                          <w:sz w:val="20"/>
                        </w:rPr>
                        <w:t>状況</w:t>
                      </w:r>
                    </w:p>
                    <w:p>
                      <w:pPr>
                        <w:pStyle w:val="0"/>
                        <w:jc w:val="center"/>
                        <w:rPr>
                          <w:rFonts w:hint="default" w:ascii="ＭＳ ゴシック" w:hAnsi="ＭＳ ゴシック" w:eastAsia="ＭＳ ゴシック"/>
                          <w:sz w:val="20"/>
                        </w:rPr>
                      </w:pPr>
                    </w:p>
                  </w:txbxContent>
                </v:textbox>
                <v:imagedata o:title=""/>
                <w10:wrap type="none" anchorx="text" anchory="text"/>
              </v:shape>
            </w:pict>
          </mc:Fallback>
        </mc:AlternateContent>
      </w:r>
    </w:p>
    <w:p>
      <w:pPr>
        <w:pStyle w:val="302"/>
        <w:ind w:left="876" w:hanging="204"/>
        <w:rPr>
          <w:rFonts w:hint="default"/>
        </w:rPr>
      </w:pPr>
      <w:r>
        <w:rPr>
          <w:rFonts w:hint="default"/>
        </w:rPr>
        <w:drawing>
          <wp:anchor distT="0" distB="0" distL="114300" distR="114300" simplePos="0" relativeHeight="252" behindDoc="0" locked="0" layoutInCell="1" hidden="0" allowOverlap="1">
            <wp:simplePos x="0" y="0"/>
            <wp:positionH relativeFrom="column">
              <wp:posOffset>2466975</wp:posOffset>
            </wp:positionH>
            <wp:positionV relativeFrom="paragraph">
              <wp:posOffset>81915</wp:posOffset>
            </wp:positionV>
            <wp:extent cx="1991995" cy="2499995"/>
            <wp:effectExtent l="0" t="0" r="0" b="0"/>
            <wp:wrapSquare wrapText="bothSides"/>
            <wp:docPr id="1331" name="保護者区分_円南風原町障がい児童"/>
            <a:graphic xmlns:a="http://schemas.openxmlformats.org/drawingml/2006/main">
              <a:graphicData uri="http://schemas.openxmlformats.org/drawingml/2006/picture">
                <pic:pic xmlns:pic="http://schemas.openxmlformats.org/drawingml/2006/picture">
                  <pic:nvPicPr>
                    <pic:cNvPr id="1331" name="保護者区分_円南風原町障がい児童"/>
                    <pic:cNvPicPr>
                      <a:picLocks noChangeAspect="1" noChangeArrowheads="1"/>
                    </pic:cNvPicPr>
                  </pic:nvPicPr>
                  <pic:blipFill>
                    <a:blip r:embed="rId57"/>
                    <a:srcRect l="25739" t="18140" r="15111" b="26053"/>
                    <a:stretch>
                      <a:fillRect/>
                    </a:stretch>
                  </pic:blipFill>
                  <pic:spPr>
                    <a:xfrm>
                      <a:off x="0" y="0"/>
                      <a:ext cx="1991995" cy="249999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rPr>
      </w:pPr>
      <w:r>
        <w:rPr>
          <w:rFonts w:hint="default"/>
        </w:rPr>
        <w:br w:type="page"/>
      </w:r>
    </w:p>
    <w:p>
      <w:pPr>
        <w:pStyle w:val="303"/>
        <w:spacing w:after="74" w:afterLines="0" w:afterAutospacing="0"/>
        <w:ind w:left="560"/>
        <w:rPr>
          <w:rFonts w:hint="default"/>
        </w:rPr>
      </w:pPr>
      <w:bookmarkStart w:id="447" w:name="_Toc496708275"/>
      <w:bookmarkStart w:id="448" w:name="_Toc52552159"/>
      <w:bookmarkStart w:id="449" w:name="_Toc52987359"/>
      <w:r>
        <w:rPr>
          <w:rFonts w:hint="eastAsia"/>
        </w:rPr>
        <w:t>４．介助で悩んでいること・困っていること（複数回答）</w:t>
      </w:r>
      <w:bookmarkEnd w:id="447"/>
      <w:bookmarkEnd w:id="448"/>
      <w:bookmarkEnd w:id="449"/>
    </w:p>
    <w:p>
      <w:pPr>
        <w:pStyle w:val="302"/>
        <w:rPr>
          <w:rFonts w:hint="default"/>
        </w:rPr>
      </w:pPr>
      <w:r>
        <w:rPr>
          <w:rFonts w:hint="eastAsia"/>
        </w:rPr>
        <w:t>●身体的な負担や自分の時間をつくれないこと及び経済面で悩んでいる介助者が多く、介助を継続していく上で、こうした悩みの軽減を図ることが大きなポイントになると思われる。</w:t>
      </w:r>
    </w:p>
    <w:p>
      <w:pPr>
        <w:pStyle w:val="302"/>
        <w:rPr>
          <w:rFonts w:hint="default"/>
        </w:rPr>
      </w:pPr>
      <w:r>
        <w:rPr>
          <w:rFonts w:hint="eastAsia"/>
        </w:rPr>
        <w:t>●「精神的に休まらない」が</w:t>
      </w:r>
      <w:r>
        <w:rPr>
          <w:rFonts w:hint="eastAsia"/>
        </w:rPr>
        <w:t>32.3</w:t>
      </w:r>
      <w:r>
        <w:rPr>
          <w:rFonts w:hint="eastAsia"/>
        </w:rPr>
        <w:t>％と高く、「ほかの子にかまってあげる時間がない」が</w:t>
      </w:r>
      <w:r>
        <w:rPr>
          <w:rFonts w:hint="eastAsia"/>
        </w:rPr>
        <w:t>25.8</w:t>
      </w:r>
      <w:r>
        <w:rPr>
          <w:rFonts w:hint="eastAsia"/>
        </w:rPr>
        <w:t>％あることから、子育てに関する相談支援も大切なポイントになる。</w:t>
      </w:r>
    </w:p>
    <w:p>
      <w:pPr>
        <w:pStyle w:val="302"/>
        <w:ind w:left="876" w:hanging="204"/>
        <w:rPr>
          <w:rFonts w:hint="default"/>
        </w:rPr>
      </w:pPr>
      <w:r>
        <w:rPr>
          <w:rFonts w:hint="default"/>
        </w:rPr>
        <w:drawing>
          <wp:anchor distT="0" distB="0" distL="114300" distR="114300" simplePos="0" relativeHeight="261" behindDoc="0" locked="0" layoutInCell="1" hidden="0" allowOverlap="1">
            <wp:simplePos x="0" y="0"/>
            <wp:positionH relativeFrom="column">
              <wp:posOffset>562610</wp:posOffset>
            </wp:positionH>
            <wp:positionV relativeFrom="paragraph">
              <wp:posOffset>656590</wp:posOffset>
            </wp:positionV>
            <wp:extent cx="5387340" cy="4717415"/>
            <wp:effectExtent l="0" t="0" r="0" b="0"/>
            <wp:wrapNone/>
            <wp:docPr id="1332" name="問18_横棒南風原町障がい児童"/>
            <a:graphic xmlns:a="http://schemas.openxmlformats.org/drawingml/2006/main">
              <a:graphicData uri="http://schemas.openxmlformats.org/drawingml/2006/picture">
                <pic:pic xmlns:pic="http://schemas.openxmlformats.org/drawingml/2006/picture">
                  <pic:nvPicPr>
                    <pic:cNvPr id="1332" name="問18_横棒南風原町障がい児童"/>
                    <pic:cNvPicPr>
                      <a:picLocks noChangeAspect="1" noChangeArrowheads="1"/>
                    </pic:cNvPicPr>
                  </pic:nvPicPr>
                  <pic:blipFill>
                    <a:blip r:embed="rId58"/>
                    <a:srcRect l="3409" t="6526" r="266" b="5650"/>
                    <a:stretch>
                      <a:fillRect/>
                    </a:stretch>
                  </pic:blipFill>
                  <pic:spPr>
                    <a:xfrm>
                      <a:off x="0" y="0"/>
                      <a:ext cx="5387340" cy="4717415"/>
                    </a:xfrm>
                    <a:prstGeom prst="rect">
                      <a:avLst/>
                    </a:prstGeom>
                    <a:noFill/>
                    <a:ln>
                      <a:noFill/>
                    </a:ln>
                  </pic:spPr>
                </pic:pic>
              </a:graphicData>
            </a:graphic>
          </wp:anchor>
        </w:drawing>
      </w:r>
      <w:r>
        <w:rPr>
          <w:rFonts w:hint="eastAsia"/>
        </w:rPr>
        <w:t>●「自分以外に介助する人がいない」が</w:t>
      </w:r>
      <w:r>
        <w:rPr>
          <w:rFonts w:hint="eastAsia"/>
        </w:rPr>
        <w:t>21.0</w:t>
      </w:r>
      <w:r>
        <w:rPr>
          <w:rFonts w:hint="eastAsia"/>
        </w:rPr>
        <w:t>％、「周りからの理解や協力が得られない」が</w:t>
      </w:r>
      <w:r>
        <w:rPr>
          <w:rFonts w:hint="eastAsia"/>
        </w:rPr>
        <w:t>11.3</w:t>
      </w:r>
      <w:r>
        <w:rPr>
          <w:rFonts w:hint="eastAsia"/>
        </w:rPr>
        <w:t>％、「相談できる人や愚痴を聞いてくれる人が近くにいない」が</w:t>
      </w:r>
      <w:r>
        <w:rPr>
          <w:rFonts w:hint="eastAsia"/>
        </w:rPr>
        <w:t>14.5</w:t>
      </w:r>
      <w:r>
        <w:rPr>
          <w:rFonts w:hint="eastAsia"/>
        </w:rPr>
        <w:t>％といった回答があり、介助の孤立化がうかがえる。</w:t>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rPr>
      </w:pPr>
      <w:r>
        <w:rPr>
          <w:rFonts w:hint="default"/>
        </w:rPr>
        <w:br w:type="page"/>
      </w:r>
    </w:p>
    <w:p>
      <w:pPr>
        <w:pStyle w:val="303"/>
        <w:spacing w:after="74" w:afterLines="0" w:afterAutospacing="0"/>
        <w:ind w:left="560"/>
        <w:rPr>
          <w:rFonts w:hint="default"/>
        </w:rPr>
      </w:pPr>
      <w:bookmarkStart w:id="450" w:name="_Toc496708276"/>
      <w:bookmarkStart w:id="451" w:name="_Toc52552160"/>
      <w:bookmarkStart w:id="452" w:name="_Toc52987360"/>
      <w:r>
        <w:rPr>
          <w:rFonts w:hint="eastAsia"/>
        </w:rPr>
        <w:t>５．親子交流の機会</w:t>
      </w:r>
      <w:bookmarkEnd w:id="450"/>
      <w:bookmarkEnd w:id="451"/>
      <w:bookmarkEnd w:id="452"/>
    </w:p>
    <w:p>
      <w:pPr>
        <w:pStyle w:val="302"/>
        <w:rPr>
          <w:rFonts w:hint="default"/>
        </w:rPr>
      </w:pPr>
      <w:r>
        <w:rPr>
          <w:rFonts w:hint="eastAsia"/>
        </w:rPr>
        <w:t>●同じ障がいのある児童の親と交流する機会は、「時々ある」が</w:t>
      </w:r>
      <w:r>
        <w:rPr>
          <w:rFonts w:hint="eastAsia"/>
        </w:rPr>
        <w:t>27.5</w:t>
      </w:r>
      <w:r>
        <w:rPr>
          <w:rFonts w:hint="eastAsia"/>
        </w:rPr>
        <w:t>％、「よくある」が</w:t>
      </w:r>
      <w:r>
        <w:rPr>
          <w:rFonts w:hint="eastAsia"/>
        </w:rPr>
        <w:t>9.2</w:t>
      </w:r>
      <w:r>
        <w:rPr>
          <w:rFonts w:hint="eastAsia"/>
        </w:rPr>
        <w:t>％で、合わせると</w:t>
      </w:r>
      <w:r>
        <w:rPr>
          <w:rFonts w:hint="eastAsia"/>
        </w:rPr>
        <w:t>36.7</w:t>
      </w:r>
      <w:r>
        <w:rPr>
          <w:rFonts w:hint="eastAsia"/>
        </w:rPr>
        <w:t>％は交流があると答えている。</w:t>
      </w:r>
    </w:p>
    <w:p>
      <w:pPr>
        <w:pStyle w:val="302"/>
        <w:rPr>
          <w:rFonts w:hint="default"/>
        </w:rPr>
      </w:pPr>
    </w:p>
    <w:p>
      <w:pPr>
        <w:pStyle w:val="302"/>
        <w:ind w:left="876" w:hanging="204"/>
        <w:rPr>
          <w:rFonts w:hint="default"/>
        </w:rPr>
      </w:pPr>
      <w:r>
        <w:rPr>
          <w:rFonts w:hint="default"/>
        </w:rPr>
        <w:drawing>
          <wp:anchor distT="0" distB="0" distL="114300" distR="114300" simplePos="0" relativeHeight="260" behindDoc="0" locked="0" layoutInCell="1" hidden="0" allowOverlap="1">
            <wp:simplePos x="0" y="0"/>
            <wp:positionH relativeFrom="column">
              <wp:posOffset>2032635</wp:posOffset>
            </wp:positionH>
            <wp:positionV relativeFrom="paragraph">
              <wp:posOffset>109220</wp:posOffset>
            </wp:positionV>
            <wp:extent cx="1952625" cy="2057400"/>
            <wp:effectExtent l="0" t="0" r="0" b="0"/>
            <wp:wrapSquare wrapText="bothSides"/>
            <wp:docPr id="1333" name="問19_円南風原町障がい児童"/>
            <a:graphic xmlns:a="http://schemas.openxmlformats.org/drawingml/2006/main">
              <a:graphicData uri="http://schemas.openxmlformats.org/drawingml/2006/picture">
                <pic:pic xmlns:pic="http://schemas.openxmlformats.org/drawingml/2006/picture">
                  <pic:nvPicPr>
                    <pic:cNvPr id="1333" name="問19_円南風原町障がい児童"/>
                    <pic:cNvPicPr>
                      <a:picLocks noChangeAspect="1" noChangeArrowheads="1"/>
                    </pic:cNvPicPr>
                  </pic:nvPicPr>
                  <pic:blipFill>
                    <a:blip r:embed="rId59"/>
                    <a:srcRect l="25826" t="24258" r="16197" b="29820"/>
                    <a:stretch>
                      <a:fillRect/>
                    </a:stretch>
                  </pic:blipFill>
                  <pic:spPr>
                    <a:xfrm>
                      <a:off x="0" y="0"/>
                      <a:ext cx="1952625" cy="2057400"/>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3"/>
        <w:spacing w:after="74" w:afterLines="0" w:afterAutospacing="0"/>
        <w:ind w:left="560"/>
        <w:rPr>
          <w:rFonts w:hint="default"/>
        </w:rPr>
      </w:pPr>
      <w:bookmarkStart w:id="453" w:name="_Toc496708277"/>
      <w:bookmarkStart w:id="454" w:name="_Toc52552161"/>
      <w:bookmarkStart w:id="455" w:name="_Toc52987361"/>
      <w:r>
        <w:rPr>
          <w:rFonts w:hint="eastAsia"/>
        </w:rPr>
        <w:t>６．今後の親子交流の意向</w:t>
      </w:r>
      <w:bookmarkEnd w:id="453"/>
      <w:bookmarkEnd w:id="454"/>
      <w:bookmarkEnd w:id="455"/>
    </w:p>
    <w:p>
      <w:pPr>
        <w:pStyle w:val="302"/>
        <w:rPr>
          <w:rFonts w:hint="default"/>
        </w:rPr>
      </w:pPr>
      <w:r>
        <w:rPr>
          <w:rFonts w:hint="eastAsia"/>
        </w:rPr>
        <w:t>●「交流したい」が</w:t>
      </w:r>
      <w:r>
        <w:rPr>
          <w:rFonts w:hint="eastAsia"/>
        </w:rPr>
        <w:t>52.3</w:t>
      </w:r>
      <w:r>
        <w:rPr>
          <w:rFonts w:hint="eastAsia"/>
        </w:rPr>
        <w:t>％と最も高く、前項の現状で「よくある」と「時々ある」を合わせた割合</w:t>
      </w:r>
      <w:r>
        <w:rPr>
          <w:rFonts w:hint="eastAsia"/>
        </w:rPr>
        <w:t>(36.7</w:t>
      </w:r>
      <w:r>
        <w:rPr>
          <w:rFonts w:hint="eastAsia"/>
        </w:rPr>
        <w:t>％</w:t>
      </w:r>
      <w:r>
        <w:rPr>
          <w:rFonts w:hint="eastAsia"/>
        </w:rPr>
        <w:t>)</w:t>
      </w:r>
      <w:r>
        <w:rPr>
          <w:rFonts w:hint="eastAsia"/>
        </w:rPr>
        <w:t>より</w:t>
      </w:r>
      <w:r>
        <w:rPr>
          <w:rFonts w:hint="eastAsia"/>
        </w:rPr>
        <w:t>15.6</w:t>
      </w:r>
      <w:r>
        <w:rPr>
          <w:rFonts w:hint="eastAsia"/>
        </w:rPr>
        <w:t>ポイント高い。</w:t>
      </w:r>
    </w:p>
    <w:p>
      <w:pPr>
        <w:pStyle w:val="302"/>
        <w:rPr>
          <w:rFonts w:hint="default"/>
        </w:rPr>
      </w:pPr>
      <w:r>
        <w:rPr>
          <w:rFonts w:hint="eastAsia"/>
        </w:rPr>
        <w:t>●「交流したいけどできない」が</w:t>
      </w:r>
      <w:r>
        <w:rPr>
          <w:rFonts w:hint="eastAsia"/>
        </w:rPr>
        <w:t>24.2</w:t>
      </w:r>
      <w:r>
        <w:rPr>
          <w:rFonts w:hint="eastAsia"/>
        </w:rPr>
        <w:t>％で、「交流したい」の</w:t>
      </w:r>
      <w:r>
        <w:rPr>
          <w:rFonts w:hint="eastAsia"/>
        </w:rPr>
        <w:t>52.3</w:t>
      </w:r>
      <w:r>
        <w:rPr>
          <w:rFonts w:hint="eastAsia"/>
        </w:rPr>
        <w:t>％と合わせると、</w:t>
      </w:r>
      <w:r>
        <w:rPr>
          <w:rFonts w:hint="eastAsia"/>
        </w:rPr>
        <w:t>79.5</w:t>
      </w:r>
      <w:r>
        <w:rPr>
          <w:rFonts w:hint="eastAsia"/>
        </w:rPr>
        <w:t>％と８割近い親が交流を望んでいる。交流機会の確保に向けた取り組みの充実を図る必要性が高いと思われる。</w:t>
      </w:r>
    </w:p>
    <w:p>
      <w:pPr>
        <w:pStyle w:val="302"/>
        <w:rPr>
          <w:rFonts w:hint="default"/>
        </w:rPr>
      </w:pPr>
    </w:p>
    <w:p>
      <w:pPr>
        <w:pStyle w:val="302"/>
        <w:ind w:left="876" w:hanging="204"/>
        <w:rPr>
          <w:rFonts w:hint="default"/>
        </w:rPr>
      </w:pPr>
      <w:r>
        <w:rPr>
          <w:rFonts w:hint="default"/>
        </w:rPr>
        <w:drawing>
          <wp:anchor distT="0" distB="0" distL="114300" distR="114300" simplePos="0" relativeHeight="259" behindDoc="0" locked="0" layoutInCell="1" hidden="0" allowOverlap="1">
            <wp:simplePos x="0" y="0"/>
            <wp:positionH relativeFrom="column">
              <wp:posOffset>2032635</wp:posOffset>
            </wp:positionH>
            <wp:positionV relativeFrom="paragraph">
              <wp:posOffset>23495</wp:posOffset>
            </wp:positionV>
            <wp:extent cx="2305050" cy="2219325"/>
            <wp:effectExtent l="0" t="0" r="0" b="0"/>
            <wp:wrapSquare wrapText="bothSides"/>
            <wp:docPr id="1334" name="問20_円南風原町障がい児童"/>
            <a:graphic xmlns:a="http://schemas.openxmlformats.org/drawingml/2006/main">
              <a:graphicData uri="http://schemas.openxmlformats.org/drawingml/2006/picture">
                <pic:pic xmlns:pic="http://schemas.openxmlformats.org/drawingml/2006/picture">
                  <pic:nvPicPr>
                    <pic:cNvPr id="1334" name="問20_円南風原町障がい児童"/>
                    <pic:cNvPicPr>
                      <a:picLocks noChangeAspect="1" noChangeArrowheads="1"/>
                    </pic:cNvPicPr>
                  </pic:nvPicPr>
                  <pic:blipFill>
                    <a:blip r:embed="rId60"/>
                    <a:srcRect l="16493" t="21747" r="15059" b="28714"/>
                    <a:stretch>
                      <a:fillRect/>
                    </a:stretch>
                  </pic:blipFill>
                  <pic:spPr>
                    <a:xfrm>
                      <a:off x="0" y="0"/>
                      <a:ext cx="2305050" cy="221932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rPr>
      </w:pPr>
      <w:r>
        <w:rPr>
          <w:rFonts w:hint="default"/>
        </w:rPr>
        <w:br w:type="page"/>
      </w:r>
    </w:p>
    <w:p>
      <w:pPr>
        <w:pStyle w:val="303"/>
        <w:spacing w:after="74" w:afterLines="0" w:afterAutospacing="0"/>
        <w:ind w:left="560"/>
        <w:rPr>
          <w:rFonts w:hint="default"/>
        </w:rPr>
      </w:pPr>
      <w:bookmarkStart w:id="456" w:name="_Toc496708289"/>
      <w:bookmarkStart w:id="457" w:name="_Toc52552171"/>
      <w:bookmarkStart w:id="458" w:name="_Toc52987371"/>
      <w:r>
        <w:rPr>
          <w:rFonts w:hint="eastAsia"/>
        </w:rPr>
        <w:t>７．保育・療育・教育に望むこと（複数回答）</w:t>
      </w:r>
      <w:bookmarkEnd w:id="456"/>
      <w:bookmarkEnd w:id="457"/>
      <w:bookmarkEnd w:id="458"/>
    </w:p>
    <w:p>
      <w:pPr>
        <w:pStyle w:val="302"/>
        <w:rPr>
          <w:rFonts w:hint="default"/>
        </w:rPr>
      </w:pPr>
      <w:r>
        <w:rPr>
          <w:rFonts w:hint="eastAsia"/>
        </w:rPr>
        <w:t>●「能力や障がいの状態に応じた指導を充実させてほしい」が</w:t>
      </w:r>
      <w:r>
        <w:rPr>
          <w:rFonts w:hint="eastAsia"/>
        </w:rPr>
        <w:t>68.6</w:t>
      </w:r>
      <w:r>
        <w:rPr>
          <w:rFonts w:hint="eastAsia"/>
        </w:rPr>
        <w:t>と高く、次に「障がいを持っていない子ども達に障がいへの理解を深めてほしい」が</w:t>
      </w:r>
      <w:r>
        <w:rPr>
          <w:rFonts w:hint="eastAsia"/>
        </w:rPr>
        <w:t>63.4</w:t>
      </w:r>
      <w:r>
        <w:rPr>
          <w:rFonts w:hint="eastAsia"/>
        </w:rPr>
        <w:t>％、「保育・教育関係者の障がいへの理解を深めてほしい」が</w:t>
      </w:r>
      <w:r>
        <w:rPr>
          <w:rFonts w:hint="eastAsia"/>
        </w:rPr>
        <w:t>59.5</w:t>
      </w:r>
      <w:r>
        <w:rPr>
          <w:rFonts w:hint="eastAsia"/>
        </w:rPr>
        <w:t>％となる。</w:t>
      </w:r>
    </w:p>
    <w:p>
      <w:pPr>
        <w:pStyle w:val="302"/>
        <w:ind w:left="876" w:hanging="204"/>
        <w:rPr>
          <w:rFonts w:hint="default"/>
        </w:rPr>
      </w:pPr>
      <w:r>
        <w:rPr>
          <w:rFonts w:hint="default"/>
        </w:rPr>
        <w:drawing>
          <wp:anchor distT="0" distB="0" distL="114300" distR="114300" simplePos="0" relativeHeight="258" behindDoc="0" locked="0" layoutInCell="1" hidden="0" allowOverlap="1">
            <wp:simplePos x="0" y="0"/>
            <wp:positionH relativeFrom="column">
              <wp:posOffset>505460</wp:posOffset>
            </wp:positionH>
            <wp:positionV relativeFrom="paragraph">
              <wp:posOffset>133985</wp:posOffset>
            </wp:positionV>
            <wp:extent cx="5486400" cy="4112260"/>
            <wp:effectExtent l="0" t="0" r="0" b="0"/>
            <wp:wrapNone/>
            <wp:docPr id="1335" name="問29_横棒南風原町障がい児童"/>
            <a:graphic xmlns:a="http://schemas.openxmlformats.org/drawingml/2006/main">
              <a:graphicData uri="http://schemas.openxmlformats.org/drawingml/2006/picture">
                <pic:pic xmlns:pic="http://schemas.openxmlformats.org/drawingml/2006/picture">
                  <pic:nvPicPr>
                    <pic:cNvPr id="1335" name="問29_横棒南風原町障がい児童"/>
                    <pic:cNvPicPr>
                      <a:picLocks noChangeAspect="1" noChangeArrowheads="1"/>
                    </pic:cNvPicPr>
                  </pic:nvPicPr>
                  <pic:blipFill>
                    <a:blip r:embed="rId61"/>
                    <a:srcRect l="1765" t="10330" b="6248"/>
                    <a:stretch>
                      <a:fillRect/>
                    </a:stretch>
                  </pic:blipFill>
                  <pic:spPr>
                    <a:xfrm>
                      <a:off x="0" y="0"/>
                      <a:ext cx="5486400" cy="4112260"/>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rPr>
      </w:pPr>
      <w:r>
        <w:rPr>
          <w:rFonts w:hint="default"/>
        </w:rPr>
        <w:br w:type="page"/>
      </w:r>
    </w:p>
    <w:p>
      <w:pPr>
        <w:pStyle w:val="303"/>
        <w:spacing w:after="74" w:afterLines="0" w:afterAutospacing="0"/>
        <w:ind w:left="560"/>
        <w:rPr>
          <w:rFonts w:hint="default"/>
        </w:rPr>
      </w:pPr>
      <w:bookmarkStart w:id="459" w:name="_Toc496708296"/>
      <w:bookmarkStart w:id="460" w:name="_Toc52552176"/>
      <w:bookmarkStart w:id="461" w:name="_Toc52987376"/>
      <w:r>
        <w:rPr>
          <w:rFonts w:hint="eastAsia"/>
        </w:rPr>
        <w:t>８．外出しやすくなるために必要なこと（複数回答）</w:t>
      </w:r>
      <w:bookmarkEnd w:id="459"/>
      <w:bookmarkEnd w:id="460"/>
      <w:bookmarkEnd w:id="461"/>
    </w:p>
    <w:p>
      <w:pPr>
        <w:pStyle w:val="302"/>
        <w:rPr>
          <w:rFonts w:hint="default"/>
        </w:rPr>
      </w:pPr>
      <w:r>
        <w:rPr>
          <w:rFonts w:hint="eastAsia"/>
        </w:rPr>
        <w:t>●</w:t>
      </w:r>
      <w:r>
        <w:rPr>
          <w:rFonts w:hint="default"/>
        </w:rPr>
        <w:t>「外出先で周りの人が手助けしてくれる」</w:t>
      </w:r>
      <w:r>
        <w:rPr>
          <w:rFonts w:hint="eastAsia"/>
        </w:rPr>
        <w:t>が</w:t>
      </w:r>
      <w:r>
        <w:rPr>
          <w:rFonts w:hint="eastAsia"/>
        </w:rPr>
        <w:t>29.4</w:t>
      </w:r>
      <w:r>
        <w:rPr>
          <w:rFonts w:hint="eastAsia"/>
        </w:rPr>
        <w:t>％と高く、次に</w:t>
      </w:r>
      <w:r>
        <w:rPr>
          <w:rFonts w:hint="default"/>
        </w:rPr>
        <w:t>「外出時に介助者や付き添いがいてくれる」</w:t>
      </w:r>
      <w:r>
        <w:rPr>
          <w:rFonts w:hint="eastAsia"/>
        </w:rPr>
        <w:t>が</w:t>
      </w:r>
      <w:r>
        <w:rPr>
          <w:rFonts w:hint="eastAsia"/>
        </w:rPr>
        <w:t>24.2</w:t>
      </w:r>
      <w:r>
        <w:rPr>
          <w:rFonts w:hint="eastAsia"/>
        </w:rPr>
        <w:t>％、</w:t>
      </w:r>
      <w:r>
        <w:rPr>
          <w:rFonts w:hint="default"/>
        </w:rPr>
        <w:t>「わかりやすい案内表示の設置（色使いや大きさ、絵文字など）」</w:t>
      </w:r>
      <w:r>
        <w:rPr>
          <w:rFonts w:hint="eastAsia"/>
        </w:rPr>
        <w:t>が</w:t>
      </w:r>
      <w:r>
        <w:rPr>
          <w:rFonts w:hint="eastAsia"/>
        </w:rPr>
        <w:t>23.5</w:t>
      </w:r>
      <w:r>
        <w:rPr>
          <w:rFonts w:hint="eastAsia"/>
        </w:rPr>
        <w:t>％となる。</w:t>
      </w:r>
    </w:p>
    <w:p>
      <w:pPr>
        <w:pStyle w:val="302"/>
        <w:rPr>
          <w:rFonts w:hint="default"/>
        </w:rPr>
      </w:pPr>
      <w:r>
        <w:rPr>
          <w:rFonts w:hint="eastAsia"/>
        </w:rPr>
        <w:t>●障がいのある児童の外出を支援するためには、人的な支援やバリアフリーの推進、経済的な支援など、様々な支援が必要とされている。</w:t>
      </w:r>
    </w:p>
    <w:p>
      <w:pPr>
        <w:pStyle w:val="302"/>
        <w:ind w:left="876" w:hanging="204"/>
        <w:rPr>
          <w:rFonts w:hint="default"/>
        </w:rPr>
      </w:pPr>
      <w:r>
        <w:rPr>
          <w:rFonts w:hint="default"/>
        </w:rPr>
        <w:drawing>
          <wp:anchor distT="0" distB="0" distL="114300" distR="114300" simplePos="0" relativeHeight="257" behindDoc="0" locked="0" layoutInCell="1" hidden="0" allowOverlap="1">
            <wp:simplePos x="0" y="0"/>
            <wp:positionH relativeFrom="column">
              <wp:posOffset>572135</wp:posOffset>
            </wp:positionH>
            <wp:positionV relativeFrom="paragraph">
              <wp:posOffset>210820</wp:posOffset>
            </wp:positionV>
            <wp:extent cx="5398135" cy="5138420"/>
            <wp:effectExtent l="0" t="0" r="0" b="0"/>
            <wp:wrapNone/>
            <wp:docPr id="1336" name="問38_横棒南風原町障がい児童"/>
            <a:graphic xmlns:a="http://schemas.openxmlformats.org/drawingml/2006/main">
              <a:graphicData uri="http://schemas.openxmlformats.org/drawingml/2006/picture">
                <pic:pic xmlns:pic="http://schemas.openxmlformats.org/drawingml/2006/picture">
                  <pic:nvPicPr>
                    <pic:cNvPr id="1336" name="問38_横棒南風原町障がい児童"/>
                    <pic:cNvPicPr>
                      <a:picLocks noChangeAspect="1" noChangeArrowheads="1"/>
                    </pic:cNvPicPr>
                  </pic:nvPicPr>
                  <pic:blipFill>
                    <a:blip r:embed="rId62"/>
                    <a:srcRect l="3278" t="9711" r="76" b="5254"/>
                    <a:stretch>
                      <a:fillRect/>
                    </a:stretch>
                  </pic:blipFill>
                  <pic:spPr>
                    <a:xfrm>
                      <a:off x="0" y="0"/>
                      <a:ext cx="5398135" cy="5138420"/>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rPr>
      </w:pPr>
      <w:r>
        <w:rPr>
          <w:rFonts w:hint="default"/>
        </w:rPr>
        <w:br w:type="page"/>
      </w:r>
    </w:p>
    <w:p>
      <w:pPr>
        <w:pStyle w:val="303"/>
        <w:spacing w:after="74" w:afterLines="0" w:afterAutospacing="0"/>
        <w:ind w:left="560"/>
        <w:rPr>
          <w:rFonts w:hint="default"/>
        </w:rPr>
      </w:pPr>
      <w:bookmarkStart w:id="462" w:name="_Toc496708305"/>
      <w:bookmarkStart w:id="463" w:name="_Toc52552185"/>
      <w:bookmarkStart w:id="464" w:name="_Toc52987385"/>
      <w:r>
        <w:rPr>
          <w:rFonts w:hint="eastAsia"/>
        </w:rPr>
        <w:t>９．差別や嫌な思いの経験</w:t>
      </w:r>
      <w:bookmarkEnd w:id="462"/>
      <w:bookmarkEnd w:id="463"/>
      <w:bookmarkEnd w:id="464"/>
    </w:p>
    <w:p>
      <w:pPr>
        <w:pStyle w:val="302"/>
        <w:rPr>
          <w:rFonts w:hint="default"/>
        </w:rPr>
      </w:pPr>
      <w:r>
        <w:rPr>
          <w:rFonts w:hint="eastAsia"/>
        </w:rPr>
        <w:t>●障がいがあることで、差別や嫌な思いをしたことは、「ある」が</w:t>
      </w:r>
      <w:r>
        <w:rPr>
          <w:rFonts w:hint="eastAsia"/>
        </w:rPr>
        <w:t>41.8</w:t>
      </w:r>
      <w:r>
        <w:rPr>
          <w:rFonts w:hint="eastAsia"/>
        </w:rPr>
        <w:t>％と４割近く経験がある。</w:t>
      </w:r>
    </w:p>
    <w:p>
      <w:pPr>
        <w:pStyle w:val="302"/>
        <w:ind w:left="876" w:hanging="204"/>
        <w:rPr>
          <w:rFonts w:hint="default"/>
        </w:rPr>
      </w:pPr>
      <w:r>
        <w:rPr>
          <w:rFonts w:hint="default"/>
        </w:rPr>
        <w:drawing>
          <wp:anchor distT="0" distB="0" distL="114300" distR="114300" simplePos="0" relativeHeight="256" behindDoc="0" locked="0" layoutInCell="1" hidden="0" allowOverlap="1">
            <wp:simplePos x="0" y="0"/>
            <wp:positionH relativeFrom="column">
              <wp:posOffset>2099310</wp:posOffset>
            </wp:positionH>
            <wp:positionV relativeFrom="paragraph">
              <wp:posOffset>134620</wp:posOffset>
            </wp:positionV>
            <wp:extent cx="2009775" cy="2238375"/>
            <wp:effectExtent l="0" t="0" r="0" b="0"/>
            <wp:wrapSquare wrapText="bothSides"/>
            <wp:docPr id="1337" name="問45_円南風原町障がい児童"/>
            <a:graphic xmlns:a="http://schemas.openxmlformats.org/drawingml/2006/main">
              <a:graphicData uri="http://schemas.openxmlformats.org/drawingml/2006/picture">
                <pic:pic xmlns:pic="http://schemas.openxmlformats.org/drawingml/2006/picture">
                  <pic:nvPicPr>
                    <pic:cNvPr id="1337" name="問45_円南風原町障がい児童"/>
                    <pic:cNvPicPr>
                      <a:picLocks noChangeAspect="1" noChangeArrowheads="1"/>
                    </pic:cNvPicPr>
                  </pic:nvPicPr>
                  <pic:blipFill>
                    <a:blip r:embed="rId63"/>
                    <a:srcRect l="23256" t="22212" r="17059" b="27815"/>
                    <a:stretch>
                      <a:fillRect/>
                    </a:stretch>
                  </pic:blipFill>
                  <pic:spPr>
                    <a:xfrm>
                      <a:off x="0" y="0"/>
                      <a:ext cx="2009775" cy="2238375"/>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r>
        <w:rPr>
          <w:rFonts w:hint="default"/>
        </w:rPr>
        <w:t xml:space="preserve"> </w:t>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3"/>
        <w:spacing w:after="74" w:afterLines="0" w:afterAutospacing="0"/>
        <w:ind w:left="560"/>
        <w:rPr>
          <w:rFonts w:hint="default"/>
        </w:rPr>
      </w:pPr>
      <w:bookmarkStart w:id="465" w:name="_Toc496708306"/>
      <w:bookmarkStart w:id="466" w:name="_Toc52552186"/>
      <w:bookmarkStart w:id="467" w:name="_Toc52987386"/>
      <w:r>
        <w:rPr>
          <w:rFonts w:hint="eastAsia"/>
        </w:rPr>
        <w:t>10</w:t>
      </w:r>
      <w:r>
        <w:rPr>
          <w:rFonts w:hint="eastAsia"/>
        </w:rPr>
        <w:t>．差別や嫌な思いをした場所</w:t>
      </w:r>
      <w:bookmarkEnd w:id="465"/>
      <w:bookmarkEnd w:id="466"/>
      <w:bookmarkEnd w:id="467"/>
    </w:p>
    <w:p>
      <w:pPr>
        <w:pStyle w:val="302"/>
        <w:rPr>
          <w:rFonts w:hint="default"/>
        </w:rPr>
      </w:pPr>
      <w:r>
        <w:rPr>
          <w:rFonts w:hint="eastAsia"/>
        </w:rPr>
        <w:t>●「学校」が</w:t>
      </w:r>
      <w:r>
        <w:rPr>
          <w:rFonts w:hint="eastAsia"/>
        </w:rPr>
        <w:t>43.8</w:t>
      </w:r>
      <w:r>
        <w:rPr>
          <w:rFonts w:hint="eastAsia"/>
        </w:rPr>
        <w:t>％と高く、次に「スーパー」が</w:t>
      </w:r>
      <w:r>
        <w:rPr>
          <w:rFonts w:hint="eastAsia"/>
        </w:rPr>
        <w:t>42.2</w:t>
      </w:r>
      <w:r>
        <w:rPr>
          <w:rFonts w:hint="eastAsia"/>
        </w:rPr>
        <w:t>％、「保育施設」が</w:t>
      </w:r>
      <w:r>
        <w:rPr>
          <w:rFonts w:hint="eastAsia"/>
        </w:rPr>
        <w:t>37.5</w:t>
      </w:r>
      <w:r>
        <w:rPr>
          <w:rFonts w:hint="eastAsia"/>
        </w:rPr>
        <w:t>％となる。そのほか、「病院」「公園」「飲食店」など多くの場所があがっている。</w:t>
      </w:r>
    </w:p>
    <w:p>
      <w:pPr>
        <w:pStyle w:val="302"/>
        <w:ind w:left="876" w:hanging="204"/>
        <w:rPr>
          <w:rFonts w:hint="default"/>
        </w:rPr>
      </w:pPr>
      <w:r>
        <w:rPr>
          <w:rFonts w:hint="default"/>
        </w:rPr>
        <w:drawing>
          <wp:anchor distT="0" distB="0" distL="114300" distR="114300" simplePos="0" relativeHeight="255" behindDoc="0" locked="0" layoutInCell="1" hidden="0" allowOverlap="1">
            <wp:simplePos x="0" y="0"/>
            <wp:positionH relativeFrom="column">
              <wp:posOffset>962660</wp:posOffset>
            </wp:positionH>
            <wp:positionV relativeFrom="paragraph">
              <wp:posOffset>88900</wp:posOffset>
            </wp:positionV>
            <wp:extent cx="4662805" cy="3848735"/>
            <wp:effectExtent l="0" t="0" r="0" b="0"/>
            <wp:wrapNone/>
            <wp:docPr id="1338" name="問46_横棒南風原町障がい児童"/>
            <a:graphic xmlns:a="http://schemas.openxmlformats.org/drawingml/2006/main">
              <a:graphicData uri="http://schemas.openxmlformats.org/drawingml/2006/picture">
                <pic:pic xmlns:pic="http://schemas.openxmlformats.org/drawingml/2006/picture">
                  <pic:nvPicPr>
                    <pic:cNvPr id="1338" name="問46_横棒南風原町障がい児童"/>
                    <pic:cNvPicPr>
                      <a:picLocks noChangeAspect="1" noChangeArrowheads="1"/>
                    </pic:cNvPicPr>
                  </pic:nvPicPr>
                  <pic:blipFill>
                    <a:blip r:embed="rId64"/>
                    <a:srcRect l="17473" t="11584" r="-957" b="6551"/>
                    <a:stretch>
                      <a:fillRect/>
                    </a:stretch>
                  </pic:blipFill>
                  <pic:spPr>
                    <a:xfrm>
                      <a:off x="0" y="0"/>
                      <a:ext cx="4662805" cy="3848735"/>
                    </a:xfrm>
                    <a:prstGeom prst="rect">
                      <a:avLst/>
                    </a:prstGeom>
                    <a:noFill/>
                    <a:ln>
                      <a:noFill/>
                    </a:ln>
                  </pic:spPr>
                </pic:pic>
              </a:graphicData>
            </a:graphic>
          </wp:anchor>
        </w:drawing>
      </w:r>
      <w:r>
        <w:rPr>
          <w:rFonts w:hint="default"/>
        </w:rPr>
        <w:t xml:space="preserve">  </w:t>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rPr>
      </w:pPr>
      <w:r>
        <w:rPr>
          <w:rFonts w:hint="default"/>
        </w:rPr>
        <w:br w:type="page"/>
      </w:r>
    </w:p>
    <w:p>
      <w:pPr>
        <w:pStyle w:val="303"/>
        <w:spacing w:after="74" w:afterLines="0" w:afterAutospacing="0"/>
        <w:ind w:left="560"/>
        <w:rPr>
          <w:rFonts w:hint="default"/>
        </w:rPr>
      </w:pPr>
      <w:bookmarkStart w:id="468" w:name="_Toc496708311"/>
      <w:bookmarkStart w:id="469" w:name="_Toc52552191"/>
      <w:bookmarkStart w:id="470" w:name="_Toc52987391"/>
      <w:r>
        <w:rPr>
          <w:rFonts w:hint="eastAsia"/>
        </w:rPr>
        <w:t>11</w:t>
      </w:r>
      <w:r>
        <w:rPr>
          <w:rFonts w:hint="eastAsia"/>
        </w:rPr>
        <w:t>．障害者差別解消法や合理的配慮の周知度</w:t>
      </w:r>
    </w:p>
    <w:p>
      <w:pPr>
        <w:pStyle w:val="302"/>
        <w:rPr>
          <w:rFonts w:hint="default"/>
        </w:rPr>
      </w:pPr>
      <w:r>
        <w:rPr>
          <w:rFonts w:hint="eastAsia"/>
        </w:rPr>
        <w:t>●障害者差別解消法について、「名称も内容も知っている」が</w:t>
      </w:r>
      <w:r>
        <w:rPr>
          <w:rFonts w:hint="eastAsia"/>
        </w:rPr>
        <w:t>9.2</w:t>
      </w:r>
      <w:r>
        <w:rPr>
          <w:rFonts w:hint="default"/>
        </w:rPr>
        <w:t>％となる。</w:t>
      </w:r>
    </w:p>
    <w:p>
      <w:pPr>
        <w:pStyle w:val="302"/>
        <w:rPr>
          <w:rFonts w:hint="default"/>
        </w:rPr>
      </w:pPr>
      <w:r>
        <w:rPr>
          <w:rFonts w:hint="default"/>
        </w:rPr>
        <w:t>●</w:t>
      </w:r>
      <w:r>
        <w:rPr>
          <w:rFonts w:hint="eastAsia"/>
        </w:rPr>
        <w:t>合理的配慮</w:t>
      </w:r>
      <w:r>
        <w:rPr>
          <w:rFonts w:hint="default"/>
        </w:rPr>
        <w:t>について、</w:t>
      </w:r>
      <w:r>
        <w:rPr>
          <w:rFonts w:hint="eastAsia"/>
        </w:rPr>
        <w:t>「名称も内容も知っている」が</w:t>
      </w:r>
      <w:r>
        <w:rPr>
          <w:rFonts w:hint="eastAsia"/>
        </w:rPr>
        <w:t>22.2</w:t>
      </w:r>
      <w:r>
        <w:rPr>
          <w:rFonts w:hint="default"/>
        </w:rPr>
        <w:t>％となる。</w:t>
      </w:r>
    </w:p>
    <w:p>
      <w:pPr>
        <w:pStyle w:val="302"/>
        <w:ind w:left="876" w:hanging="204"/>
        <w:rPr>
          <w:rFonts w:hint="default"/>
          <w:highlight w:val="green"/>
        </w:rPr>
      </w:pPr>
      <w:r>
        <w:rPr>
          <w:rFonts w:hint="default"/>
        </w:rPr>
        <w:drawing>
          <wp:anchor distT="0" distB="0" distL="114300" distR="114300" simplePos="0" relativeHeight="250" behindDoc="0" locked="1" layoutInCell="1" hidden="0" allowOverlap="1">
            <wp:simplePos x="0" y="0"/>
            <wp:positionH relativeFrom="column">
              <wp:posOffset>1049020</wp:posOffset>
            </wp:positionH>
            <wp:positionV relativeFrom="paragraph">
              <wp:posOffset>250190</wp:posOffset>
            </wp:positionV>
            <wp:extent cx="2410460" cy="2341245"/>
            <wp:effectExtent l="0" t="0" r="0" b="0"/>
            <wp:wrapSquare wrapText="bothSides"/>
            <wp:docPr id="1339" name="問43_円南風原町障がい児童"/>
            <a:graphic xmlns:a="http://schemas.openxmlformats.org/drawingml/2006/main">
              <a:graphicData uri="http://schemas.openxmlformats.org/drawingml/2006/picture">
                <pic:pic xmlns:pic="http://schemas.openxmlformats.org/drawingml/2006/picture">
                  <pic:nvPicPr>
                    <pic:cNvPr id="1339" name="問43_円南風原町障がい児童"/>
                    <pic:cNvPicPr>
                      <a:picLocks noChangeAspect="1" noChangeArrowheads="1"/>
                    </pic:cNvPicPr>
                  </pic:nvPicPr>
                  <pic:blipFill>
                    <a:blip r:embed="rId65"/>
                    <a:srcRect l="22276" t="20493" r="6117" b="27242"/>
                    <a:stretch>
                      <a:fillRect/>
                    </a:stretch>
                  </pic:blipFill>
                  <pic:spPr>
                    <a:xfrm>
                      <a:off x="0" y="0"/>
                      <a:ext cx="2410460" cy="2341245"/>
                    </a:xfrm>
                    <a:prstGeom prst="rect">
                      <a:avLst/>
                    </a:prstGeom>
                    <a:noFill/>
                    <a:ln>
                      <a:noFill/>
                    </a:ln>
                  </pic:spPr>
                </pic:pic>
              </a:graphicData>
            </a:graphic>
          </wp:anchor>
        </w:drawing>
      </w:r>
      <w:r>
        <w:rPr>
          <w:rFonts w:hint="default"/>
        </w:rPr>
        <w:drawing>
          <wp:anchor distT="0" distB="0" distL="114300" distR="114300" simplePos="0" relativeHeight="251" behindDoc="0" locked="1" layoutInCell="1" hidden="0" allowOverlap="1">
            <wp:simplePos x="0" y="0"/>
            <wp:positionH relativeFrom="column">
              <wp:posOffset>3459480</wp:posOffset>
            </wp:positionH>
            <wp:positionV relativeFrom="paragraph">
              <wp:posOffset>260985</wp:posOffset>
            </wp:positionV>
            <wp:extent cx="2458720" cy="2082800"/>
            <wp:effectExtent l="0" t="0" r="0" b="0"/>
            <wp:wrapSquare wrapText="bothSides"/>
            <wp:docPr id="1340" name="問44_円南風原町障がい児童"/>
            <a:graphic xmlns:a="http://schemas.openxmlformats.org/drawingml/2006/main">
              <a:graphicData uri="http://schemas.openxmlformats.org/drawingml/2006/picture">
                <pic:pic xmlns:pic="http://schemas.openxmlformats.org/drawingml/2006/picture">
                  <pic:nvPicPr>
                    <pic:cNvPr id="1340" name="問44_円南風原町障がい児童"/>
                    <pic:cNvPicPr>
                      <a:picLocks noChangeAspect="1" noChangeArrowheads="1"/>
                    </pic:cNvPicPr>
                  </pic:nvPicPr>
                  <pic:blipFill>
                    <a:blip r:embed="rId66"/>
                    <a:srcRect l="22276" t="21817" r="4707" b="31680"/>
                    <a:stretch>
                      <a:fillRect/>
                    </a:stretch>
                  </pic:blipFill>
                  <pic:spPr>
                    <a:xfrm>
                      <a:off x="0" y="0"/>
                      <a:ext cx="2458720" cy="2082800"/>
                    </a:xfrm>
                    <a:prstGeom prst="rect">
                      <a:avLst/>
                    </a:prstGeom>
                    <a:noFill/>
                    <a:ln>
                      <a:noFill/>
                    </a:ln>
                  </pic:spPr>
                </pic:pic>
              </a:graphicData>
            </a:graphic>
          </wp:anchor>
        </w:drawing>
      </w:r>
      <w:r>
        <w:rPr>
          <w:rFonts w:hint="default"/>
        </w:rPr>
        <mc:AlternateContent>
          <mc:Choice Requires="wps">
            <w:drawing>
              <wp:anchor distT="0" distB="0" distL="114300" distR="114300" simplePos="0" relativeHeight="326" behindDoc="0" locked="1" layoutInCell="1" hidden="0" allowOverlap="1">
                <wp:simplePos x="0" y="0"/>
                <wp:positionH relativeFrom="column">
                  <wp:posOffset>3489325</wp:posOffset>
                </wp:positionH>
                <wp:positionV relativeFrom="paragraph">
                  <wp:posOffset>19685</wp:posOffset>
                </wp:positionV>
                <wp:extent cx="1949450" cy="228600"/>
                <wp:effectExtent l="0" t="0" r="635" b="635"/>
                <wp:wrapNone/>
                <wp:docPr id="1341" name="テキスト ボックス 20"/>
                <a:graphic xmlns:a="http://schemas.openxmlformats.org/drawingml/2006/main">
                  <a:graphicData uri="http://schemas.microsoft.com/office/word/2010/wordprocessingShape">
                    <wps:wsp>
                      <wps:cNvPr id="1341" name="テキスト ボックス 20"/>
                      <wps:cNvSpPr txBox="1"/>
                      <wps:spPr>
                        <a:xfrm>
                          <a:off x="0" y="0"/>
                          <a:ext cx="19494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合理的配慮</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mso-wrap-distance-right:9pt;mso-wrap-distance-bottom:0pt;margin-top:1.55pt;mso-position-vertical-relative:text;mso-position-horizontal-relative:text;v-text-anchor:middle;position:absolute;height:18pt;mso-wrap-distance-top:0pt;width:153.5pt;mso-wrap-distance-left:9pt;margin-left:274.75pt;z-index:326;" o:spid="_x0000_s1341"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合理的配慮</w:t>
                      </w:r>
                    </w:p>
                  </w:txbxContent>
                </v:textbox>
                <v:imagedata o:title=""/>
                <w10:wrap type="none" anchorx="text" anchory="text"/>
                <w10:anchorlock/>
              </v:shape>
            </w:pict>
          </mc:Fallback>
        </mc:AlternateContent>
      </w:r>
      <w:r>
        <w:rPr>
          <w:rFonts w:hint="default"/>
        </w:rPr>
        <mc:AlternateContent>
          <mc:Choice Requires="wps">
            <w:drawing>
              <wp:anchor distT="0" distB="0" distL="114300" distR="114300" simplePos="0" relativeHeight="325" behindDoc="0" locked="1" layoutInCell="1" hidden="0" allowOverlap="1">
                <wp:simplePos x="0" y="0"/>
                <wp:positionH relativeFrom="column">
                  <wp:posOffset>1073785</wp:posOffset>
                </wp:positionH>
                <wp:positionV relativeFrom="paragraph">
                  <wp:posOffset>19685</wp:posOffset>
                </wp:positionV>
                <wp:extent cx="1949450" cy="228600"/>
                <wp:effectExtent l="0" t="0" r="635" b="635"/>
                <wp:wrapNone/>
                <wp:docPr id="1342" name="テキスト ボックス 20"/>
                <a:graphic xmlns:a="http://schemas.openxmlformats.org/drawingml/2006/main">
                  <a:graphicData uri="http://schemas.microsoft.com/office/word/2010/wordprocessingShape">
                    <wps:wsp>
                      <wps:cNvPr id="1342" name="テキスト ボックス 20"/>
                      <wps:cNvSpPr txBox="1"/>
                      <wps:spPr>
                        <a:xfrm>
                          <a:off x="0" y="0"/>
                          <a:ext cx="19494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障害者差別解消法</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mso-wrap-distance-right:9pt;mso-wrap-distance-bottom:0pt;margin-top:1.55pt;mso-position-vertical-relative:text;mso-position-horizontal-relative:text;v-text-anchor:middle;position:absolute;height:18pt;mso-wrap-distance-top:0pt;width:153.5pt;mso-wrap-distance-left:9pt;margin-left:84.55pt;z-index:325;" o:spid="_x0000_s1342" o:allowincell="t" o:allowoverlap="t" filled="f" stroked="f" strokeweight="0.5pt" o:spt="202" type="#_x0000_t202">
                <v:fill/>
                <v:textbox style="layout-flow:horizontal;" inset="0mm,0mm,0mm,0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障害者差別解消法</w:t>
                      </w:r>
                    </w:p>
                  </w:txbxContent>
                </v:textbox>
                <v:imagedata o:title=""/>
                <w10:wrap type="none" anchorx="text" anchory="text"/>
                <w10:anchorlock/>
              </v:shape>
            </w:pict>
          </mc:Fallback>
        </mc:AlternateContent>
      </w: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2"/>
        <w:rPr>
          <w:rFonts w:hint="default"/>
          <w:highlight w:val="green"/>
        </w:rPr>
      </w:pPr>
    </w:p>
    <w:p>
      <w:pPr>
        <w:pStyle w:val="303"/>
        <w:spacing w:after="74" w:afterLines="0" w:afterAutospacing="0"/>
        <w:ind w:left="560"/>
        <w:rPr>
          <w:rFonts w:hint="default"/>
        </w:rPr>
      </w:pPr>
      <w:r>
        <w:rPr>
          <w:rFonts w:hint="eastAsia"/>
        </w:rPr>
        <w:t>12</w:t>
      </w:r>
      <w:r>
        <w:rPr>
          <w:rFonts w:hint="eastAsia"/>
        </w:rPr>
        <w:t>．南風原町の暮らしやすさ</w:t>
      </w:r>
      <w:bookmarkEnd w:id="468"/>
      <w:bookmarkEnd w:id="469"/>
      <w:bookmarkEnd w:id="470"/>
    </w:p>
    <w:p>
      <w:pPr>
        <w:pStyle w:val="302"/>
        <w:rPr>
          <w:rFonts w:hint="default"/>
        </w:rPr>
      </w:pPr>
      <w:r>
        <w:rPr>
          <w:rFonts w:hint="eastAsia"/>
        </w:rPr>
        <w:t>●南風原町は暮らしやすいと「思う」が</w:t>
      </w:r>
      <w:r>
        <w:rPr>
          <w:rFonts w:hint="eastAsia"/>
        </w:rPr>
        <w:t>75.8</w:t>
      </w:r>
      <w:r>
        <w:rPr>
          <w:rFonts w:hint="eastAsia"/>
        </w:rPr>
        <w:t>％と最も高い。</w:t>
      </w:r>
    </w:p>
    <w:p>
      <w:pPr>
        <w:pStyle w:val="302"/>
        <w:rPr>
          <w:rFonts w:hint="default"/>
        </w:rPr>
      </w:pPr>
      <w:r>
        <w:rPr>
          <w:rFonts w:hint="eastAsia"/>
        </w:rPr>
        <w:t>●「あまり思わない」が</w:t>
      </w:r>
      <w:r>
        <w:rPr>
          <w:rFonts w:hint="eastAsia"/>
        </w:rPr>
        <w:t>5.2</w:t>
      </w:r>
      <w:r>
        <w:rPr>
          <w:rFonts w:hint="eastAsia"/>
        </w:rPr>
        <w:t>％、「よくわからない」が</w:t>
      </w:r>
      <w:r>
        <w:rPr>
          <w:rFonts w:hint="eastAsia"/>
        </w:rPr>
        <w:t>18.3</w:t>
      </w:r>
      <w:r>
        <w:rPr>
          <w:rFonts w:hint="eastAsia"/>
        </w:rPr>
        <w:t>％となる。</w:t>
      </w:r>
    </w:p>
    <w:p>
      <w:pPr>
        <w:pStyle w:val="302"/>
        <w:ind w:left="876" w:hanging="204"/>
        <w:rPr>
          <w:rFonts w:hint="default"/>
        </w:rPr>
      </w:pPr>
      <w:r>
        <w:rPr>
          <w:rFonts w:hint="default"/>
        </w:rPr>
        <w:drawing>
          <wp:anchor distT="0" distB="0" distL="114300" distR="114300" simplePos="0" relativeHeight="254" behindDoc="0" locked="0" layoutInCell="1" hidden="0" allowOverlap="1">
            <wp:simplePos x="0" y="0"/>
            <wp:positionH relativeFrom="column">
              <wp:posOffset>1993265</wp:posOffset>
            </wp:positionH>
            <wp:positionV relativeFrom="paragraph">
              <wp:posOffset>118745</wp:posOffset>
            </wp:positionV>
            <wp:extent cx="2371725" cy="2343150"/>
            <wp:effectExtent l="0" t="0" r="0" b="0"/>
            <wp:wrapSquare wrapText="bothSides"/>
            <wp:docPr id="1343" name="問50_円南風原町障がい児童"/>
            <a:graphic xmlns:a="http://schemas.openxmlformats.org/drawingml/2006/main">
              <a:graphicData uri="http://schemas.openxmlformats.org/drawingml/2006/picture">
                <pic:pic xmlns:pic="http://schemas.openxmlformats.org/drawingml/2006/picture">
                  <pic:nvPicPr>
                    <pic:cNvPr id="1343" name="問50_円南風原町障がい児童"/>
                    <pic:cNvPicPr>
                      <a:picLocks noChangeAspect="1" noChangeArrowheads="1"/>
                    </pic:cNvPicPr>
                  </pic:nvPicPr>
                  <pic:blipFill>
                    <a:blip r:embed="rId67"/>
                    <a:srcRect l="11285" t="18172" r="18283" b="29523"/>
                    <a:stretch>
                      <a:fillRect/>
                    </a:stretch>
                  </pic:blipFill>
                  <pic:spPr>
                    <a:xfrm>
                      <a:off x="0" y="0"/>
                      <a:ext cx="2371725" cy="2343150"/>
                    </a:xfrm>
                    <a:prstGeom prst="rect">
                      <a:avLst/>
                    </a:prstGeom>
                    <a:noFill/>
                    <a:ln>
                      <a:noFill/>
                    </a:ln>
                  </pic:spPr>
                </pic:pic>
              </a:graphicData>
            </a:graphic>
          </wp:anchor>
        </w:drawing>
      </w:r>
    </w:p>
    <w:p>
      <w:pPr>
        <w:pStyle w:val="302"/>
        <w:rPr>
          <w:rFonts w:hint="default"/>
        </w:rPr>
      </w:pPr>
      <w:r>
        <w:rPr>
          <w:rFonts w:hint="default"/>
        </w:rPr>
        <w:t xml:space="preserve"> </w:t>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0"/>
        <w:widowControl w:val="1"/>
        <w:jc w:val="left"/>
        <w:rPr>
          <w:rFonts w:hint="default" w:ascii="ＭＳ ゴシック" w:hAnsi="ＭＳ ゴシック" w:eastAsia="ＭＳ ゴシック"/>
          <w:spacing w:val="-4"/>
          <w:sz w:val="20"/>
        </w:rPr>
      </w:pPr>
      <w:bookmarkStart w:id="471" w:name="_Toc496708312"/>
      <w:bookmarkStart w:id="472" w:name="_Toc52552192"/>
      <w:bookmarkStart w:id="473" w:name="_Toc52987392"/>
      <w:r>
        <w:rPr>
          <w:rFonts w:hint="default"/>
        </w:rPr>
        <w:br w:type="page"/>
      </w:r>
    </w:p>
    <w:p>
      <w:pPr>
        <w:pStyle w:val="303"/>
        <w:spacing w:after="74" w:afterLines="0" w:afterAutospacing="0"/>
        <w:ind w:left="560"/>
        <w:rPr>
          <w:rFonts w:hint="default"/>
        </w:rPr>
      </w:pPr>
      <w:r>
        <w:rPr>
          <w:rFonts w:hint="eastAsia"/>
        </w:rPr>
        <w:t>13</w:t>
      </w:r>
      <w:r>
        <w:rPr>
          <w:rFonts w:hint="eastAsia"/>
        </w:rPr>
        <w:t>．地域の障がいのある子に対する理解の深まり</w:t>
      </w:r>
      <w:bookmarkEnd w:id="471"/>
      <w:bookmarkEnd w:id="472"/>
      <w:bookmarkEnd w:id="473"/>
    </w:p>
    <w:p>
      <w:pPr>
        <w:pStyle w:val="302"/>
        <w:rPr>
          <w:rFonts w:hint="default"/>
        </w:rPr>
      </w:pPr>
      <w:r>
        <w:rPr>
          <w:rFonts w:hint="eastAsia"/>
        </w:rPr>
        <w:t>●５年前と比べて障がいのある児童に対する、地域の理解・認識は「深まっていると思う」が</w:t>
      </w:r>
      <w:r>
        <w:rPr>
          <w:rFonts w:hint="eastAsia"/>
        </w:rPr>
        <w:t>26.5</w:t>
      </w:r>
      <w:r>
        <w:rPr>
          <w:rFonts w:hint="eastAsia"/>
        </w:rPr>
        <w:t>％となる。</w:t>
      </w:r>
      <w:r>
        <w:rPr>
          <w:rFonts w:hint="eastAsia"/>
        </w:rPr>
        <w:t>(</w:t>
      </w:r>
      <w:r>
        <w:rPr>
          <w:rFonts w:hint="eastAsia"/>
        </w:rPr>
        <w:t>就学後の児童の保護者に対する質問</w:t>
      </w:r>
      <w:r>
        <w:rPr>
          <w:rFonts w:hint="eastAsia"/>
        </w:rPr>
        <w:t>)</w:t>
      </w:r>
    </w:p>
    <w:p>
      <w:pPr>
        <w:pStyle w:val="302"/>
        <w:rPr>
          <w:rFonts w:hint="default"/>
        </w:rPr>
      </w:pPr>
    </w:p>
    <w:p>
      <w:pPr>
        <w:pStyle w:val="302"/>
        <w:ind w:left="876" w:hanging="204"/>
        <w:rPr>
          <w:rFonts w:hint="default"/>
        </w:rPr>
      </w:pPr>
      <w:r>
        <w:rPr>
          <w:rFonts w:hint="default"/>
        </w:rPr>
        <w:drawing>
          <wp:anchor distT="0" distB="0" distL="114300" distR="114300" simplePos="0" relativeHeight="253" behindDoc="0" locked="0" layoutInCell="1" hidden="0" allowOverlap="1">
            <wp:simplePos x="0" y="0"/>
            <wp:positionH relativeFrom="column">
              <wp:posOffset>2251710</wp:posOffset>
            </wp:positionH>
            <wp:positionV relativeFrom="paragraph">
              <wp:posOffset>74295</wp:posOffset>
            </wp:positionV>
            <wp:extent cx="2113280" cy="2085340"/>
            <wp:effectExtent l="0" t="0" r="0" b="0"/>
            <wp:wrapSquare wrapText="bothSides"/>
            <wp:docPr id="1344" name="問51_円南風原町障がい児童"/>
            <a:graphic xmlns:a="http://schemas.openxmlformats.org/drawingml/2006/main">
              <a:graphicData uri="http://schemas.openxmlformats.org/drawingml/2006/picture">
                <pic:pic xmlns:pic="http://schemas.openxmlformats.org/drawingml/2006/picture">
                  <pic:nvPicPr>
                    <pic:cNvPr id="1344" name="問51_円南風原町障がい児童"/>
                    <pic:cNvPicPr>
                      <a:picLocks noChangeAspect="1" noChangeArrowheads="1"/>
                    </pic:cNvPicPr>
                  </pic:nvPicPr>
                  <pic:blipFill>
                    <a:blip r:embed="rId68"/>
                    <a:srcRect l="22882" t="25072" r="14362" b="28371"/>
                    <a:stretch>
                      <a:fillRect/>
                    </a:stretch>
                  </pic:blipFill>
                  <pic:spPr>
                    <a:xfrm>
                      <a:off x="0" y="0"/>
                      <a:ext cx="2113280" cy="2085340"/>
                    </a:xfrm>
                    <a:prstGeom prst="rect">
                      <a:avLst/>
                    </a:prstGeom>
                    <a:noFill/>
                    <a:ln>
                      <a:noFill/>
                    </a:ln>
                  </pic:spPr>
                </pic:pic>
              </a:graphicData>
            </a:graphic>
          </wp:anchor>
        </w:drawing>
      </w: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p>
    <w:p>
      <w:pPr>
        <w:pStyle w:val="302"/>
        <w:rPr>
          <w:rFonts w:hint="default"/>
        </w:rPr>
      </w:pPr>
      <w:bookmarkEnd w:id="436"/>
    </w:p>
    <w:p>
      <w:pPr>
        <w:pStyle w:val="121"/>
        <w:ind w:left="897" w:leftChars="400"/>
        <w:rPr>
          <w:rFonts w:hint="default"/>
        </w:rPr>
      </w:pPr>
    </w:p>
    <w:p>
      <w:pPr>
        <w:pStyle w:val="0"/>
        <w:widowControl w:val="1"/>
        <w:spacing w:after="160" w:afterLines="0" w:afterAutospacing="0" w:line="259" w:lineRule="auto"/>
        <w:jc w:val="left"/>
        <w:rPr>
          <w:rFonts w:hint="eastAsia" w:ascii="HGｺﾞｼｯｸM" w:hAnsi="HGｺﾞｼｯｸM" w:eastAsia="ＭＳ ゴシック"/>
          <w:sz w:val="26"/>
        </w:rPr>
      </w:pPr>
      <w:r>
        <w:rPr>
          <w:rFonts w:hint="default"/>
        </w:rPr>
        <w:br w:type="page"/>
      </w:r>
    </w:p>
    <w:p>
      <w:pPr>
        <w:pStyle w:val="119"/>
        <w:spacing w:after="370" w:afterLines="0" w:afterAutospacing="0"/>
        <w:rPr>
          <w:rFonts w:hint="eastAsia"/>
        </w:rPr>
      </w:pPr>
      <w:bookmarkStart w:id="474" w:name="_Toc162263693"/>
      <w:r>
        <w:rPr>
          <w:rFonts w:hint="eastAsia"/>
        </w:rPr>
        <w:t>■</w:t>
      </w:r>
      <w:bookmarkEnd w:id="373"/>
      <w:bookmarkEnd w:id="374"/>
      <w:bookmarkEnd w:id="375"/>
      <w:r>
        <w:rPr>
          <w:rFonts w:hint="eastAsia"/>
        </w:rPr>
        <w:t>南風原町障がい者計画策定委員会設置条例</w:t>
      </w:r>
      <w:bookmarkEnd w:id="474"/>
    </w:p>
    <w:p>
      <w:pPr>
        <w:pStyle w:val="0"/>
        <w:autoSpaceDE w:val="0"/>
        <w:autoSpaceDN w:val="0"/>
        <w:adjustRightInd w:val="0"/>
        <w:spacing w:line="400" w:lineRule="exact"/>
        <w:ind w:left="220"/>
        <w:jc w:val="right"/>
        <w:textAlignment w:val="center"/>
        <w:rPr>
          <w:rFonts w:hint="default"/>
          <w:color w:val="000000"/>
          <w:kern w:val="0"/>
        </w:rPr>
      </w:pPr>
      <w:r>
        <w:rPr>
          <w:rFonts w:hint="eastAsia"/>
          <w:color w:val="000000"/>
          <w:kern w:val="0"/>
        </w:rPr>
        <w:t>平成</w:t>
      </w:r>
      <w:r>
        <w:rPr>
          <w:rFonts w:hint="default"/>
          <w:color w:val="000000"/>
          <w:kern w:val="0"/>
        </w:rPr>
        <w:t>19</w:t>
      </w:r>
      <w:r>
        <w:rPr>
          <w:rFonts w:hint="default"/>
          <w:color w:val="000000"/>
          <w:kern w:val="0"/>
        </w:rPr>
        <w:t>年</w:t>
      </w:r>
      <w:r>
        <w:rPr>
          <w:rFonts w:hint="default"/>
          <w:color w:val="000000"/>
          <w:kern w:val="0"/>
        </w:rPr>
        <w:t>10</w:t>
      </w:r>
      <w:r>
        <w:rPr>
          <w:rFonts w:hint="default"/>
          <w:color w:val="000000"/>
          <w:kern w:val="0"/>
        </w:rPr>
        <w:t>月１日条例第</w:t>
      </w:r>
      <w:r>
        <w:rPr>
          <w:rFonts w:hint="default"/>
          <w:color w:val="000000"/>
          <w:kern w:val="0"/>
        </w:rPr>
        <w:t>21</w:t>
      </w:r>
      <w:r>
        <w:rPr>
          <w:rFonts w:hint="default"/>
          <w:color w:val="000000"/>
          <w:kern w:val="0"/>
        </w:rPr>
        <w:t>号</w:t>
      </w:r>
    </w:p>
    <w:p>
      <w:pPr>
        <w:pStyle w:val="0"/>
        <w:autoSpaceDE w:val="0"/>
        <w:autoSpaceDN w:val="0"/>
        <w:adjustRightInd w:val="0"/>
        <w:spacing w:line="400" w:lineRule="exact"/>
        <w:ind w:left="224" w:leftChars="100"/>
        <w:textAlignment w:val="center"/>
        <w:rPr>
          <w:rFonts w:hint="default"/>
          <w:color w:val="000000"/>
          <w:kern w:val="0"/>
        </w:rPr>
      </w:pPr>
      <w:r>
        <w:rPr>
          <w:rFonts w:hint="eastAsia"/>
          <w:color w:val="000000"/>
          <w:kern w:val="0"/>
        </w:rPr>
        <w:t>（設置）</w:t>
      </w:r>
    </w:p>
    <w:p>
      <w:pPr>
        <w:pStyle w:val="0"/>
        <w:autoSpaceDE w:val="0"/>
        <w:autoSpaceDN w:val="0"/>
        <w:adjustRightInd w:val="0"/>
        <w:spacing w:line="400" w:lineRule="exact"/>
        <w:ind w:left="224" w:hanging="224" w:hangingChars="100"/>
        <w:textAlignment w:val="center"/>
        <w:rPr>
          <w:rFonts w:hint="default"/>
          <w:color w:val="000000"/>
          <w:kern w:val="0"/>
        </w:rPr>
      </w:pPr>
      <w:r>
        <w:rPr>
          <w:rFonts w:hint="eastAsia"/>
          <w:color w:val="000000"/>
          <w:kern w:val="0"/>
        </w:rPr>
        <w:t>第１条　地方自治法（昭和</w:t>
      </w:r>
      <w:r>
        <w:rPr>
          <w:rFonts w:hint="default"/>
          <w:color w:val="000000"/>
          <w:kern w:val="0"/>
        </w:rPr>
        <w:t>22</w:t>
      </w:r>
      <w:r>
        <w:rPr>
          <w:rFonts w:hint="default"/>
          <w:color w:val="000000"/>
          <w:kern w:val="0"/>
        </w:rPr>
        <w:t>年法律第</w:t>
      </w:r>
      <w:r>
        <w:rPr>
          <w:rFonts w:hint="default"/>
          <w:color w:val="000000"/>
          <w:kern w:val="0"/>
        </w:rPr>
        <w:t>67</w:t>
      </w:r>
      <w:r>
        <w:rPr>
          <w:rFonts w:hint="default"/>
          <w:color w:val="000000"/>
          <w:kern w:val="0"/>
        </w:rPr>
        <w:t>号）第</w:t>
      </w:r>
      <w:r>
        <w:rPr>
          <w:rFonts w:hint="default"/>
          <w:color w:val="000000"/>
          <w:kern w:val="0"/>
        </w:rPr>
        <w:t>138</w:t>
      </w:r>
      <w:r>
        <w:rPr>
          <w:rFonts w:hint="default"/>
          <w:color w:val="000000"/>
          <w:kern w:val="0"/>
        </w:rPr>
        <w:t>条の４第３項の規定に基づき、南風原町障がい者計画策定委員会（以下「委員会」という。）を設置する。</w:t>
      </w:r>
    </w:p>
    <w:p>
      <w:pPr>
        <w:pStyle w:val="0"/>
        <w:autoSpaceDE w:val="0"/>
        <w:autoSpaceDN w:val="0"/>
        <w:adjustRightInd w:val="0"/>
        <w:spacing w:line="400" w:lineRule="exact"/>
        <w:ind w:left="224" w:leftChars="100"/>
        <w:textAlignment w:val="center"/>
        <w:rPr>
          <w:rFonts w:hint="default"/>
          <w:color w:val="000000"/>
          <w:kern w:val="0"/>
        </w:rPr>
      </w:pPr>
      <w:r>
        <w:rPr>
          <w:rFonts w:hint="eastAsia"/>
          <w:color w:val="000000"/>
          <w:kern w:val="0"/>
        </w:rPr>
        <w:t>（任務）</w:t>
      </w:r>
    </w:p>
    <w:p>
      <w:pPr>
        <w:pStyle w:val="0"/>
        <w:autoSpaceDE w:val="0"/>
        <w:autoSpaceDN w:val="0"/>
        <w:adjustRightInd w:val="0"/>
        <w:spacing w:line="400" w:lineRule="exact"/>
        <w:ind w:left="224" w:hanging="224" w:hangingChars="100"/>
        <w:textAlignment w:val="center"/>
        <w:rPr>
          <w:rFonts w:hint="default"/>
          <w:color w:val="000000"/>
          <w:kern w:val="0"/>
        </w:rPr>
      </w:pPr>
      <w:r>
        <w:rPr>
          <w:rFonts w:hint="eastAsia"/>
          <w:color w:val="000000"/>
          <w:kern w:val="0"/>
        </w:rPr>
        <w:t>第２条　委員会は、町長の諮問に応じて、次に掲げる事項を審議する。</w:t>
      </w:r>
    </w:p>
    <w:p>
      <w:pPr>
        <w:pStyle w:val="0"/>
        <w:autoSpaceDE w:val="0"/>
        <w:autoSpaceDN w:val="0"/>
        <w:adjustRightInd w:val="0"/>
        <w:spacing w:line="400" w:lineRule="exact"/>
        <w:ind w:left="448" w:leftChars="100" w:hanging="224" w:hangingChars="100"/>
        <w:textAlignment w:val="center"/>
        <w:rPr>
          <w:rFonts w:hint="default"/>
          <w:color w:val="000000"/>
          <w:kern w:val="0"/>
        </w:rPr>
      </w:pPr>
      <w:r>
        <w:rPr>
          <w:rFonts w:hint="default"/>
          <w:color w:val="000000"/>
          <w:kern w:val="0"/>
        </w:rPr>
        <w:t>(</w:t>
      </w:r>
      <w:r>
        <w:rPr>
          <w:rFonts w:hint="default"/>
          <w:color w:val="000000"/>
          <w:kern w:val="0"/>
        </w:rPr>
        <w:t>１</w:t>
      </w:r>
      <w:r>
        <w:rPr>
          <w:rFonts w:hint="default"/>
          <w:color w:val="000000"/>
          <w:kern w:val="0"/>
        </w:rPr>
        <w:t>)</w:t>
      </w:r>
      <w:r>
        <w:rPr>
          <w:rFonts w:hint="default"/>
          <w:color w:val="000000"/>
          <w:kern w:val="0"/>
        </w:rPr>
        <w:t>　障がい者計画の策定に関すること。</w:t>
      </w:r>
    </w:p>
    <w:p>
      <w:pPr>
        <w:pStyle w:val="0"/>
        <w:autoSpaceDE w:val="0"/>
        <w:autoSpaceDN w:val="0"/>
        <w:adjustRightInd w:val="0"/>
        <w:spacing w:line="400" w:lineRule="exact"/>
        <w:ind w:left="448" w:leftChars="100" w:hanging="224" w:hangingChars="100"/>
        <w:textAlignment w:val="center"/>
        <w:rPr>
          <w:rFonts w:hint="default"/>
          <w:color w:val="000000"/>
          <w:kern w:val="0"/>
        </w:rPr>
      </w:pPr>
      <w:r>
        <w:rPr>
          <w:rFonts w:hint="default"/>
          <w:color w:val="000000"/>
          <w:kern w:val="0"/>
        </w:rPr>
        <w:t>(</w:t>
      </w:r>
      <w:r>
        <w:rPr>
          <w:rFonts w:hint="default"/>
          <w:color w:val="000000"/>
          <w:kern w:val="0"/>
        </w:rPr>
        <w:t>２</w:t>
      </w:r>
      <w:r>
        <w:rPr>
          <w:rFonts w:hint="default"/>
          <w:color w:val="000000"/>
          <w:kern w:val="0"/>
        </w:rPr>
        <w:t>)</w:t>
      </w:r>
      <w:r>
        <w:rPr>
          <w:rFonts w:hint="default"/>
          <w:color w:val="000000"/>
          <w:kern w:val="0"/>
        </w:rPr>
        <w:t>　その他障がい者計画の策定に係る必要な事項に関すること。</w:t>
      </w:r>
    </w:p>
    <w:p>
      <w:pPr>
        <w:pStyle w:val="0"/>
        <w:autoSpaceDE w:val="0"/>
        <w:autoSpaceDN w:val="0"/>
        <w:adjustRightInd w:val="0"/>
        <w:spacing w:line="400" w:lineRule="exact"/>
        <w:ind w:left="224" w:leftChars="100"/>
        <w:textAlignment w:val="center"/>
        <w:rPr>
          <w:rFonts w:hint="default"/>
          <w:color w:val="000000"/>
          <w:kern w:val="0"/>
        </w:rPr>
      </w:pPr>
      <w:r>
        <w:rPr>
          <w:rFonts w:hint="eastAsia"/>
          <w:color w:val="000000"/>
          <w:kern w:val="0"/>
        </w:rPr>
        <w:t>（組織）</w:t>
      </w:r>
    </w:p>
    <w:p>
      <w:pPr>
        <w:pStyle w:val="0"/>
        <w:autoSpaceDE w:val="0"/>
        <w:autoSpaceDN w:val="0"/>
        <w:adjustRightInd w:val="0"/>
        <w:spacing w:line="400" w:lineRule="exact"/>
        <w:ind w:left="224" w:hanging="224" w:hangingChars="100"/>
        <w:textAlignment w:val="center"/>
        <w:rPr>
          <w:rFonts w:hint="default"/>
          <w:color w:val="000000"/>
          <w:kern w:val="0"/>
        </w:rPr>
      </w:pPr>
      <w:r>
        <w:rPr>
          <w:rFonts w:hint="eastAsia"/>
          <w:color w:val="000000"/>
          <w:kern w:val="0"/>
        </w:rPr>
        <w:t>第３条　委員会は</w:t>
      </w:r>
      <w:r>
        <w:rPr>
          <w:rFonts w:hint="default"/>
          <w:color w:val="000000"/>
          <w:kern w:val="0"/>
        </w:rPr>
        <w:t>10</w:t>
      </w:r>
      <w:r>
        <w:rPr>
          <w:rFonts w:hint="default"/>
          <w:color w:val="000000"/>
          <w:kern w:val="0"/>
        </w:rPr>
        <w:t>人以内をもって組織する。</w:t>
      </w:r>
    </w:p>
    <w:p>
      <w:pPr>
        <w:pStyle w:val="0"/>
        <w:autoSpaceDE w:val="0"/>
        <w:autoSpaceDN w:val="0"/>
        <w:adjustRightInd w:val="0"/>
        <w:spacing w:line="400" w:lineRule="exact"/>
        <w:ind w:left="224" w:hanging="224" w:hangingChars="100"/>
        <w:textAlignment w:val="center"/>
        <w:rPr>
          <w:rFonts w:hint="default"/>
          <w:color w:val="000000"/>
          <w:kern w:val="0"/>
        </w:rPr>
      </w:pPr>
      <w:r>
        <w:rPr>
          <w:rFonts w:hint="eastAsia"/>
          <w:color w:val="000000"/>
          <w:kern w:val="0"/>
        </w:rPr>
        <w:t>２　委員は、次に掲げる者のうちから、町長が委嘱する。</w:t>
      </w:r>
    </w:p>
    <w:p>
      <w:pPr>
        <w:pStyle w:val="0"/>
        <w:autoSpaceDE w:val="0"/>
        <w:autoSpaceDN w:val="0"/>
        <w:adjustRightInd w:val="0"/>
        <w:spacing w:line="400" w:lineRule="exact"/>
        <w:ind w:left="448" w:leftChars="100" w:hanging="224" w:hangingChars="100"/>
        <w:textAlignment w:val="center"/>
        <w:rPr>
          <w:rFonts w:hint="default"/>
          <w:color w:val="000000"/>
          <w:kern w:val="0"/>
        </w:rPr>
      </w:pPr>
      <w:r>
        <w:rPr>
          <w:rFonts w:hint="default"/>
          <w:color w:val="000000"/>
          <w:kern w:val="0"/>
        </w:rPr>
        <w:t>(</w:t>
      </w:r>
      <w:r>
        <w:rPr>
          <w:rFonts w:hint="default"/>
          <w:color w:val="000000"/>
          <w:kern w:val="0"/>
        </w:rPr>
        <w:t>１</w:t>
      </w:r>
      <w:r>
        <w:rPr>
          <w:rFonts w:hint="default"/>
          <w:color w:val="000000"/>
          <w:kern w:val="0"/>
        </w:rPr>
        <w:t>)</w:t>
      </w:r>
      <w:r>
        <w:rPr>
          <w:rFonts w:hint="default"/>
          <w:color w:val="000000"/>
          <w:kern w:val="0"/>
        </w:rPr>
        <w:t>　識者</w:t>
      </w:r>
    </w:p>
    <w:p>
      <w:pPr>
        <w:pStyle w:val="0"/>
        <w:autoSpaceDE w:val="0"/>
        <w:autoSpaceDN w:val="0"/>
        <w:adjustRightInd w:val="0"/>
        <w:spacing w:line="400" w:lineRule="exact"/>
        <w:ind w:left="448" w:leftChars="100" w:hanging="224" w:hangingChars="100"/>
        <w:textAlignment w:val="center"/>
        <w:rPr>
          <w:rFonts w:hint="default"/>
          <w:color w:val="000000"/>
          <w:kern w:val="0"/>
        </w:rPr>
      </w:pPr>
      <w:r>
        <w:rPr>
          <w:rFonts w:hint="default"/>
          <w:color w:val="000000"/>
          <w:kern w:val="0"/>
        </w:rPr>
        <w:t>(</w:t>
      </w:r>
      <w:r>
        <w:rPr>
          <w:rFonts w:hint="default"/>
          <w:color w:val="000000"/>
          <w:kern w:val="0"/>
        </w:rPr>
        <w:t>２</w:t>
      </w:r>
      <w:r>
        <w:rPr>
          <w:rFonts w:hint="default"/>
          <w:color w:val="000000"/>
          <w:kern w:val="0"/>
        </w:rPr>
        <w:t>)</w:t>
      </w:r>
      <w:r>
        <w:rPr>
          <w:rFonts w:hint="default"/>
          <w:color w:val="000000"/>
          <w:kern w:val="0"/>
        </w:rPr>
        <w:t>　関係行政機関の職員</w:t>
      </w:r>
    </w:p>
    <w:p>
      <w:pPr>
        <w:pStyle w:val="0"/>
        <w:autoSpaceDE w:val="0"/>
        <w:autoSpaceDN w:val="0"/>
        <w:adjustRightInd w:val="0"/>
        <w:spacing w:line="400" w:lineRule="exact"/>
        <w:ind w:left="448" w:leftChars="100" w:hanging="224" w:hangingChars="100"/>
        <w:textAlignment w:val="center"/>
        <w:rPr>
          <w:rFonts w:hint="default"/>
          <w:color w:val="000000"/>
          <w:kern w:val="0"/>
        </w:rPr>
      </w:pPr>
      <w:r>
        <w:rPr>
          <w:rFonts w:hint="default"/>
          <w:color w:val="000000"/>
          <w:kern w:val="0"/>
        </w:rPr>
        <w:t>(</w:t>
      </w:r>
      <w:r>
        <w:rPr>
          <w:rFonts w:hint="default"/>
          <w:color w:val="000000"/>
          <w:kern w:val="0"/>
        </w:rPr>
        <w:t>３</w:t>
      </w:r>
      <w:r>
        <w:rPr>
          <w:rFonts w:hint="default"/>
          <w:color w:val="000000"/>
          <w:kern w:val="0"/>
        </w:rPr>
        <w:t>)</w:t>
      </w:r>
      <w:r>
        <w:rPr>
          <w:rFonts w:hint="default"/>
          <w:color w:val="000000"/>
          <w:kern w:val="0"/>
        </w:rPr>
        <w:t>　障がい者</w:t>
      </w:r>
    </w:p>
    <w:p>
      <w:pPr>
        <w:pStyle w:val="0"/>
        <w:autoSpaceDE w:val="0"/>
        <w:autoSpaceDN w:val="0"/>
        <w:adjustRightInd w:val="0"/>
        <w:spacing w:line="400" w:lineRule="exact"/>
        <w:ind w:left="448" w:leftChars="100" w:hanging="224" w:hangingChars="100"/>
        <w:textAlignment w:val="center"/>
        <w:rPr>
          <w:rFonts w:hint="default"/>
          <w:color w:val="000000"/>
          <w:kern w:val="0"/>
        </w:rPr>
      </w:pPr>
      <w:r>
        <w:rPr>
          <w:rFonts w:hint="default"/>
          <w:color w:val="000000"/>
          <w:kern w:val="0"/>
        </w:rPr>
        <w:t>(</w:t>
      </w:r>
      <w:r>
        <w:rPr>
          <w:rFonts w:hint="default"/>
          <w:color w:val="000000"/>
          <w:kern w:val="0"/>
        </w:rPr>
        <w:t>４</w:t>
      </w:r>
      <w:r>
        <w:rPr>
          <w:rFonts w:hint="default"/>
          <w:color w:val="000000"/>
          <w:kern w:val="0"/>
        </w:rPr>
        <w:t>)</w:t>
      </w:r>
      <w:r>
        <w:rPr>
          <w:rFonts w:hint="default"/>
          <w:color w:val="000000"/>
          <w:kern w:val="0"/>
        </w:rPr>
        <w:t>　障がい者の福祉に関する事業に従事する者</w:t>
      </w:r>
    </w:p>
    <w:p>
      <w:pPr>
        <w:pStyle w:val="0"/>
        <w:autoSpaceDE w:val="0"/>
        <w:autoSpaceDN w:val="0"/>
        <w:adjustRightInd w:val="0"/>
        <w:spacing w:line="400" w:lineRule="exact"/>
        <w:ind w:left="448" w:leftChars="100" w:hanging="224" w:hangingChars="100"/>
        <w:textAlignment w:val="center"/>
        <w:rPr>
          <w:rFonts w:hint="default"/>
          <w:color w:val="000000"/>
          <w:kern w:val="0"/>
        </w:rPr>
      </w:pPr>
      <w:r>
        <w:rPr>
          <w:rFonts w:hint="default"/>
          <w:color w:val="000000"/>
          <w:kern w:val="0"/>
        </w:rPr>
        <w:t>(</w:t>
      </w:r>
      <w:r>
        <w:rPr>
          <w:rFonts w:hint="default"/>
          <w:color w:val="000000"/>
          <w:kern w:val="0"/>
        </w:rPr>
        <w:t>５</w:t>
      </w:r>
      <w:r>
        <w:rPr>
          <w:rFonts w:hint="default"/>
          <w:color w:val="000000"/>
          <w:kern w:val="0"/>
        </w:rPr>
        <w:t>)</w:t>
      </w:r>
      <w:r>
        <w:rPr>
          <w:rFonts w:hint="default"/>
          <w:color w:val="000000"/>
          <w:kern w:val="0"/>
        </w:rPr>
        <w:t>　その他町長が必要と認める者</w:t>
      </w:r>
    </w:p>
    <w:p>
      <w:pPr>
        <w:pStyle w:val="0"/>
        <w:autoSpaceDE w:val="0"/>
        <w:autoSpaceDN w:val="0"/>
        <w:adjustRightInd w:val="0"/>
        <w:spacing w:line="400" w:lineRule="exact"/>
        <w:ind w:left="224" w:leftChars="100"/>
        <w:textAlignment w:val="center"/>
        <w:rPr>
          <w:rFonts w:hint="default"/>
          <w:color w:val="000000"/>
          <w:kern w:val="0"/>
        </w:rPr>
      </w:pPr>
      <w:r>
        <w:rPr>
          <w:rFonts w:hint="eastAsia"/>
          <w:color w:val="000000"/>
          <w:kern w:val="0"/>
        </w:rPr>
        <w:t>（任期）</w:t>
      </w:r>
    </w:p>
    <w:p>
      <w:pPr>
        <w:pStyle w:val="0"/>
        <w:autoSpaceDE w:val="0"/>
        <w:autoSpaceDN w:val="0"/>
        <w:adjustRightInd w:val="0"/>
        <w:spacing w:line="400" w:lineRule="exact"/>
        <w:ind w:left="224" w:hanging="224" w:hangingChars="100"/>
        <w:textAlignment w:val="center"/>
        <w:rPr>
          <w:rFonts w:hint="default"/>
          <w:color w:val="000000"/>
          <w:kern w:val="0"/>
        </w:rPr>
      </w:pPr>
      <w:r>
        <w:rPr>
          <w:rFonts w:hint="eastAsia"/>
          <w:color w:val="000000"/>
          <w:kern w:val="0"/>
        </w:rPr>
        <w:t>第４条　委員の任期は１年とする。ただし、委員が欠けた場合の補欠委員の任期は、前任者の残任期間とする。</w:t>
      </w:r>
    </w:p>
    <w:p>
      <w:pPr>
        <w:pStyle w:val="0"/>
        <w:autoSpaceDE w:val="0"/>
        <w:autoSpaceDN w:val="0"/>
        <w:adjustRightInd w:val="0"/>
        <w:spacing w:line="400" w:lineRule="exact"/>
        <w:ind w:left="224" w:leftChars="100"/>
        <w:textAlignment w:val="center"/>
        <w:rPr>
          <w:rFonts w:hint="default"/>
          <w:color w:val="000000"/>
          <w:kern w:val="0"/>
        </w:rPr>
      </w:pPr>
      <w:r>
        <w:rPr>
          <w:rFonts w:hint="eastAsia"/>
          <w:color w:val="000000"/>
          <w:kern w:val="0"/>
        </w:rPr>
        <w:t>（会長及び副会長）</w:t>
      </w:r>
    </w:p>
    <w:p>
      <w:pPr>
        <w:pStyle w:val="0"/>
        <w:autoSpaceDE w:val="0"/>
        <w:autoSpaceDN w:val="0"/>
        <w:adjustRightInd w:val="0"/>
        <w:spacing w:line="400" w:lineRule="exact"/>
        <w:ind w:left="224" w:hanging="224" w:hangingChars="100"/>
        <w:textAlignment w:val="center"/>
        <w:rPr>
          <w:rFonts w:hint="default"/>
          <w:color w:val="000000"/>
          <w:kern w:val="0"/>
        </w:rPr>
      </w:pPr>
      <w:r>
        <w:rPr>
          <w:rFonts w:hint="eastAsia"/>
          <w:color w:val="000000"/>
          <w:kern w:val="0"/>
        </w:rPr>
        <w:t>第５条　委員会に会長及び副会長を置き、委員の互選によってこれを定める。</w:t>
      </w:r>
    </w:p>
    <w:p>
      <w:pPr>
        <w:pStyle w:val="0"/>
        <w:autoSpaceDE w:val="0"/>
        <w:autoSpaceDN w:val="0"/>
        <w:adjustRightInd w:val="0"/>
        <w:spacing w:line="400" w:lineRule="exact"/>
        <w:ind w:left="224" w:hanging="224" w:hangingChars="100"/>
        <w:textAlignment w:val="center"/>
        <w:rPr>
          <w:rFonts w:hint="default"/>
          <w:color w:val="000000"/>
          <w:kern w:val="0"/>
        </w:rPr>
      </w:pPr>
      <w:r>
        <w:rPr>
          <w:rFonts w:hint="eastAsia"/>
          <w:color w:val="000000"/>
          <w:kern w:val="0"/>
        </w:rPr>
        <w:t>２　会長は、委員会を統括する。</w:t>
      </w:r>
    </w:p>
    <w:p>
      <w:pPr>
        <w:pStyle w:val="0"/>
        <w:autoSpaceDE w:val="0"/>
        <w:autoSpaceDN w:val="0"/>
        <w:adjustRightInd w:val="0"/>
        <w:spacing w:line="400" w:lineRule="exact"/>
        <w:ind w:left="224" w:hanging="224" w:hangingChars="100"/>
        <w:textAlignment w:val="center"/>
        <w:rPr>
          <w:rFonts w:hint="default"/>
          <w:color w:val="000000"/>
          <w:kern w:val="0"/>
        </w:rPr>
      </w:pPr>
      <w:r>
        <w:rPr>
          <w:rFonts w:hint="eastAsia"/>
          <w:color w:val="000000"/>
          <w:kern w:val="0"/>
        </w:rPr>
        <w:t>３　副会長は、会長を補佐し、会長に事故あるときは、その職務を代理する。</w:t>
      </w:r>
    </w:p>
    <w:p>
      <w:pPr>
        <w:pStyle w:val="0"/>
        <w:autoSpaceDE w:val="0"/>
        <w:autoSpaceDN w:val="0"/>
        <w:adjustRightInd w:val="0"/>
        <w:spacing w:line="400" w:lineRule="exact"/>
        <w:ind w:left="224" w:leftChars="100"/>
        <w:textAlignment w:val="center"/>
        <w:rPr>
          <w:rFonts w:hint="default"/>
          <w:color w:val="000000"/>
          <w:kern w:val="0"/>
        </w:rPr>
      </w:pPr>
      <w:r>
        <w:rPr>
          <w:rFonts w:hint="eastAsia"/>
          <w:color w:val="000000"/>
          <w:kern w:val="0"/>
        </w:rPr>
        <w:t>（会議）</w:t>
      </w:r>
    </w:p>
    <w:p>
      <w:pPr>
        <w:pStyle w:val="0"/>
        <w:autoSpaceDE w:val="0"/>
        <w:autoSpaceDN w:val="0"/>
        <w:adjustRightInd w:val="0"/>
        <w:spacing w:line="400" w:lineRule="exact"/>
        <w:ind w:left="224" w:hanging="224" w:hangingChars="100"/>
        <w:textAlignment w:val="center"/>
        <w:rPr>
          <w:rFonts w:hint="default"/>
          <w:color w:val="000000"/>
          <w:kern w:val="0"/>
        </w:rPr>
      </w:pPr>
      <w:r>
        <w:rPr>
          <w:rFonts w:hint="eastAsia"/>
          <w:color w:val="000000"/>
          <w:kern w:val="0"/>
        </w:rPr>
        <w:t>第６条　委員会の会議は、必要に応じて会長が招集し、議長となる。</w:t>
      </w:r>
    </w:p>
    <w:p>
      <w:pPr>
        <w:pStyle w:val="0"/>
        <w:autoSpaceDE w:val="0"/>
        <w:autoSpaceDN w:val="0"/>
        <w:adjustRightInd w:val="0"/>
        <w:spacing w:line="400" w:lineRule="exact"/>
        <w:ind w:left="224" w:leftChars="100"/>
        <w:textAlignment w:val="center"/>
        <w:rPr>
          <w:rFonts w:hint="default"/>
          <w:color w:val="000000"/>
          <w:kern w:val="0"/>
        </w:rPr>
      </w:pPr>
      <w:r>
        <w:rPr>
          <w:rFonts w:hint="eastAsia"/>
          <w:color w:val="000000"/>
          <w:kern w:val="0"/>
        </w:rPr>
        <w:t>（庶務）</w:t>
      </w:r>
    </w:p>
    <w:p>
      <w:pPr>
        <w:pStyle w:val="0"/>
        <w:autoSpaceDE w:val="0"/>
        <w:autoSpaceDN w:val="0"/>
        <w:adjustRightInd w:val="0"/>
        <w:spacing w:line="400" w:lineRule="exact"/>
        <w:ind w:left="224" w:hanging="224" w:hangingChars="100"/>
        <w:textAlignment w:val="center"/>
        <w:rPr>
          <w:rFonts w:hint="default"/>
          <w:color w:val="000000"/>
          <w:kern w:val="0"/>
        </w:rPr>
      </w:pPr>
      <w:r>
        <w:rPr>
          <w:rFonts w:hint="eastAsia"/>
          <w:color w:val="000000"/>
          <w:kern w:val="0"/>
        </w:rPr>
        <w:t>第７条　委員会の庶務は、民生部保健福祉課において処理する。</w:t>
      </w:r>
    </w:p>
    <w:p>
      <w:pPr>
        <w:pStyle w:val="0"/>
        <w:autoSpaceDE w:val="0"/>
        <w:autoSpaceDN w:val="0"/>
        <w:adjustRightInd w:val="0"/>
        <w:spacing w:line="400" w:lineRule="exact"/>
        <w:ind w:left="224" w:leftChars="100"/>
        <w:textAlignment w:val="center"/>
        <w:rPr>
          <w:rFonts w:hint="default"/>
          <w:color w:val="000000"/>
          <w:kern w:val="0"/>
        </w:rPr>
      </w:pPr>
      <w:r>
        <w:rPr>
          <w:rFonts w:hint="eastAsia"/>
          <w:color w:val="000000"/>
          <w:kern w:val="0"/>
        </w:rPr>
        <w:t>（委任）</w:t>
      </w:r>
    </w:p>
    <w:p>
      <w:pPr>
        <w:pStyle w:val="0"/>
        <w:autoSpaceDE w:val="0"/>
        <w:autoSpaceDN w:val="0"/>
        <w:adjustRightInd w:val="0"/>
        <w:spacing w:line="400" w:lineRule="exact"/>
        <w:ind w:left="224" w:hanging="224" w:hangingChars="100"/>
        <w:textAlignment w:val="center"/>
        <w:rPr>
          <w:rFonts w:hint="default"/>
          <w:color w:val="000000"/>
          <w:kern w:val="0"/>
        </w:rPr>
      </w:pPr>
      <w:r>
        <w:rPr>
          <w:rFonts w:hint="eastAsia"/>
          <w:color w:val="000000"/>
          <w:kern w:val="0"/>
        </w:rPr>
        <w:t>第８条　この条例に定めるもののほか、必要な事項は別に定める。</w:t>
      </w:r>
    </w:p>
    <w:p>
      <w:pPr>
        <w:pStyle w:val="0"/>
        <w:autoSpaceDE w:val="0"/>
        <w:autoSpaceDN w:val="0"/>
        <w:adjustRightInd w:val="0"/>
        <w:spacing w:line="400" w:lineRule="exact"/>
        <w:ind w:left="224" w:hanging="224" w:hangingChars="100"/>
        <w:textAlignment w:val="center"/>
        <w:rPr>
          <w:rFonts w:hint="default"/>
          <w:color w:val="000000"/>
          <w:kern w:val="0"/>
        </w:rPr>
      </w:pPr>
    </w:p>
    <w:p>
      <w:pPr>
        <w:pStyle w:val="0"/>
        <w:autoSpaceDE w:val="0"/>
        <w:autoSpaceDN w:val="0"/>
        <w:adjustRightInd w:val="0"/>
        <w:spacing w:line="400" w:lineRule="exact"/>
        <w:ind w:left="672" w:leftChars="300"/>
        <w:textAlignment w:val="center"/>
        <w:rPr>
          <w:rFonts w:hint="default"/>
          <w:color w:val="000000"/>
          <w:kern w:val="0"/>
        </w:rPr>
      </w:pPr>
      <w:r>
        <w:rPr>
          <w:rFonts w:hint="eastAsia"/>
          <w:color w:val="000000"/>
          <w:kern w:val="0"/>
        </w:rPr>
        <w:t>附　則</w:t>
      </w:r>
    </w:p>
    <w:p>
      <w:pPr>
        <w:pStyle w:val="0"/>
        <w:autoSpaceDE w:val="0"/>
        <w:autoSpaceDN w:val="0"/>
        <w:adjustRightInd w:val="0"/>
        <w:spacing w:line="400" w:lineRule="exact"/>
        <w:ind w:left="448" w:leftChars="100" w:hanging="224" w:hangingChars="100"/>
        <w:textAlignment w:val="center"/>
        <w:rPr>
          <w:rFonts w:hint="default"/>
          <w:color w:val="000000"/>
          <w:kern w:val="0"/>
        </w:rPr>
      </w:pPr>
      <w:r>
        <w:rPr>
          <w:rFonts w:hint="eastAsia"/>
          <w:color w:val="000000"/>
          <w:kern w:val="0"/>
        </w:rPr>
        <w:t>この条例は、公布の日から施行する。</w:t>
      </w:r>
    </w:p>
    <w:p>
      <w:pPr>
        <w:pStyle w:val="0"/>
        <w:autoSpaceDE w:val="0"/>
        <w:autoSpaceDN w:val="0"/>
        <w:adjustRightInd w:val="0"/>
        <w:spacing w:line="400" w:lineRule="exact"/>
        <w:ind w:left="448" w:leftChars="100" w:hanging="224" w:hangingChars="100"/>
        <w:textAlignment w:val="center"/>
        <w:rPr>
          <w:rFonts w:hint="default"/>
          <w:color w:val="000000"/>
          <w:kern w:val="0"/>
        </w:rPr>
      </w:pPr>
    </w:p>
    <w:p>
      <w:pPr>
        <w:pStyle w:val="0"/>
        <w:widowControl w:val="1"/>
        <w:jc w:val="left"/>
        <w:rPr>
          <w:rFonts w:hint="default"/>
          <w:color w:val="000000" w:themeColor="text1"/>
        </w:rPr>
      </w:pPr>
      <w:r>
        <w:rPr>
          <w:rFonts w:hint="default"/>
          <w:color w:val="000000" w:themeColor="text1"/>
        </w:rPr>
        <w:br w:type="page"/>
      </w:r>
    </w:p>
    <w:p>
      <w:pPr>
        <w:pStyle w:val="119"/>
        <w:spacing w:after="370" w:afterLines="0" w:afterAutospacing="0"/>
        <w:rPr>
          <w:rFonts w:hint="eastAsia"/>
        </w:rPr>
      </w:pPr>
      <w:bookmarkStart w:id="475" w:name="_Toc416340587"/>
      <w:bookmarkStart w:id="476" w:name="_Toc508986512"/>
      <w:bookmarkStart w:id="477" w:name="_Toc66449970"/>
      <w:bookmarkStart w:id="478" w:name="_Toc162263694"/>
      <w:r>
        <w:rPr>
          <w:rFonts w:hint="eastAsia"/>
        </w:rPr>
        <w:t>■</w:t>
      </w:r>
      <w:bookmarkEnd w:id="475"/>
      <w:bookmarkEnd w:id="476"/>
      <w:bookmarkEnd w:id="477"/>
      <w:r>
        <w:rPr>
          <w:rFonts w:hint="eastAsia"/>
        </w:rPr>
        <w:t>南風原町障がい者計画策定委員会委員名簿</w:t>
      </w:r>
      <w:bookmarkEnd w:id="478"/>
    </w:p>
    <w:p>
      <w:pPr>
        <w:pStyle w:val="0"/>
        <w:ind w:left="224" w:leftChars="100" w:firstLine="224" w:firstLineChars="100"/>
        <w:rPr>
          <w:rFonts w:hint="default"/>
          <w:color w:val="000000" w:themeColor="text1"/>
        </w:rPr>
      </w:pPr>
    </w:p>
    <w:tbl>
      <w:tblPr>
        <w:tblStyle w:val="11"/>
        <w:tblW w:w="0" w:type="auto"/>
        <w:jc w:val="center"/>
        <w:tblInd w:w="0" w:type="dxa"/>
        <w:tblLayout w:type="fixed"/>
        <w:tblCellMar>
          <w:left w:w="99" w:type="dxa"/>
          <w:right w:w="99" w:type="dxa"/>
        </w:tblCellMar>
        <w:tblLook w:firstRow="1" w:lastRow="0" w:firstColumn="1" w:lastColumn="0" w:noHBand="0" w:noVBand="1" w:val="04A0"/>
      </w:tblPr>
      <w:tblGrid>
        <w:gridCol w:w="425"/>
        <w:gridCol w:w="1702"/>
        <w:gridCol w:w="3827"/>
        <w:gridCol w:w="2410"/>
        <w:gridCol w:w="992"/>
      </w:tblGrid>
      <w:tr>
        <w:trPr>
          <w:trHeight w:val="550" w:hRule="atLeast"/>
        </w:trPr>
        <w:tc>
          <w:tcPr>
            <w:tcW w:w="4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ＭＳ ゴシック" w:hAnsi="ＭＳ ゴシック" w:eastAsia="ＭＳ ゴシック"/>
                <w:color w:val="000000"/>
                <w:w w:val="90"/>
                <w:kern w:val="0"/>
              </w:rPr>
            </w:pPr>
          </w:p>
        </w:tc>
        <w:tc>
          <w:tcPr>
            <w:tcW w:w="170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氏名</w:t>
            </w:r>
          </w:p>
        </w:tc>
        <w:tc>
          <w:tcPr>
            <w:tcW w:w="38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所属団体</w:t>
            </w:r>
          </w:p>
        </w:tc>
        <w:tc>
          <w:tcPr>
            <w:tcW w:w="24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分野</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備考</w:t>
            </w:r>
          </w:p>
        </w:tc>
      </w:tr>
      <w:tr>
        <w:trPr>
          <w:trHeight w:val="729" w:hRule="atLeast"/>
        </w:trPr>
        <w:tc>
          <w:tcPr>
            <w:tcW w:w="4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default" w:ascii="ＭＳ ゴシック" w:hAnsi="ＭＳ ゴシック" w:eastAsia="ＭＳ ゴシック"/>
                <w:color w:val="000000"/>
                <w:kern w:val="0"/>
              </w:rPr>
              <w:t>1</w:t>
            </w:r>
          </w:p>
        </w:tc>
        <w:tc>
          <w:tcPr>
            <w:tcW w:w="170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島袋　康史</w:t>
            </w:r>
          </w:p>
        </w:tc>
        <w:tc>
          <w:tcPr>
            <w:tcW w:w="38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社会福祉法人</w:t>
            </w:r>
          </w:p>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南風原町社会福祉協議会</w:t>
            </w:r>
          </w:p>
        </w:tc>
        <w:tc>
          <w:tcPr>
            <w:tcW w:w="24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障がい者の福祉事業に従事する者</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会長</w:t>
            </w:r>
          </w:p>
        </w:tc>
      </w:tr>
      <w:tr>
        <w:trPr>
          <w:trHeight w:val="729" w:hRule="atLeast"/>
        </w:trPr>
        <w:tc>
          <w:tcPr>
            <w:tcW w:w="4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default" w:ascii="ＭＳ ゴシック" w:hAnsi="ＭＳ ゴシック" w:eastAsia="ＭＳ ゴシック"/>
                <w:color w:val="000000"/>
                <w:kern w:val="0"/>
              </w:rPr>
              <w:t>2</w:t>
            </w:r>
          </w:p>
        </w:tc>
        <w:tc>
          <w:tcPr>
            <w:tcW w:w="170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金城　則文</w:t>
            </w:r>
          </w:p>
        </w:tc>
        <w:tc>
          <w:tcPr>
            <w:tcW w:w="38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南風原町身体障害者福祉会</w:t>
            </w:r>
          </w:p>
        </w:tc>
        <w:tc>
          <w:tcPr>
            <w:tcW w:w="24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町民（当事者）</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副会長</w:t>
            </w:r>
          </w:p>
        </w:tc>
      </w:tr>
      <w:tr>
        <w:trPr>
          <w:trHeight w:val="729" w:hRule="atLeast"/>
        </w:trPr>
        <w:tc>
          <w:tcPr>
            <w:tcW w:w="4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default" w:ascii="ＭＳ ゴシック" w:hAnsi="ＭＳ ゴシック" w:eastAsia="ＭＳ ゴシック"/>
                <w:color w:val="000000"/>
                <w:kern w:val="0"/>
              </w:rPr>
              <w:t>3</w:t>
            </w:r>
          </w:p>
        </w:tc>
        <w:tc>
          <w:tcPr>
            <w:tcW w:w="170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安里　慶子</w:t>
            </w:r>
          </w:p>
        </w:tc>
        <w:tc>
          <w:tcPr>
            <w:tcW w:w="38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南風原町手をつなぐ育成会</w:t>
            </w:r>
          </w:p>
        </w:tc>
        <w:tc>
          <w:tcPr>
            <w:tcW w:w="24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町民（町長が必要と認める者）</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ind w:left="-45" w:leftChars="-20" w:right="-45" w:rightChars="-20"/>
              <w:jc w:val="left"/>
              <w:rPr>
                <w:rFonts w:hint="default" w:ascii="ＭＳ ゴシック" w:hAnsi="ＭＳ ゴシック" w:eastAsia="ＭＳ ゴシック"/>
                <w:color w:val="000000"/>
                <w:w w:val="85"/>
                <w:kern w:val="0"/>
              </w:rPr>
            </w:pPr>
          </w:p>
        </w:tc>
      </w:tr>
      <w:tr>
        <w:trPr>
          <w:trHeight w:val="729" w:hRule="atLeast"/>
        </w:trPr>
        <w:tc>
          <w:tcPr>
            <w:tcW w:w="4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default" w:ascii="ＭＳ ゴシック" w:hAnsi="ＭＳ ゴシック" w:eastAsia="ＭＳ ゴシック"/>
                <w:color w:val="000000"/>
                <w:kern w:val="0"/>
              </w:rPr>
              <w:t>4</w:t>
            </w:r>
          </w:p>
        </w:tc>
        <w:tc>
          <w:tcPr>
            <w:tcW w:w="170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當眞　裕子</w:t>
            </w:r>
          </w:p>
        </w:tc>
        <w:tc>
          <w:tcPr>
            <w:tcW w:w="38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てるしの家族友の会</w:t>
            </w:r>
          </w:p>
        </w:tc>
        <w:tc>
          <w:tcPr>
            <w:tcW w:w="24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町民（町長が必要と認める者）</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ind w:left="-45" w:leftChars="-20" w:right="-45" w:rightChars="-20"/>
              <w:jc w:val="left"/>
              <w:rPr>
                <w:rFonts w:hint="default" w:ascii="ＭＳ ゴシック" w:hAnsi="ＭＳ ゴシック" w:eastAsia="ＭＳ ゴシック"/>
                <w:color w:val="000000"/>
                <w:w w:val="85"/>
                <w:kern w:val="0"/>
              </w:rPr>
            </w:pPr>
          </w:p>
        </w:tc>
      </w:tr>
      <w:tr>
        <w:trPr>
          <w:trHeight w:val="729" w:hRule="atLeast"/>
        </w:trPr>
        <w:tc>
          <w:tcPr>
            <w:tcW w:w="4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default" w:ascii="ＭＳ ゴシック" w:hAnsi="ＭＳ ゴシック" w:eastAsia="ＭＳ ゴシック"/>
                <w:color w:val="000000"/>
                <w:kern w:val="0"/>
              </w:rPr>
              <w:t>5</w:t>
            </w:r>
          </w:p>
        </w:tc>
        <w:tc>
          <w:tcPr>
            <w:tcW w:w="170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金城　美根子</w:t>
            </w:r>
          </w:p>
        </w:tc>
        <w:tc>
          <w:tcPr>
            <w:tcW w:w="38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南風原町民生委員・児童委員連合会</w:t>
            </w:r>
          </w:p>
        </w:tc>
        <w:tc>
          <w:tcPr>
            <w:tcW w:w="24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障がい者の福祉事業に従事する者</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ind w:left="-45" w:leftChars="-20" w:right="-45" w:rightChars="-20"/>
              <w:jc w:val="left"/>
              <w:rPr>
                <w:rFonts w:hint="default" w:ascii="ＭＳ ゴシック" w:hAnsi="ＭＳ ゴシック" w:eastAsia="ＭＳ ゴシック"/>
                <w:color w:val="000000"/>
                <w:w w:val="85"/>
                <w:kern w:val="0"/>
              </w:rPr>
            </w:pPr>
          </w:p>
        </w:tc>
      </w:tr>
      <w:tr>
        <w:trPr>
          <w:trHeight w:val="729" w:hRule="atLeast"/>
        </w:trPr>
        <w:tc>
          <w:tcPr>
            <w:tcW w:w="4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default" w:ascii="ＭＳ ゴシック" w:hAnsi="ＭＳ ゴシック" w:eastAsia="ＭＳ ゴシック"/>
                <w:color w:val="000000"/>
                <w:kern w:val="0"/>
              </w:rPr>
              <w:t>6</w:t>
            </w:r>
          </w:p>
        </w:tc>
        <w:tc>
          <w:tcPr>
            <w:tcW w:w="170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﨑村　正徳</w:t>
            </w:r>
          </w:p>
        </w:tc>
        <w:tc>
          <w:tcPr>
            <w:tcW w:w="38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社会福祉法人　育成福祉会</w:t>
            </w:r>
          </w:p>
        </w:tc>
        <w:tc>
          <w:tcPr>
            <w:tcW w:w="24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障がい者の福祉事業に従事する者</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ind w:left="-45" w:leftChars="-20" w:right="-45" w:rightChars="-20"/>
              <w:jc w:val="left"/>
              <w:rPr>
                <w:rFonts w:hint="default" w:ascii="ＭＳ ゴシック" w:hAnsi="ＭＳ ゴシック" w:eastAsia="ＭＳ ゴシック"/>
                <w:color w:val="000000"/>
                <w:w w:val="85"/>
                <w:kern w:val="0"/>
              </w:rPr>
            </w:pPr>
          </w:p>
        </w:tc>
      </w:tr>
      <w:tr>
        <w:trPr>
          <w:trHeight w:val="729" w:hRule="atLeast"/>
        </w:trPr>
        <w:tc>
          <w:tcPr>
            <w:tcW w:w="4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default" w:ascii="ＭＳ ゴシック" w:hAnsi="ＭＳ ゴシック" w:eastAsia="ＭＳ ゴシック"/>
                <w:color w:val="000000"/>
                <w:kern w:val="0"/>
              </w:rPr>
              <w:t>7</w:t>
            </w:r>
          </w:p>
        </w:tc>
        <w:tc>
          <w:tcPr>
            <w:tcW w:w="170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eastAsia" w:ascii="ＭＳ ゴシック" w:hAnsi="ＭＳ ゴシック" w:eastAsia="ＭＳ ゴシック"/>
                <w:kern w:val="0"/>
              </w:rPr>
              <w:t>兼濱</w:t>
            </w:r>
            <w:r>
              <w:rPr>
                <w:rFonts w:hint="eastAsia" w:ascii="ＭＳ ゴシック" w:hAnsi="ＭＳ ゴシック" w:eastAsia="ＭＳ ゴシック"/>
                <w:color w:val="000000"/>
                <w:kern w:val="0"/>
              </w:rPr>
              <w:t>　克弥</w:t>
            </w:r>
          </w:p>
        </w:tc>
        <w:tc>
          <w:tcPr>
            <w:tcW w:w="38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公益社団法人</w:t>
            </w:r>
          </w:p>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沖縄県精神保健福祉連合会</w:t>
            </w:r>
          </w:p>
        </w:tc>
        <w:tc>
          <w:tcPr>
            <w:tcW w:w="24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障がい者の福祉事業に従事する者</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ind w:left="-45" w:leftChars="-20" w:right="-45" w:rightChars="-20"/>
              <w:jc w:val="left"/>
              <w:rPr>
                <w:rFonts w:hint="default" w:ascii="ＭＳ ゴシック" w:hAnsi="ＭＳ ゴシック" w:eastAsia="ＭＳ ゴシック"/>
                <w:color w:val="000000"/>
                <w:w w:val="85"/>
                <w:kern w:val="0"/>
              </w:rPr>
            </w:pPr>
          </w:p>
        </w:tc>
      </w:tr>
      <w:tr>
        <w:trPr>
          <w:trHeight w:val="729" w:hRule="atLeast"/>
        </w:trPr>
        <w:tc>
          <w:tcPr>
            <w:tcW w:w="4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default" w:ascii="ＭＳ ゴシック" w:hAnsi="ＭＳ ゴシック" w:eastAsia="ＭＳ ゴシック"/>
                <w:color w:val="000000"/>
                <w:kern w:val="0"/>
              </w:rPr>
              <w:t>8</w:t>
            </w:r>
          </w:p>
        </w:tc>
        <w:tc>
          <w:tcPr>
            <w:tcW w:w="170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金城　愛</w:t>
            </w:r>
          </w:p>
        </w:tc>
        <w:tc>
          <w:tcPr>
            <w:tcW w:w="38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こどもセンターゆいまわる</w:t>
            </w:r>
          </w:p>
        </w:tc>
        <w:tc>
          <w:tcPr>
            <w:tcW w:w="24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障がい者の福祉事業に従事する者</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ind w:left="-45" w:leftChars="-20" w:right="-45" w:rightChars="-20"/>
              <w:jc w:val="left"/>
              <w:rPr>
                <w:rFonts w:hint="default" w:ascii="ＭＳ ゴシック" w:hAnsi="ＭＳ ゴシック" w:eastAsia="ＭＳ ゴシック"/>
                <w:color w:val="000000"/>
                <w:w w:val="85"/>
                <w:kern w:val="0"/>
              </w:rPr>
            </w:pPr>
          </w:p>
        </w:tc>
      </w:tr>
      <w:tr>
        <w:trPr>
          <w:trHeight w:val="729" w:hRule="atLeast"/>
        </w:trPr>
        <w:tc>
          <w:tcPr>
            <w:tcW w:w="4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default" w:ascii="ＭＳ ゴシック" w:hAnsi="ＭＳ ゴシック" w:eastAsia="ＭＳ ゴシック"/>
                <w:color w:val="000000"/>
                <w:kern w:val="0"/>
              </w:rPr>
              <w:t>9</w:t>
            </w:r>
          </w:p>
        </w:tc>
        <w:tc>
          <w:tcPr>
            <w:tcW w:w="170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宮城　堅子</w:t>
            </w:r>
          </w:p>
        </w:tc>
        <w:tc>
          <w:tcPr>
            <w:tcW w:w="38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まちの相談室ぽの</w:t>
            </w:r>
          </w:p>
        </w:tc>
        <w:tc>
          <w:tcPr>
            <w:tcW w:w="24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障がい者の福祉事業に従事する者</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ind w:left="-45" w:leftChars="-20" w:right="-45" w:rightChars="-20"/>
              <w:jc w:val="left"/>
              <w:rPr>
                <w:rFonts w:hint="default" w:ascii="ＭＳ ゴシック" w:hAnsi="ＭＳ ゴシック" w:eastAsia="ＭＳ ゴシック"/>
                <w:color w:val="000000"/>
                <w:w w:val="85"/>
                <w:kern w:val="0"/>
              </w:rPr>
            </w:pPr>
          </w:p>
        </w:tc>
      </w:tr>
    </w:tbl>
    <w:p>
      <w:pPr>
        <w:pStyle w:val="0"/>
        <w:widowControl w:val="1"/>
        <w:jc w:val="left"/>
        <w:rPr>
          <w:rFonts w:hint="default"/>
          <w:color w:val="000000" w:themeColor="text1"/>
        </w:rPr>
      </w:pPr>
      <w:r>
        <w:rPr>
          <w:rFonts w:hint="default"/>
          <w:color w:val="000000" w:themeColor="text1"/>
        </w:rPr>
        <w:br w:type="page"/>
      </w:r>
    </w:p>
    <w:p>
      <w:pPr>
        <w:pStyle w:val="119"/>
        <w:spacing w:after="370" w:afterLines="0" w:afterAutospacing="0"/>
        <w:rPr>
          <w:rFonts w:hint="eastAsia"/>
          <w:w w:val="76"/>
        </w:rPr>
      </w:pPr>
      <w:bookmarkStart w:id="479" w:name="_Toc162263695"/>
      <w:bookmarkStart w:id="480" w:name="_Toc66449971"/>
      <w:r>
        <w:rPr>
          <w:rFonts w:hint="default"/>
        </w:rPr>
        <w:drawing>
          <wp:anchor distT="0" distB="0" distL="114300" distR="114300" simplePos="0" relativeHeight="248" behindDoc="0" locked="0" layoutInCell="1" hidden="0" allowOverlap="1">
            <wp:simplePos x="0" y="0"/>
            <wp:positionH relativeFrom="column">
              <wp:posOffset>-709295</wp:posOffset>
            </wp:positionH>
            <wp:positionV relativeFrom="paragraph">
              <wp:posOffset>-899795</wp:posOffset>
            </wp:positionV>
            <wp:extent cx="7545705" cy="9558655"/>
            <wp:effectExtent l="0" t="0" r="0" b="0"/>
            <wp:wrapNone/>
            <wp:docPr id="1345" name="Picture 5"/>
            <a:graphic xmlns:a="http://schemas.openxmlformats.org/drawingml/2006/main">
              <a:graphicData uri="http://schemas.openxmlformats.org/drawingml/2006/picture">
                <pic:pic xmlns:pic="http://schemas.openxmlformats.org/drawingml/2006/picture">
                  <pic:nvPicPr>
                    <pic:cNvPr id="1345" name="Picture 5"/>
                    <pic:cNvPicPr>
                      <a:picLocks noChangeAspect="1" noChangeArrowheads="1"/>
                    </pic:cNvPicPr>
                  </pic:nvPicPr>
                  <pic:blipFill>
                    <a:blip r:embed="rId69"/>
                    <a:srcRect b="10489"/>
                    <a:stretch>
                      <a:fillRect/>
                    </a:stretch>
                  </pic:blipFill>
                  <pic:spPr>
                    <a:xfrm>
                      <a:off x="0" y="0"/>
                      <a:ext cx="7545705" cy="9558655"/>
                    </a:xfrm>
                    <a:prstGeom prst="rect">
                      <a:avLst/>
                    </a:prstGeom>
                    <a:noFill/>
                    <a:ln>
                      <a:noFill/>
                    </a:ln>
                  </pic:spPr>
                </pic:pic>
              </a:graphicData>
            </a:graphic>
          </wp:anchor>
        </w:drawing>
      </w:r>
      <w:r>
        <w:rPr>
          <w:rFonts w:hint="eastAsia"/>
        </w:rPr>
        <w:t>■</w:t>
      </w:r>
      <w:bookmarkStart w:id="481" w:name="_Hlk66439226"/>
      <w:r>
        <w:rPr>
          <w:rFonts w:hint="eastAsia"/>
          <w:spacing w:val="-10"/>
          <w:w w:val="76"/>
        </w:rPr>
        <w:t>第６次南風原町障がい者計画・南風原町第７期障がい福祉計画及び南風原町第３期障がい児福祉計画の策定について（諮問）</w:t>
      </w:r>
      <w:bookmarkEnd w:id="479"/>
      <w:bookmarkEnd w:id="480"/>
      <w:bookmarkEnd w:id="481"/>
    </w:p>
    <w:p>
      <w:pPr>
        <w:pStyle w:val="0"/>
        <w:ind w:left="448" w:leftChars="200" w:right="448" w:rightChars="200"/>
        <w:rPr>
          <w:rFonts w:hint="default"/>
        </w:rPr>
      </w:pPr>
    </w:p>
    <w:p>
      <w:pPr>
        <w:pStyle w:val="0"/>
        <w:widowControl w:val="1"/>
        <w:jc w:val="left"/>
        <w:rPr>
          <w:rFonts w:hint="default"/>
        </w:rPr>
      </w:pPr>
      <w:r>
        <w:rPr>
          <w:rFonts w:hint="default"/>
        </w:rPr>
        <w:br w:type="page"/>
      </w:r>
    </w:p>
    <w:p>
      <w:pPr>
        <w:pStyle w:val="119"/>
        <w:spacing w:after="370" w:afterLines="0" w:afterAutospacing="0"/>
        <w:rPr>
          <w:rFonts w:hint="eastAsia"/>
          <w:spacing w:val="-10"/>
          <w:w w:val="76"/>
        </w:rPr>
      </w:pPr>
      <w:bookmarkStart w:id="482" w:name="_Toc162263696"/>
      <w:bookmarkStart w:id="483" w:name="_Toc66449972"/>
      <w:r>
        <w:rPr>
          <w:rFonts w:hint="eastAsia"/>
          <w:spacing w:val="-10"/>
        </w:rPr>
        <w:drawing>
          <wp:anchor distT="0" distB="0" distL="114300" distR="114300" simplePos="0" relativeHeight="247" behindDoc="0" locked="0" layoutInCell="1" hidden="0" allowOverlap="1">
            <wp:simplePos x="0" y="0"/>
            <wp:positionH relativeFrom="column">
              <wp:posOffset>-709295</wp:posOffset>
            </wp:positionH>
            <wp:positionV relativeFrom="paragraph">
              <wp:posOffset>-899795</wp:posOffset>
            </wp:positionV>
            <wp:extent cx="7545705" cy="9451975"/>
            <wp:effectExtent l="0" t="0" r="0" b="0"/>
            <wp:wrapNone/>
            <wp:docPr id="1346" name="Picture 4"/>
            <a:graphic xmlns:a="http://schemas.openxmlformats.org/drawingml/2006/main">
              <a:graphicData uri="http://schemas.openxmlformats.org/drawingml/2006/picture">
                <pic:pic xmlns:pic="http://schemas.openxmlformats.org/drawingml/2006/picture">
                  <pic:nvPicPr>
                    <pic:cNvPr id="1346" name="Picture 4"/>
                    <pic:cNvPicPr>
                      <a:picLocks noChangeAspect="1" noChangeArrowheads="1"/>
                    </pic:cNvPicPr>
                  </pic:nvPicPr>
                  <pic:blipFill>
                    <a:blip r:embed="rId70"/>
                    <a:srcRect b="11485"/>
                    <a:stretch>
                      <a:fillRect/>
                    </a:stretch>
                  </pic:blipFill>
                  <pic:spPr>
                    <a:xfrm>
                      <a:off x="0" y="0"/>
                      <a:ext cx="7545705" cy="9451975"/>
                    </a:xfrm>
                    <a:prstGeom prst="rect">
                      <a:avLst/>
                    </a:prstGeom>
                    <a:noFill/>
                    <a:ln>
                      <a:noFill/>
                    </a:ln>
                  </pic:spPr>
                </pic:pic>
              </a:graphicData>
            </a:graphic>
          </wp:anchor>
        </w:drawing>
      </w:r>
      <w:r>
        <w:rPr>
          <w:rFonts w:hint="eastAsia"/>
        </w:rPr>
        <w:t>■</w:t>
      </w:r>
      <w:r>
        <w:rPr>
          <w:rFonts w:hint="eastAsia"/>
          <w:spacing w:val="-10"/>
          <w:w w:val="76"/>
        </w:rPr>
        <w:t>第６次南風原町障がい者計画・南風原町第７期障がい福祉計画及び南風原町第３期障がい児福祉計画の策定について（答申）</w:t>
      </w:r>
      <w:bookmarkEnd w:id="482"/>
      <w:bookmarkEnd w:id="483"/>
    </w:p>
    <w:p>
      <w:pPr>
        <w:pStyle w:val="0"/>
        <w:ind w:left="448" w:leftChars="200" w:right="448" w:rightChars="200" w:firstLine="228" w:firstLineChars="100"/>
        <w:rPr>
          <w:rFonts w:hint="default"/>
          <w:spacing w:val="2"/>
        </w:rPr>
      </w:pPr>
    </w:p>
    <w:p>
      <w:pPr>
        <w:pStyle w:val="0"/>
        <w:widowControl w:val="1"/>
        <w:jc w:val="left"/>
        <w:rPr>
          <w:rFonts w:hint="default"/>
          <w:spacing w:val="2"/>
        </w:rPr>
      </w:pPr>
      <w:r>
        <w:rPr>
          <w:rFonts w:hint="default"/>
          <w:spacing w:val="2"/>
        </w:rPr>
        <w:br w:type="page"/>
      </w: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p>
    <w:p>
      <w:pPr>
        <w:pStyle w:val="0"/>
        <w:widowControl w:val="1"/>
        <w:jc w:val="left"/>
        <w:rPr>
          <w:rFonts w:hint="default"/>
          <w:spacing w:val="2"/>
        </w:rPr>
      </w:pPr>
      <w:r>
        <w:rPr>
          <w:rFonts w:hint="default"/>
        </w:rPr>
        <mc:AlternateContent>
          <mc:Choice Requires="wps">
            <w:drawing>
              <wp:anchor distT="0" distB="0" distL="114300" distR="114300" simplePos="0" relativeHeight="246" behindDoc="0" locked="1" layoutInCell="1" hidden="0" allowOverlap="1">
                <wp:simplePos x="0" y="0"/>
                <wp:positionH relativeFrom="margin">
                  <wp:posOffset>1172210</wp:posOffset>
                </wp:positionH>
                <wp:positionV relativeFrom="page">
                  <wp:posOffset>10010140</wp:posOffset>
                </wp:positionV>
                <wp:extent cx="3768725" cy="538480"/>
                <wp:effectExtent l="635" t="635" r="29845" b="10795"/>
                <wp:wrapNone/>
                <wp:docPr id="1347" name="正方形/長方形 24"/>
                <a:graphic xmlns:a="http://schemas.openxmlformats.org/drawingml/2006/main">
                  <a:graphicData uri="http://schemas.microsoft.com/office/word/2010/wordprocessingShape">
                    <wps:wsp>
                      <wps:cNvPr id="1347" name="正方形/長方形 24"/>
                      <wps:cNvSpPr/>
                      <wps:spPr>
                        <a:xfrm>
                          <a:off x="0" y="0"/>
                          <a:ext cx="3768725" cy="538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4" style="mso-wrap-distance-right:9pt;mso-wrap-distance-bottom:0pt;margin-top:788.2pt;mso-position-vertical-relative:page;mso-position-horizontal-relative:margin;position:absolute;height:42.4pt;mso-wrap-distance-top:0pt;width:296.75pt;mso-wrap-distance-left:9pt;margin-left:92.3pt;z-index:246;" o:spid="_x0000_s1347" o:allowincell="t" o:allowoverlap="t" filled="t" fillcolor="#ffffff [3212]" stroked="t" strokecolor="#ffffff [3212]" strokeweight="1pt" o:spt="1">
                <v:fill/>
                <v:stroke linestyle="single" miterlimit="8" endcap="flat" dashstyle="solid" filltype="solid"/>
                <v:textbox style="layout-flow:horizontal;"/>
                <v:imagedata o:title=""/>
                <w10:wrap type="none" anchorx="margin" anchory="page"/>
                <w10:anchorlock/>
              </v:rect>
            </w:pict>
          </mc:Fallback>
        </mc:AlternateContent>
      </w:r>
    </w:p>
    <w:p>
      <w:pPr>
        <w:pStyle w:val="0"/>
        <w:widowControl w:val="1"/>
        <w:jc w:val="left"/>
        <w:rPr>
          <w:rFonts w:hint="default"/>
          <w:spacing w:val="2"/>
        </w:rPr>
      </w:pPr>
    </w:p>
    <w:p>
      <w:pPr>
        <w:pStyle w:val="0"/>
        <w:widowControl w:val="1"/>
        <w:jc w:val="left"/>
        <w:rPr>
          <w:rFonts w:hint="default"/>
          <w:spacing w:val="2"/>
        </w:rPr>
      </w:pPr>
      <w:r>
        <w:rPr>
          <w:rFonts w:hint="default"/>
          <w:spacing w:val="2"/>
        </w:rPr>
        <w:br w:type="page"/>
      </w:r>
    </w:p>
    <w:p>
      <w:pPr>
        <w:pStyle w:val="0"/>
        <w:rPr>
          <w:rFonts w:hint="default"/>
          <w:spacing w:val="2"/>
        </w:rPr>
      </w:pPr>
      <w:r>
        <w:rPr>
          <w:rFonts w:hint="default"/>
        </w:rPr>
        <mc:AlternateContent>
          <mc:Choice Requires="wps">
            <w:drawing>
              <wp:anchor distT="0" distB="0" distL="114300" distR="114300" simplePos="0" relativeHeight="242" behindDoc="0" locked="1" layoutInCell="1" hidden="0" allowOverlap="1">
                <wp:simplePos x="0" y="0"/>
                <wp:positionH relativeFrom="margin">
                  <wp:posOffset>1159510</wp:posOffset>
                </wp:positionH>
                <wp:positionV relativeFrom="page">
                  <wp:posOffset>9966325</wp:posOffset>
                </wp:positionV>
                <wp:extent cx="3768725" cy="538480"/>
                <wp:effectExtent l="635" t="635" r="29845" b="10795"/>
                <wp:wrapNone/>
                <wp:docPr id="1348" name="正方形/長方形 24"/>
                <a:graphic xmlns:a="http://schemas.openxmlformats.org/drawingml/2006/main">
                  <a:graphicData uri="http://schemas.microsoft.com/office/word/2010/wordprocessingShape">
                    <wps:wsp>
                      <wps:cNvPr id="1348" name="正方形/長方形 24"/>
                      <wps:cNvSpPr/>
                      <wps:spPr>
                        <a:xfrm>
                          <a:off x="0" y="0"/>
                          <a:ext cx="3768725" cy="538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4" style="mso-wrap-distance-right:9pt;mso-wrap-distance-bottom:0pt;margin-top:784.75pt;mso-position-vertical-relative:page;mso-position-horizontal-relative:margin;position:absolute;height:42.4pt;mso-wrap-distance-top:0pt;width:296.75pt;mso-wrap-distance-left:9pt;margin-left:91.3pt;z-index:242;" o:spid="_x0000_s1348" o:allowincell="t" o:allowoverlap="t" filled="t" fillcolor="#ffffff [3212]" stroked="t" strokecolor="#ffffff [3212]" strokeweight="1pt" o:spt="1">
                <v:fill/>
                <v:stroke linestyle="single" miterlimit="8" endcap="flat" dashstyle="solid" filltype="solid"/>
                <v:textbox style="layout-flow:horizontal;"/>
                <v:imagedata o:title=""/>
                <w10:wrap type="none" anchorx="margin" anchory="page"/>
                <w10:anchorlock/>
              </v:rect>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ascii="ＭＳ ゴシック" w:hAnsi="ＭＳ ゴシック" w:eastAsia="ＭＳ ゴシック"/>
          <w:sz w:val="28"/>
        </w:rPr>
        <mc:AlternateContent>
          <mc:Choice Requires="wps">
            <w:drawing>
              <wp:anchor distT="0" distB="0" distL="114300" distR="114300" simplePos="0" relativeHeight="245" behindDoc="0" locked="1" layoutInCell="1" hidden="0" allowOverlap="1">
                <wp:simplePos x="0" y="0"/>
                <wp:positionH relativeFrom="column">
                  <wp:posOffset>4596765</wp:posOffset>
                </wp:positionH>
                <wp:positionV relativeFrom="paragraph">
                  <wp:posOffset>347345</wp:posOffset>
                </wp:positionV>
                <wp:extent cx="60960" cy="622300"/>
                <wp:effectExtent l="635" t="635" r="29845" b="10795"/>
                <wp:wrapNone/>
                <wp:docPr id="1349" name="フローチャート: 照合 28"/>
                <a:graphic xmlns:a="http://schemas.openxmlformats.org/drawingml/2006/main">
                  <a:graphicData uri="http://schemas.microsoft.com/office/word/2010/wordprocessingShape">
                    <wps:wsp>
                      <wps:cNvPr id="1349" name="フローチャート: 照合 28"/>
                      <wps:cNvSpPr/>
                      <wps:spPr>
                        <a:xfrm>
                          <a:off x="0" y="0"/>
                          <a:ext cx="60960" cy="622300"/>
                        </a:xfrm>
                        <a:prstGeom prst="flowChartCollat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25" coordsize="21600,21600" o:spt="125" path="m21600,21600l,21600,21600,,,xe">
                <v:stroke joinstyle="miter"/>
                <v:path o:extrusionok="f" gradientshapeok="t" o:connecttype="custom" o:connectlocs="10800,0;10800,10800;10800,21600" textboxrect="5400,5400,16200,16200"/>
              </v:shapetype>
              <v:shape id="フローチャート: 照合 28" style="mso-wrap-distance-right:9pt;mso-wrap-distance-bottom:0pt;margin-top:27.35pt;mso-position-vertical-relative:text;mso-position-horizontal-relative:text;position:absolute;height:49pt;mso-wrap-distance-top:0pt;width:4.8pt;mso-wrap-distance-left:9pt;margin-left:361.95pt;z-index:245;" o:spid="_x0000_s1349" o:allowincell="t" o:allowoverlap="t" filled="t" fillcolor="#000000 [3213]" stroked="t" strokecolor="#000000 [3213]" strokeweight="1pt" o:spt="125" type="#_x0000_t125">
                <v:fill/>
                <v:stroke linestyle="single" miterlimit="8" endcap="flat" dashstyle="solid" filltype="solid"/>
                <v:textbox style="layout-flow:horizontal;"/>
                <v:imagedata o:title=""/>
                <w10:wrap type="none" anchorx="text" anchory="text"/>
                <w10:anchorlock/>
              </v:shape>
            </w:pict>
          </mc:Fallback>
        </mc:AlternateContent>
      </w:r>
      <w:r>
        <w:rPr>
          <w:rFonts w:hint="eastAsia" w:ascii="ＭＳ ゴシック" w:hAnsi="ＭＳ ゴシック" w:eastAsia="ＭＳ ゴシック"/>
          <w:sz w:val="28"/>
        </w:rPr>
        <mc:AlternateContent>
          <mc:Choice Requires="wps">
            <w:drawing>
              <wp:anchor distT="0" distB="0" distL="114300" distR="114300" simplePos="0" relativeHeight="244" behindDoc="0" locked="1" layoutInCell="1" hidden="0" allowOverlap="1">
                <wp:simplePos x="0" y="0"/>
                <wp:positionH relativeFrom="column">
                  <wp:posOffset>1569720</wp:posOffset>
                </wp:positionH>
                <wp:positionV relativeFrom="paragraph">
                  <wp:posOffset>347345</wp:posOffset>
                </wp:positionV>
                <wp:extent cx="60960" cy="622300"/>
                <wp:effectExtent l="635" t="635" r="29845" b="10795"/>
                <wp:wrapNone/>
                <wp:docPr id="1350" name="フローチャート: 照合 29"/>
                <a:graphic xmlns:a="http://schemas.openxmlformats.org/drawingml/2006/main">
                  <a:graphicData uri="http://schemas.microsoft.com/office/word/2010/wordprocessingShape">
                    <wps:wsp>
                      <wps:cNvPr id="1350" name="フローチャート: 照合 29"/>
                      <wps:cNvSpPr/>
                      <wps:spPr>
                        <a:xfrm>
                          <a:off x="0" y="0"/>
                          <a:ext cx="60960" cy="622300"/>
                        </a:xfrm>
                        <a:prstGeom prst="flowChartCollat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25" coordsize="21600,21600" o:spt="125" path="m21600,21600l,21600,21600,,,xe">
                <v:stroke joinstyle="miter"/>
                <v:path o:extrusionok="f" gradientshapeok="t" o:connecttype="custom" o:connectlocs="10800,0;10800,10800;10800,21600" textboxrect="5400,5400,16200,16200"/>
              </v:shapetype>
              <v:shape id="フローチャート: 照合 29" style="mso-wrap-distance-right:9pt;mso-wrap-distance-bottom:0pt;margin-top:27.35pt;mso-position-vertical-relative:text;mso-position-horizontal-relative:text;position:absolute;height:49pt;mso-wrap-distance-top:0pt;width:4.8pt;mso-wrap-distance-left:9pt;margin-left:123.6pt;z-index:244;" o:spid="_x0000_s1350" o:allowincell="t" o:allowoverlap="t" filled="t" fillcolor="#000000 [3213]" stroked="t" strokecolor="#000000 [3213]" strokeweight="1pt" o:spt="125" type="#_x0000_t125">
                <v:fill/>
                <v:stroke linestyle="single" miterlimit="8" endcap="flat" dashstyle="solid" filltype="solid"/>
                <v:textbox style="layout-flow:horizontal;"/>
                <v:imagedata o:title=""/>
                <w10:wrap type="none" anchorx="text" anchory="text"/>
                <w10:anchorlock/>
              </v:shape>
            </w:pict>
          </mc:Fallback>
        </mc:AlternateContent>
      </w:r>
    </w:p>
    <w:tbl>
      <w:tblPr>
        <w:tblStyle w:val="11"/>
        <w:tblW w:w="6154" w:type="dxa"/>
        <w:jc w:val="center"/>
        <w:tblInd w:w="0" w:type="dxa"/>
        <w:tblBorders>
          <w:top w:val="single" w:color="auto" w:sz="4" w:space="0"/>
          <w:left w:val="single" w:color="auto" w:sz="4" w:space="0"/>
          <w:bottom w:val="single" w:color="auto" w:sz="4" w:space="0"/>
          <w:right w:val="single" w:color="auto" w:sz="4" w:space="0"/>
        </w:tblBorders>
        <w:tblLayout w:type="fixed"/>
        <w:tblLook w:firstRow="1" w:lastRow="1" w:firstColumn="1" w:lastColumn="1" w:noHBand="0" w:noVBand="0" w:val="01E0"/>
      </w:tblPr>
      <w:tblGrid>
        <w:gridCol w:w="6154"/>
      </w:tblGrid>
      <w:tr>
        <w:trPr>
          <w:trHeight w:val="3096" w:hRule="atLeast"/>
        </w:trPr>
        <w:tc>
          <w:tcPr>
            <w:tcW w:w="6154" w:type="dxa"/>
            <w:vAlign w:val="top"/>
          </w:tcPr>
          <w:p>
            <w:pPr>
              <w:pStyle w:val="115"/>
              <w:spacing w:before="175" w:beforeLines="50" w:beforeAutospacing="0" w:line="0" w:lineRule="atLeast"/>
              <w:ind w:left="0" w:leftChars="0" w:firstLine="264"/>
              <w:jc w:val="center"/>
              <w:rPr>
                <w:rFonts w:hint="default" w:ascii="ＭＳ ゴシック" w:hAnsi="ＭＳ ゴシック" w:eastAsia="ＭＳ ゴシック"/>
                <w:sz w:val="26"/>
              </w:rPr>
            </w:pPr>
            <w:r>
              <w:rPr>
                <w:rFonts w:hint="eastAsia" w:ascii="ＭＳ ゴシック" w:hAnsi="ＭＳ ゴシック" w:eastAsia="ＭＳ ゴシック"/>
                <w:sz w:val="26"/>
              </w:rPr>
              <w:t>第６次南風原町障がい者計画・</w:t>
            </w:r>
          </w:p>
          <w:p>
            <w:pPr>
              <w:pStyle w:val="115"/>
              <w:spacing w:line="0" w:lineRule="atLeast"/>
              <w:ind w:left="0" w:leftChars="0" w:firstLine="264"/>
              <w:jc w:val="center"/>
              <w:rPr>
                <w:rFonts w:hint="default" w:ascii="ＭＳ ゴシック" w:hAnsi="ＭＳ ゴシック" w:eastAsia="ＭＳ ゴシック"/>
                <w:sz w:val="26"/>
              </w:rPr>
            </w:pPr>
            <w:r>
              <w:rPr>
                <w:rFonts w:hint="eastAsia" w:ascii="ＭＳ ゴシック" w:hAnsi="ＭＳ ゴシック" w:eastAsia="ＭＳ ゴシック"/>
                <w:sz w:val="26"/>
              </w:rPr>
              <w:t>南風原町第７期障がい福祉計画・</w:t>
            </w:r>
          </w:p>
          <w:p>
            <w:pPr>
              <w:pStyle w:val="115"/>
              <w:spacing w:line="0" w:lineRule="atLeast"/>
              <w:ind w:left="0" w:leftChars="0" w:firstLine="264"/>
              <w:jc w:val="center"/>
              <w:rPr>
                <w:rFonts w:hint="default" w:ascii="ＭＳ ゴシック" w:hAnsi="ＭＳ ゴシック" w:eastAsia="ＭＳ ゴシック"/>
                <w:sz w:val="28"/>
              </w:rPr>
            </w:pPr>
            <w:r>
              <w:rPr>
                <w:rFonts w:hint="eastAsia" w:ascii="ＭＳ ゴシック" w:hAnsi="ＭＳ ゴシック" w:eastAsia="ＭＳ ゴシック"/>
                <w:sz w:val="26"/>
              </w:rPr>
              <w:t>南風原町第３期障がい児福祉計画</w:t>
            </w:r>
          </w:p>
          <w:p>
            <w:pPr>
              <w:pStyle w:val="115"/>
              <w:spacing w:before="105" w:beforeLines="30" w:beforeAutospacing="0"/>
              <w:ind w:left="0" w:leftChars="0" w:firstLine="0" w:firstLineChars="0"/>
              <w:jc w:val="center"/>
              <w:rPr>
                <w:rFonts w:hint="default" w:ascii="ＭＳ ゴシック" w:hAnsi="ＭＳ ゴシック" w:eastAsia="ＭＳ ゴシック"/>
                <w:sz w:val="22"/>
              </w:rPr>
            </w:pPr>
            <w:r>
              <w:rPr>
                <w:rFonts w:hint="eastAsia" w:ascii="ＭＳ ゴシック" w:hAnsi="ＭＳ ゴシック" w:eastAsia="ＭＳ ゴシック"/>
                <w:sz w:val="22"/>
              </w:rPr>
              <w:t>令和６年３月</w:t>
            </w:r>
          </w:p>
          <w:p>
            <w:pPr>
              <w:pStyle w:val="115"/>
              <w:spacing w:line="140" w:lineRule="exact"/>
              <w:ind w:left="0" w:leftChars="0" w:firstLine="0" w:firstLineChars="0"/>
              <w:jc w:val="center"/>
              <w:rPr>
                <w:rFonts w:hint="default" w:ascii="ＭＳ ゴシック" w:hAnsi="ＭＳ ゴシック" w:eastAsia="ＭＳ ゴシック"/>
                <w:sz w:val="22"/>
              </w:rPr>
            </w:pPr>
          </w:p>
          <w:p>
            <w:pPr>
              <w:pStyle w:val="115"/>
              <w:spacing w:line="0" w:lineRule="atLeast"/>
              <w:ind w:left="1456" w:leftChars="300" w:hanging="784" w:hangingChars="350"/>
              <w:rPr>
                <w:rFonts w:hint="default" w:ascii="ＭＳ ゴシック" w:hAnsi="ＭＳ ゴシック" w:eastAsia="ＭＳ ゴシック"/>
                <w:sz w:val="22"/>
              </w:rPr>
            </w:pPr>
            <w:r>
              <w:rPr>
                <w:rFonts w:hint="eastAsia" w:ascii="ＭＳ ゴシック" w:hAnsi="ＭＳ ゴシック" w:eastAsia="ＭＳ ゴシック"/>
                <w:sz w:val="22"/>
              </w:rPr>
              <w:t>発</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行：南風原町役場　民生部　保健福祉課</w:t>
            </w:r>
            <w:r>
              <w:rPr>
                <w:rFonts w:hint="eastAsia" w:ascii="ＭＳ ゴシック" w:hAnsi="ＭＳ ゴシック" w:eastAsia="ＭＳ ゴシック"/>
                <w:sz w:val="22"/>
              </w:rPr>
              <w:br w:type="textWrapping" w:clear="none"/>
            </w:r>
            <w:r>
              <w:rPr>
                <w:rFonts w:hint="eastAsia" w:ascii="ＭＳ ゴシック" w:hAnsi="ＭＳ ゴシック" w:eastAsia="ＭＳ ゴシック"/>
                <w:sz w:val="22"/>
              </w:rPr>
              <w:t>〒</w:t>
            </w:r>
            <w:r>
              <w:rPr>
                <w:rFonts w:hint="default" w:ascii="ＭＳ ゴシック" w:hAnsi="ＭＳ ゴシック" w:eastAsia="ＭＳ ゴシック"/>
                <w:sz w:val="22"/>
              </w:rPr>
              <w:t>901-1195</w:t>
            </w:r>
            <w:r>
              <w:rPr>
                <w:rFonts w:hint="eastAsia" w:ascii="ＭＳ ゴシック" w:hAnsi="ＭＳ ゴシック" w:eastAsia="ＭＳ ゴシック"/>
                <w:sz w:val="22"/>
              </w:rPr>
              <w:br w:type="textWrapping" w:clear="none"/>
            </w:r>
            <w:r>
              <w:rPr>
                <w:rFonts w:hint="eastAsia" w:ascii="ＭＳ ゴシック" w:hAnsi="ＭＳ ゴシック" w:eastAsia="ＭＳ ゴシック"/>
                <w:sz w:val="22"/>
              </w:rPr>
              <w:t>沖縄県島尻郡南風原町字兼城</w:t>
            </w:r>
            <w:r>
              <w:rPr>
                <w:rFonts w:hint="eastAsia" w:ascii="ＭＳ ゴシック" w:hAnsi="ＭＳ ゴシック" w:eastAsia="ＭＳ ゴシック"/>
                <w:sz w:val="22"/>
              </w:rPr>
              <w:t>686</w:t>
            </w:r>
            <w:r>
              <w:rPr>
                <w:rFonts w:hint="eastAsia" w:ascii="ＭＳ ゴシック" w:hAnsi="ＭＳ ゴシック" w:eastAsia="ＭＳ ゴシック"/>
                <w:sz w:val="22"/>
              </w:rPr>
              <w:t>番地</w:t>
            </w:r>
            <w:r>
              <w:rPr>
                <w:rFonts w:hint="eastAsia" w:ascii="ＭＳ ゴシック" w:hAnsi="ＭＳ ゴシック" w:eastAsia="ＭＳ ゴシック"/>
                <w:sz w:val="22"/>
              </w:rPr>
              <w:br w:type="textWrapping" w:clear="none"/>
            </w:r>
            <w:r>
              <w:rPr>
                <w:rFonts w:hint="eastAsia" w:ascii="ＭＳ ゴシック" w:hAnsi="ＭＳ ゴシック" w:eastAsia="ＭＳ ゴシック"/>
                <w:sz w:val="22"/>
              </w:rPr>
              <w:t>電話：</w:t>
            </w:r>
            <w:r>
              <w:rPr>
                <w:rFonts w:hint="default" w:ascii="ＭＳ ゴシック" w:hAnsi="ＭＳ ゴシック" w:eastAsia="ＭＳ ゴシック"/>
                <w:sz w:val="22"/>
              </w:rPr>
              <w:t>098-889-4416</w:t>
            </w:r>
          </w:p>
          <w:p>
            <w:pPr>
              <w:pStyle w:val="115"/>
              <w:spacing w:line="0" w:lineRule="atLeast"/>
              <w:ind w:left="1421" w:leftChars="300" w:hanging="749" w:hangingChars="350"/>
              <w:rPr>
                <w:rFonts w:hint="default"/>
              </w:rPr>
            </w:pPr>
          </w:p>
        </w:tc>
      </w:tr>
    </w:tbl>
    <w:p>
      <w:pPr>
        <w:pStyle w:val="0"/>
        <w:widowControl w:val="1"/>
        <w:spacing w:line="20" w:lineRule="exact"/>
        <w:jc w:val="left"/>
        <w:rPr>
          <w:rFonts w:hint="default"/>
          <w:sz w:val="20"/>
        </w:rPr>
      </w:pPr>
    </w:p>
    <w:p>
      <w:pPr>
        <w:pStyle w:val="0"/>
        <w:widowControl w:val="1"/>
        <w:spacing w:line="20" w:lineRule="exact"/>
        <w:jc w:val="left"/>
        <w:rPr>
          <w:rFonts w:hint="default"/>
        </w:rPr>
      </w:pPr>
      <w:r>
        <w:rPr>
          <w:rFonts w:hint="default"/>
        </w:rPr>
        <mc:AlternateContent>
          <mc:Choice Requires="wps">
            <w:drawing>
              <wp:anchor distT="0" distB="0" distL="114300" distR="114300" simplePos="0" relativeHeight="243" behindDoc="0" locked="1" layoutInCell="1" hidden="0" allowOverlap="1">
                <wp:simplePos x="0" y="0"/>
                <wp:positionH relativeFrom="column">
                  <wp:posOffset>-415290</wp:posOffset>
                </wp:positionH>
                <wp:positionV relativeFrom="paragraph">
                  <wp:posOffset>8188325</wp:posOffset>
                </wp:positionV>
                <wp:extent cx="7048500" cy="1057275"/>
                <wp:effectExtent l="635" t="635" r="29845" b="10795"/>
                <wp:wrapNone/>
                <wp:docPr id="1351" name="正方形/長方形 1006"/>
                <a:graphic xmlns:a="http://schemas.openxmlformats.org/drawingml/2006/main">
                  <a:graphicData uri="http://schemas.microsoft.com/office/word/2010/wordprocessingShape">
                    <wps:wsp>
                      <wps:cNvPr id="1351" name="正方形/長方形 1006"/>
                      <wps:cNvSpPr>
                        <a:spLocks noChangeArrowheads="1"/>
                      </wps:cNvSpPr>
                      <wps:spPr>
                        <a:xfrm>
                          <a:off x="0" y="0"/>
                          <a:ext cx="7048500" cy="1057275"/>
                        </a:xfrm>
                        <a:prstGeom prst="rect">
                          <a:avLst/>
                        </a:prstGeom>
                        <a:solidFill>
                          <a:srgbClr val="FFFFFF"/>
                        </a:solidFill>
                        <a:ln w="9525" algn="ctr">
                          <a:solidFill>
                            <a:srgbClr val="FFFFFF"/>
                          </a:solidFill>
                          <a:miter lim="800000"/>
                          <a:headEnd/>
                          <a:tailEnd/>
                        </a:ln>
                        <a:effectLst/>
                      </wps:spPr>
                      <wps:bodyPr/>
                    </wps:wsp>
                  </a:graphicData>
                </a:graphic>
              </wp:anchor>
            </w:drawing>
          </mc:Choice>
          <mc:Fallback>
            <w:pict>
              <v:rect id="正方形/長方形 1006" style="mso-wrap-distance-right:9pt;mso-wrap-distance-bottom:0pt;margin-top:644.75pt;mso-position-vertical-relative:text;mso-position-horizontal-relative:text;position:absolute;height:83.25pt;mso-wrap-distance-top:0pt;width:555pt;mso-wrap-distance-left:9pt;margin-left:-32.700000000000003pt;z-index:243;" o:spid="_x0000_s1351" o:allowincell="t" o:allowoverlap="t" filled="t" fillcolor="#ffffff" stroked="t" strokecolor="#ffffff" strokeweight="0.75pt" o:spt="1">
                <v:fill/>
                <v:stroke miterlimit="8" filltype="solid"/>
                <v:textbox style="layout-flow:horizontal;"/>
                <v:imagedata o:title=""/>
                <w10:wrap type="none" anchorx="text" anchory="text"/>
                <w10:anchorlock/>
              </v:rect>
            </w:pict>
          </mc:Fallback>
        </mc:AlternateContent>
      </w:r>
    </w:p>
    <w:p>
      <w:pPr>
        <w:pStyle w:val="0"/>
        <w:widowControl w:val="1"/>
        <w:jc w:val="left"/>
        <w:rPr>
          <w:rFonts w:hint="default"/>
        </w:rPr>
      </w:pPr>
    </w:p>
    <w:sectPr>
      <w:footerReference r:id="rId9" w:type="default"/>
      <w:pgSz w:w="11906" w:h="16838"/>
      <w:pgMar w:top="1418" w:right="1134" w:bottom="1134" w:left="1134" w:header="567" w:footer="567" w:gutter="0"/>
      <w:pgNumType w:start="1"/>
      <w:cols w:space="720"/>
      <w:textDirection w:val="lrTb"/>
      <w:docGrid w:type="linesAndChars" w:linePitch="370" w:charSpace="847"/>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FG丸ｺﾞｼｯｸ体Ca-B">
    <w:panose1 w:val="00000000000000000000"/>
    <w:charset w:val="80"/>
    <w:family w:val="modern"/>
    <w:pitch w:val="fixed"/>
    <w:sig w:usb0="00000000" w:usb1="00000000" w:usb2="00000000" w:usb3="00000000" w:csb0="00020200" w:csb1="00000000"/>
  </w:font>
  <w:font w:name="Courier New">
    <w:panose1 w:val="00000000000000000000"/>
    <w:charset w:val="00"/>
    <w:family w:val="modern"/>
    <w:notTrueType/>
    <w:pitch w:val="fixed"/>
    <w:sig w:usb0="00000000" w:usb1="00000000" w:usb2="00000000" w:usb3="00000000" w:csb0="FF000000" w:csb1="00000000"/>
  </w:font>
  <w:font w:name="HGｺﾞｼｯｸM">
    <w:panose1 w:val="00000000000000000000"/>
    <w:charset w:val="80"/>
    <w:family w:val="modern"/>
    <w:notTrueType/>
    <w:pitch w:val="fixed"/>
    <w:sig w:usb0="00000000" w:usb1="00000000" w:usb2="00000000" w:usb3="00000000" w:csb0="01008200" w:csb1="00000000"/>
  </w:font>
  <w:font w:name="平成明朝体W3">
    <w:panose1 w:val="00000000000000000000"/>
    <w:charset w:val="80"/>
    <w:family w:val="roman"/>
    <w:pitch w:val="fixed"/>
    <w:sig w:usb0="00000000" w:usb1="00000000" w:usb2="00000000" w:usb3="00000000" w:csb0="00000000" w:csb1="00000000"/>
  </w:font>
  <w:font w:name="Calibri">
    <w:panose1 w:val="00000000000000000000"/>
    <w:charset w:val="00"/>
    <w:family w:val="swiss"/>
    <w:notTrueType/>
    <w:pitch w:val="variable"/>
    <w:sig w:usb0="00000000" w:usb1="00000000" w:usb2="00000000" w:usb3="00000000" w:csb0="FF000000" w:csb1="00000000"/>
  </w:font>
  <w:font w:name="FG角ｺﾞｼｯｸ体Ca-M">
    <w:panose1 w:val="00000000000000000000"/>
    <w:charset w:val="80"/>
    <w:family w:val="modern"/>
    <w:pitch w:val="fixed"/>
    <w:sig w:usb0="00000000" w:usb1="00000000" w:usb2="00000000" w:usb3="00000000" w:csb0="00020200" w:csb1="00000000"/>
  </w:font>
  <w:font w:name="FG丸ｺﾞｼｯｸ体Ca-M">
    <w:panose1 w:val="00000000000000000000"/>
    <w:charset w:val="80"/>
    <w:family w:val="modern"/>
    <w:pitch w:val="fixed"/>
    <w:sig w:usb0="00000000" w:usb1="00000000" w:usb2="00000000" w:usb3="00000000" w:csb0="00020200" w:csb1="00000000"/>
  </w:font>
  <w:font w:name="FG丸ｺﾞｼｯｸ体Ca-U">
    <w:panose1 w:val="00000000000000000000"/>
    <w:charset w:val="80"/>
    <w:family w:val="modern"/>
    <w:pitch w:val="fixed"/>
    <w:sig w:usb0="00000000" w:usb1="00000000" w:usb2="00000000" w:usb3="00000000" w:csb0="00020200" w:csb1="00000000"/>
  </w:font>
  <w:font w:name="FGP丸ｺﾞｼｯｸ体Ca-B">
    <w:panose1 w:val="00000000000000000000"/>
    <w:charset w:val="80"/>
    <w:family w:val="modern"/>
    <w:pitch w:val="fixed"/>
    <w:sig w:usb0="00000000" w:usb1="00000000" w:usb2="00000000" w:usb3="00000000" w:csb0="00000200" w:csb1="00000000"/>
  </w:font>
  <w:font w:name="">
    <w:panose1 w:val="00000000000000000000"/>
    <w:charset w:val="80"/>
    <w:family w:val="auto"/>
    <w:notTrueType/>
    <w:pitch w:val="fixed"/>
    <w:sig w:usb0="00000000" w:usb1="00000000" w:usb2="00000000" w:usb3="00000000" w:csb0="00020000" w:csb1="00000000"/>
  </w:font>
  <w:font w:name="FG丸ｺﾞｼｯｸ体Ca-L">
    <w:panose1 w:val="00000000000000000000"/>
    <w:charset w:val="80"/>
    <w:family w:val="modern"/>
    <w:pitch w:val="fixed"/>
    <w:sig w:usb0="00000000" w:usb1="00000000" w:usb2="00000000" w:usb3="00000000" w:csb0="00020200" w:csb1="00000000"/>
  </w:font>
  <w:font w:name="FGP丸ｺﾞｼｯｸ体Ca-U">
    <w:panose1 w:val="00000000000000000000"/>
    <w:charset w:val="80"/>
    <w:family w:val="modern"/>
    <w:pitch w:val="fixed"/>
    <w:sig w:usb0="00000000" w:usb1="00000000" w:usb2="00000000" w:usb3="00000000" w:csb0="00000200" w:csb1="00000000"/>
  </w:font>
  <w:font w:name="AR P明朝体U">
    <w:panose1 w:val="00000000000000000000"/>
    <w:charset w:val="80"/>
    <w:family w:val="roman"/>
    <w:notTrueType/>
    <w:pitch w:val="variable"/>
    <w:sig w:usb0="00000000" w:usb1="00000000" w:usb2="00000000" w:usb3="00000000" w:csb0="01008200" w:csb1="00000000"/>
  </w:font>
  <w:font w:name="BIZ UD明朝 Medium">
    <w:panose1 w:val="00000000000000000000"/>
    <w:charset w:val="80"/>
    <w:family w:val="roman"/>
    <w:notTrueType/>
    <w:pitch w:val="fixed"/>
    <w:sig w:usb0="00000000" w:usb1="00000000" w:usb2="00000000" w:usb3="00000000" w:csb0="01008200" w:csb1="00000000"/>
  </w:font>
  <w:font w:name="FG平成明朝体W7">
    <w:panose1 w:val="00000000000000000000"/>
    <w:charset w:val="80"/>
    <w:family w:val="roman"/>
    <w:pitch w:val="fixed"/>
    <w:sig w:usb0="00000000" w:usb1="00000000" w:usb2="00000000" w:usb3="00000000" w:csb0="00020200" w:csb1="00000000"/>
  </w:font>
  <w:font w:name="HGS祥南行書体">
    <w:panose1 w:val="00000000000000000000"/>
    <w:charset w:val="80"/>
    <w:family w:val="script"/>
    <w:pitch w:val="fixed"/>
    <w:sig w:usb0="00000000" w:usb1="00000000" w:usb2="00000000" w:usb3="00000000" w:csb0="00000200" w:csb1="00000000"/>
  </w:font>
  <w:font w:name="FG行書体LC-M">
    <w:panose1 w:val="00000000000000000000"/>
    <w:charset w:val="80"/>
    <w:family w:val="script"/>
    <w:pitch w:val="fixed"/>
    <w:sig w:usb0="00000000" w:usb1="00000000" w:usb2="00000000" w:usb3="00000000" w:csb0="00020200" w:csb1="00000000"/>
  </w:font>
  <w:font w:name="Segoe UI Symbol">
    <w:panose1 w:val="00000000000000000000"/>
    <w:charset w:val="00"/>
    <w:family w:val="swiss"/>
    <w:notTrueType/>
    <w:pitch w:val="variable"/>
    <w:sig w:usb0="00000000" w:usb1="00000000" w:usb2="00000000" w:usb3="00000000" w:csb0="FF000000" w:csb1="00000000"/>
  </w:font>
  <w:font w:name="ＭＳ明朝">
    <w:panose1 w:val="00000000000000000000"/>
    <w:charset w:val="80"/>
    <w:family w:val="roman"/>
    <w:notTrueType/>
    <w:pitch w:val="fixed"/>
    <w:sig w:usb0="00000000" w:usb1="00000000" w:usb2="00000000" w:usb3="00000000" w:csb0="00000200" w:csb1="00000000"/>
  </w:font>
  <w:font w:name="ＭＳ ゴシック">
    <w:panose1 w:val="00000800000000000000"/>
    <w:charset w:val="80"/>
    <w:family w:val="modern"/>
    <w:notTrueType/>
    <w:pitch w:val="fixed"/>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5"/>
      <w:spacing w:after="240" w:afterLines="0" w:afterAutospacing="0"/>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5"/>
      <w:tabs>
        <w:tab w:val="clear" w:pos="4252"/>
        <w:tab w:val="clear" w:pos="8504"/>
      </w:tabs>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145</w:t>
    </w:r>
    <w:r>
      <w:rPr>
        <w:rFonts w:hint="eastAsia"/>
      </w:rPr>
      <w:fldChar w:fldCharType="end"/>
    </w: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efaultTabStop w:val="840"/>
  <w:drawingGridHorizontalSpacing w:val="112"/>
  <w:drawingGridVerticalSpacing w:val="18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pPrDefault>
      <w:pPr>
        <w:spacing w:after="160" w:afterLines="0" w:afterAutospacing="0" w:line="259" w:lineRule="auto"/>
      </w:pPr>
    </w:pPrDefault>
  </w:docDefaults>
  <w:style w:type="paragraph" w:styleId="0" w:default="1">
    <w:name w:val="Normal"/>
    <w:next w:val="0"/>
    <w:link w:val="0"/>
    <w:uiPriority w:val="0"/>
    <w:qFormat/>
    <w:pPr>
      <w:widowControl w:val="0"/>
      <w:spacing w:after="0" w:afterLines="0" w:afterAutospacing="0" w:line="240" w:lineRule="auto"/>
      <w:jc w:val="both"/>
    </w:pPr>
    <w:rPr>
      <w:rFonts w:ascii="ＭＳ 明朝" w:hAnsi="ＭＳ 明朝"/>
      <w:kern w:val="2"/>
      <w:sz w:val="22"/>
    </w:rPr>
  </w:style>
  <w:style w:type="paragraph" w:styleId="1">
    <w:name w:val="heading 1"/>
    <w:basedOn w:val="0"/>
    <w:next w:val="0"/>
    <w:link w:val="15"/>
    <w:uiPriority w:val="0"/>
    <w:qFormat/>
    <w:pPr>
      <w:keepNext w:val="1"/>
      <w:outlineLvl w:val="0"/>
    </w:pPr>
    <w:rPr>
      <w:rFonts w:ascii="Arial" w:hAnsi="Arial" w:eastAsia="ＭＳ ゴシック"/>
      <w:sz w:val="24"/>
    </w:rPr>
  </w:style>
  <w:style w:type="paragraph" w:styleId="2">
    <w:name w:val="heading 2"/>
    <w:basedOn w:val="0"/>
    <w:next w:val="0"/>
    <w:link w:val="16"/>
    <w:uiPriority w:val="0"/>
    <w:qFormat/>
    <w:pPr>
      <w:keepNext w:val="1"/>
      <w:outlineLvl w:val="1"/>
    </w:pPr>
    <w:rPr>
      <w:rFonts w:ascii="Arial" w:hAnsi="Arial" w:eastAsia="ＭＳ ゴシック"/>
    </w:rPr>
  </w:style>
  <w:style w:type="paragraph" w:styleId="3">
    <w:name w:val="heading 3"/>
    <w:basedOn w:val="0"/>
    <w:next w:val="0"/>
    <w:link w:val="17"/>
    <w:uiPriority w:val="0"/>
    <w:qFormat/>
    <w:pPr>
      <w:keepNext w:val="1"/>
      <w:ind w:left="400" w:leftChars="400"/>
      <w:outlineLvl w:val="2"/>
    </w:pPr>
    <w:rPr>
      <w:rFonts w:ascii="Arial" w:hAnsi="Arial" w:eastAsia="ＭＳ ゴシック"/>
    </w:rPr>
  </w:style>
  <w:style w:type="paragraph" w:styleId="4">
    <w:name w:val="heading 4"/>
    <w:basedOn w:val="0"/>
    <w:next w:val="0"/>
    <w:link w:val="18"/>
    <w:uiPriority w:val="0"/>
    <w:qFormat/>
    <w:pPr>
      <w:keepNext w:val="1"/>
      <w:ind w:left="400" w:leftChars="400"/>
      <w:outlineLvl w:val="3"/>
    </w:pPr>
    <w:rPr>
      <w:b w:val="1"/>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1 (文字)"/>
    <w:next w:val="15"/>
    <w:link w:val="1"/>
    <w:uiPriority w:val="0"/>
    <w:rPr>
      <w:rFonts w:ascii="Arial" w:hAnsi="Arial" w:eastAsia="ＭＳ ゴシック"/>
      <w:kern w:val="2"/>
      <w:sz w:val="24"/>
    </w:rPr>
  </w:style>
  <w:style w:type="character" w:styleId="16" w:customStyle="1">
    <w:name w:val="見出し 2 (文字)"/>
    <w:basedOn w:val="10"/>
    <w:next w:val="16"/>
    <w:link w:val="2"/>
    <w:uiPriority w:val="0"/>
    <w:rPr>
      <w:rFonts w:ascii="Arial" w:hAnsi="Arial" w:eastAsia="ＭＳ ゴシック"/>
      <w:kern w:val="2"/>
      <w:sz w:val="22"/>
    </w:rPr>
  </w:style>
  <w:style w:type="character" w:styleId="17" w:customStyle="1">
    <w:name w:val="見出し 3 (文字)"/>
    <w:basedOn w:val="10"/>
    <w:next w:val="17"/>
    <w:link w:val="3"/>
    <w:uiPriority w:val="0"/>
    <w:rPr>
      <w:rFonts w:ascii="Arial" w:hAnsi="Arial" w:eastAsia="ＭＳ ゴシック"/>
      <w:kern w:val="2"/>
      <w:sz w:val="22"/>
    </w:rPr>
  </w:style>
  <w:style w:type="character" w:styleId="18" w:customStyle="1">
    <w:name w:val="見出し 4 (文字)"/>
    <w:basedOn w:val="10"/>
    <w:next w:val="18"/>
    <w:link w:val="4"/>
    <w:uiPriority w:val="0"/>
    <w:rPr>
      <w:rFonts w:ascii="ＭＳ 明朝" w:hAnsi="ＭＳ 明朝"/>
      <w:b w:val="1"/>
      <w:kern w:val="2"/>
      <w:sz w:val="21"/>
    </w:rPr>
  </w:style>
  <w:style w:type="paragraph" w:styleId="19" w:customStyle="1">
    <w:name w:val="00_本文"/>
    <w:basedOn w:val="0"/>
    <w:next w:val="19"/>
    <w:link w:val="20"/>
    <w:uiPriority w:val="0"/>
    <w:pPr>
      <w:tabs>
        <w:tab w:val="left" w:leader="none" w:pos="8288"/>
      </w:tabs>
      <w:ind w:left="150" w:leftChars="150" w:firstLine="100" w:firstLineChars="100"/>
    </w:pPr>
    <w:rPr>
      <w:sz w:val="21"/>
    </w:rPr>
  </w:style>
  <w:style w:type="character" w:styleId="20" w:customStyle="1">
    <w:name w:val="00_本文 (文字)"/>
    <w:next w:val="20"/>
    <w:link w:val="19"/>
    <w:uiPriority w:val="0"/>
    <w:rPr>
      <w:rFonts w:ascii="ＭＳ 明朝" w:hAnsi="ＭＳ 明朝"/>
      <w:kern w:val="2"/>
      <w:sz w:val="21"/>
    </w:rPr>
  </w:style>
  <w:style w:type="paragraph" w:styleId="21" w:customStyle="1">
    <w:name w:val="04_（１）４章"/>
    <w:next w:val="21"/>
    <w:link w:val="0"/>
    <w:uiPriority w:val="0"/>
    <w:pPr>
      <w:pBdr>
        <w:top w:val="single" w:color="auto" w:sz="4" w:space="3"/>
        <w:left w:val="single" w:color="auto" w:sz="4" w:space="0"/>
        <w:bottom w:val="single" w:color="auto" w:sz="4" w:space="1"/>
        <w:right w:val="single" w:color="auto" w:sz="4" w:space="0"/>
      </w:pBdr>
      <w:spacing w:after="105" w:afterLines="30" w:afterAutospacing="0" w:line="240" w:lineRule="auto"/>
      <w:ind w:left="112" w:leftChars="50"/>
      <w:jc w:val="both"/>
      <w:textAlignment w:val="center"/>
      <w:outlineLvl w:val="3"/>
    </w:pPr>
    <w:rPr>
      <w:rFonts w:ascii="ＭＳ ゴシック" w:hAnsi="ＭＳ ゴシック" w:eastAsia="ＭＳ ゴシック"/>
      <w:kern w:val="2"/>
      <w:sz w:val="23"/>
    </w:rPr>
  </w:style>
  <w:style w:type="paragraph" w:styleId="22" w:customStyle="1">
    <w:name w:val="01_章"/>
    <w:next w:val="22"/>
    <w:link w:val="0"/>
    <w:uiPriority w:val="0"/>
    <w:pPr>
      <w:pBdr>
        <w:top w:val="double" w:color="auto" w:sz="4" w:space="1"/>
        <w:left w:val="double" w:color="auto" w:sz="4" w:space="4"/>
        <w:bottom w:val="double" w:color="auto" w:sz="4" w:space="1"/>
        <w:right w:val="double" w:color="auto" w:sz="4" w:space="4"/>
      </w:pBdr>
      <w:spacing w:after="280" w:afterLines="80" w:afterAutospacing="0" w:line="0" w:lineRule="atLeast"/>
      <w:ind w:left="2185" w:hanging="2185" w:hangingChars="600"/>
      <w:jc w:val="center"/>
      <w:outlineLvl w:val="0"/>
    </w:pPr>
    <w:rPr>
      <w:rFonts w:ascii="ＭＳ ゴシック" w:hAnsi="ＭＳ ゴシック" w:eastAsia="ＭＳ ゴシック"/>
      <w:kern w:val="2"/>
      <w:sz w:val="36"/>
    </w:rPr>
  </w:style>
  <w:style w:type="paragraph" w:styleId="23">
    <w:name w:val="header"/>
    <w:basedOn w:val="0"/>
    <w:next w:val="23"/>
    <w:link w:val="24"/>
    <w:uiPriority w:val="0"/>
    <w:pPr>
      <w:tabs>
        <w:tab w:val="center" w:leader="none" w:pos="4252"/>
        <w:tab w:val="right" w:leader="none" w:pos="8504"/>
      </w:tabs>
      <w:snapToGrid w:val="0"/>
    </w:pPr>
  </w:style>
  <w:style w:type="character" w:styleId="24" w:customStyle="1">
    <w:name w:val="ヘッダー (文字)"/>
    <w:basedOn w:val="10"/>
    <w:next w:val="24"/>
    <w:link w:val="23"/>
    <w:uiPriority w:val="0"/>
    <w:rPr>
      <w:rFonts w:ascii="ＭＳ 明朝" w:hAnsi="ＭＳ 明朝"/>
      <w:kern w:val="2"/>
      <w:sz w:val="22"/>
    </w:rPr>
  </w:style>
  <w:style w:type="paragraph" w:styleId="25">
    <w:name w:val="footer"/>
    <w:basedOn w:val="0"/>
    <w:next w:val="25"/>
    <w:link w:val="26"/>
    <w:uiPriority w:val="0"/>
    <w:pPr>
      <w:tabs>
        <w:tab w:val="center" w:leader="none" w:pos="4252"/>
        <w:tab w:val="right" w:leader="none" w:pos="8504"/>
      </w:tabs>
      <w:snapToGrid w:val="0"/>
    </w:pPr>
  </w:style>
  <w:style w:type="character" w:styleId="26" w:customStyle="1">
    <w:name w:val="フッター (文字)"/>
    <w:next w:val="26"/>
    <w:link w:val="25"/>
    <w:uiPriority w:val="0"/>
    <w:rPr>
      <w:rFonts w:ascii="ＭＳ 明朝" w:hAnsi="ＭＳ 明朝"/>
      <w:kern w:val="2"/>
      <w:sz w:val="22"/>
    </w:rPr>
  </w:style>
  <w:style w:type="character" w:styleId="27">
    <w:name w:val="page number"/>
    <w:basedOn w:val="10"/>
    <w:next w:val="27"/>
    <w:link w:val="0"/>
    <w:uiPriority w:val="0"/>
  </w:style>
  <w:style w:type="paragraph" w:styleId="28">
    <w:name w:val="Date"/>
    <w:basedOn w:val="0"/>
    <w:next w:val="0"/>
    <w:link w:val="29"/>
    <w:uiPriority w:val="0"/>
  </w:style>
  <w:style w:type="character" w:styleId="29" w:customStyle="1">
    <w:name w:val="日付 (文字)"/>
    <w:basedOn w:val="10"/>
    <w:next w:val="29"/>
    <w:link w:val="28"/>
    <w:uiPriority w:val="0"/>
    <w:rPr>
      <w:rFonts w:ascii="ＭＳ 明朝" w:hAnsi="ＭＳ 明朝"/>
      <w:kern w:val="2"/>
      <w:sz w:val="22"/>
    </w:rPr>
  </w:style>
  <w:style w:type="paragraph" w:styleId="30">
    <w:name w:val="toc 1"/>
    <w:basedOn w:val="0"/>
    <w:next w:val="0"/>
    <w:link w:val="0"/>
    <w:uiPriority w:val="0"/>
    <w:pPr>
      <w:tabs>
        <w:tab w:val="right" w:leader="none" w:pos="22400"/>
      </w:tabs>
      <w:spacing w:before="105" w:beforeLines="30" w:beforeAutospacing="0"/>
      <w:ind w:right="-4485"/>
    </w:pPr>
    <w:rPr>
      <w:rFonts w:ascii="ＭＳ ゴシック" w:hAnsi="ＭＳ ゴシック" w:eastAsia="ＭＳ ゴシック"/>
      <w:sz w:val="26"/>
    </w:rPr>
  </w:style>
  <w:style w:type="paragraph" w:styleId="31">
    <w:name w:val="toc 2"/>
    <w:basedOn w:val="0"/>
    <w:next w:val="0"/>
    <w:link w:val="0"/>
    <w:uiPriority w:val="0"/>
    <w:pPr>
      <w:tabs>
        <w:tab w:val="right" w:leader="middleDot" w:pos="22400"/>
      </w:tabs>
      <w:spacing w:before="52" w:beforeLines="15" w:beforeAutospacing="0"/>
      <w:ind w:left="100" w:leftChars="100"/>
    </w:pPr>
  </w:style>
  <w:style w:type="paragraph" w:styleId="32">
    <w:name w:val="toc 3"/>
    <w:basedOn w:val="0"/>
    <w:next w:val="0"/>
    <w:link w:val="0"/>
    <w:uiPriority w:val="0"/>
    <w:pPr>
      <w:tabs>
        <w:tab w:val="right" w:leader="middleDot" w:pos="9632"/>
      </w:tabs>
      <w:ind w:left="200" w:leftChars="200"/>
    </w:pPr>
  </w:style>
  <w:style w:type="character" w:styleId="33">
    <w:name w:val="Hyperlink"/>
    <w:next w:val="33"/>
    <w:link w:val="0"/>
    <w:uiPriority w:val="0"/>
    <w:rPr>
      <w:color w:val="0000FF"/>
      <w:u w:val="single" w:color="auto"/>
    </w:rPr>
  </w:style>
  <w:style w:type="paragraph" w:styleId="34">
    <w:name w:val="toc 4"/>
    <w:basedOn w:val="0"/>
    <w:next w:val="0"/>
    <w:link w:val="0"/>
    <w:uiPriority w:val="0"/>
    <w:pPr>
      <w:tabs>
        <w:tab w:val="right" w:leader="middleDot" w:pos="9632"/>
      </w:tabs>
      <w:ind w:left="660" w:leftChars="300"/>
    </w:pPr>
  </w:style>
  <w:style w:type="paragraph" w:styleId="35">
    <w:name w:val="Balloon Text"/>
    <w:basedOn w:val="0"/>
    <w:next w:val="35"/>
    <w:link w:val="36"/>
    <w:uiPriority w:val="0"/>
    <w:semiHidden/>
    <w:rPr>
      <w:rFonts w:ascii="Arial" w:hAnsi="Arial" w:eastAsia="ＭＳ ゴシック"/>
      <w:sz w:val="18"/>
    </w:rPr>
  </w:style>
  <w:style w:type="character" w:styleId="36" w:customStyle="1">
    <w:name w:val="吹き出し (文字)"/>
    <w:basedOn w:val="10"/>
    <w:next w:val="36"/>
    <w:link w:val="35"/>
    <w:uiPriority w:val="0"/>
    <w:rPr>
      <w:rFonts w:ascii="Arial" w:hAnsi="Arial" w:eastAsia="ＭＳ ゴシック"/>
      <w:kern w:val="2"/>
      <w:sz w:val="18"/>
    </w:rPr>
  </w:style>
  <w:style w:type="paragraph" w:styleId="37">
    <w:name w:val="toc 9"/>
    <w:basedOn w:val="0"/>
    <w:next w:val="0"/>
    <w:link w:val="0"/>
    <w:uiPriority w:val="0"/>
    <w:pPr>
      <w:tabs>
        <w:tab w:val="left" w:leader="none" w:pos="22400"/>
      </w:tabs>
      <w:spacing w:line="0" w:lineRule="atLeast"/>
      <w:ind w:right="-24655" w:rightChars="-11000"/>
      <w:jc w:val="left"/>
    </w:pPr>
    <w:rPr>
      <w:rFonts w:ascii="ＭＳ ゴシック" w:hAnsi="ＭＳ ゴシック" w:eastAsia="ＭＳ ゴシック"/>
      <w:color w:val="FFFFFF" w:themeColor="background1"/>
      <w:sz w:val="20"/>
    </w:rPr>
  </w:style>
  <w:style w:type="character" w:styleId="38">
    <w:name w:val="FollowedHyperlink"/>
    <w:next w:val="38"/>
    <w:link w:val="0"/>
    <w:uiPriority w:val="0"/>
    <w:rPr>
      <w:color w:val="800080"/>
      <w:u w:val="single" w:color="auto"/>
    </w:rPr>
  </w:style>
  <w:style w:type="paragraph" w:styleId="39" w:customStyle="1">
    <w:name w:val="【表】項目"/>
    <w:next w:val="39"/>
    <w:link w:val="0"/>
    <w:uiPriority w:val="0"/>
    <w:pPr>
      <w:spacing w:before="35" w:beforeLines="10" w:beforeAutospacing="0" w:after="35" w:afterLines="10" w:afterAutospacing="0" w:line="0" w:lineRule="atLeast"/>
      <w:jc w:val="center"/>
    </w:pPr>
    <w:rPr>
      <w:rFonts w:ascii="ＭＳ 明朝" w:hAnsi="ＭＳ 明朝"/>
      <w:w w:val="80"/>
      <w:sz w:val="18"/>
    </w:rPr>
  </w:style>
  <w:style w:type="paragraph" w:styleId="40" w:customStyle="1">
    <w:name w:val="【表】項目_左詰め"/>
    <w:basedOn w:val="39"/>
    <w:next w:val="40"/>
    <w:link w:val="0"/>
    <w:uiPriority w:val="0"/>
    <w:pPr>
      <w:jc w:val="left"/>
    </w:pPr>
  </w:style>
  <w:style w:type="character" w:styleId="41">
    <w:name w:val="annotation reference"/>
    <w:next w:val="41"/>
    <w:link w:val="0"/>
    <w:uiPriority w:val="0"/>
    <w:semiHidden/>
    <w:rPr>
      <w:sz w:val="18"/>
    </w:rPr>
  </w:style>
  <w:style w:type="paragraph" w:styleId="42">
    <w:name w:val="annotation text"/>
    <w:basedOn w:val="0"/>
    <w:next w:val="42"/>
    <w:link w:val="43"/>
    <w:uiPriority w:val="0"/>
    <w:semiHidden/>
    <w:pPr>
      <w:jc w:val="left"/>
    </w:pPr>
  </w:style>
  <w:style w:type="character" w:styleId="43" w:customStyle="1">
    <w:name w:val="コメント文字列 (文字)"/>
    <w:next w:val="43"/>
    <w:link w:val="42"/>
    <w:uiPriority w:val="0"/>
    <w:rPr>
      <w:rFonts w:ascii="ＭＳ 明朝" w:hAnsi="ＭＳ 明朝"/>
      <w:kern w:val="2"/>
      <w:sz w:val="22"/>
    </w:rPr>
  </w:style>
  <w:style w:type="paragraph" w:styleId="44">
    <w:name w:val="annotation subject"/>
    <w:basedOn w:val="42"/>
    <w:next w:val="42"/>
    <w:link w:val="45"/>
    <w:uiPriority w:val="0"/>
    <w:semiHidden/>
    <w:rPr>
      <w:b w:val="1"/>
    </w:rPr>
  </w:style>
  <w:style w:type="character" w:styleId="45" w:customStyle="1">
    <w:name w:val="コメント内容 (文字)"/>
    <w:next w:val="45"/>
    <w:link w:val="44"/>
    <w:uiPriority w:val="0"/>
    <w:rPr>
      <w:rFonts w:ascii="ＭＳ 明朝" w:hAnsi="ＭＳ 明朝"/>
      <w:b w:val="1"/>
      <w:kern w:val="2"/>
      <w:sz w:val="22"/>
    </w:rPr>
  </w:style>
  <w:style w:type="paragraph" w:styleId="46" w:customStyle="1">
    <w:name w:val="日付1"/>
    <w:basedOn w:val="0"/>
    <w:next w:val="0"/>
    <w:link w:val="0"/>
    <w:uiPriority w:val="0"/>
    <w:pPr>
      <w:suppressAutoHyphens w:val="1"/>
    </w:pPr>
    <w:rPr>
      <w:kern w:val="1"/>
    </w:rPr>
  </w:style>
  <w:style w:type="paragraph" w:styleId="47">
    <w:name w:val="TOC Heading"/>
    <w:basedOn w:val="1"/>
    <w:next w:val="0"/>
    <w:link w:val="0"/>
    <w:uiPriority w:val="0"/>
    <w:qFormat/>
    <w:pPr>
      <w:keepLines w:val="1"/>
      <w:widowControl w:val="1"/>
      <w:spacing w:before="240" w:beforeLines="0" w:beforeAutospacing="0" w:line="259" w:lineRule="auto"/>
      <w:jc w:val="left"/>
      <w:outlineLvl w:val="9"/>
    </w:pPr>
    <w:rPr>
      <w:color w:val="2E74B5"/>
      <w:kern w:val="0"/>
      <w:sz w:val="32"/>
    </w:rPr>
  </w:style>
  <w:style w:type="paragraph" w:styleId="48" w:customStyle="1">
    <w:name w:val="00_表：単位"/>
    <w:next w:val="48"/>
    <w:link w:val="0"/>
    <w:uiPriority w:val="0"/>
    <w:pPr>
      <w:widowControl w:val="0"/>
      <w:suppressAutoHyphens w:val="1"/>
      <w:spacing w:after="0" w:afterLines="0" w:afterAutospacing="0" w:line="260" w:lineRule="exact"/>
      <w:jc w:val="right"/>
    </w:pPr>
    <w:rPr>
      <w:rFonts w:ascii="ＭＳ ゴシック" w:hAnsi="ＭＳ ゴシック" w:eastAsia="ＭＳ ゴシック"/>
      <w:kern w:val="1"/>
      <w:sz w:val="18"/>
    </w:rPr>
  </w:style>
  <w:style w:type="paragraph" w:styleId="49">
    <w:name w:val="Document Map"/>
    <w:basedOn w:val="0"/>
    <w:next w:val="49"/>
    <w:link w:val="50"/>
    <w:uiPriority w:val="0"/>
    <w:semiHidden/>
    <w:pPr>
      <w:shd w:val="clear" w:color="auto" w:fill="000080"/>
    </w:pPr>
    <w:rPr>
      <w:rFonts w:ascii="Arial" w:hAnsi="Arial" w:eastAsia="ＭＳ ゴシック"/>
      <w:sz w:val="21"/>
    </w:rPr>
  </w:style>
  <w:style w:type="character" w:styleId="50" w:customStyle="1">
    <w:name w:val="見出しマップ (文字)"/>
    <w:basedOn w:val="10"/>
    <w:next w:val="50"/>
    <w:link w:val="49"/>
    <w:uiPriority w:val="0"/>
    <w:rPr>
      <w:rFonts w:ascii="Arial" w:hAnsi="Arial" w:eastAsia="ＭＳ ゴシック"/>
      <w:kern w:val="2"/>
      <w:sz w:val="21"/>
      <w:shd w:val="clear" w:color="auto" w:fill="000080"/>
    </w:rPr>
  </w:style>
  <w:style w:type="paragraph" w:styleId="51">
    <w:name w:val="Normal (Web)"/>
    <w:basedOn w:val="0"/>
    <w:next w:val="51"/>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paragraph" w:styleId="52">
    <w:name w:val="Plain Text"/>
    <w:basedOn w:val="0"/>
    <w:next w:val="52"/>
    <w:link w:val="53"/>
    <w:uiPriority w:val="0"/>
    <w:rPr>
      <w:sz w:val="21"/>
    </w:rPr>
  </w:style>
  <w:style w:type="character" w:styleId="53" w:customStyle="1">
    <w:name w:val="書式なし (文字)"/>
    <w:basedOn w:val="10"/>
    <w:next w:val="53"/>
    <w:link w:val="52"/>
    <w:uiPriority w:val="0"/>
    <w:rPr>
      <w:rFonts w:ascii="ＭＳ 明朝" w:hAnsi="ＭＳ 明朝"/>
      <w:kern w:val="2"/>
      <w:sz w:val="21"/>
    </w:rPr>
  </w:style>
  <w:style w:type="character" w:styleId="54">
    <w:name w:val="Strong"/>
    <w:next w:val="54"/>
    <w:link w:val="0"/>
    <w:uiPriority w:val="0"/>
    <w:qFormat/>
    <w:rPr>
      <w:b w:val="1"/>
    </w:rPr>
  </w:style>
  <w:style w:type="paragraph" w:styleId="55">
    <w:name w:val="toc 5"/>
    <w:basedOn w:val="0"/>
    <w:next w:val="0"/>
    <w:link w:val="0"/>
    <w:uiPriority w:val="0"/>
    <w:pPr>
      <w:ind w:left="840" w:leftChars="400"/>
    </w:pPr>
    <w:rPr>
      <w:rFonts w:ascii="Century" w:hAnsi="Century"/>
      <w:sz w:val="21"/>
    </w:rPr>
  </w:style>
  <w:style w:type="paragraph" w:styleId="56">
    <w:name w:val="toc 6"/>
    <w:basedOn w:val="0"/>
    <w:next w:val="0"/>
    <w:link w:val="0"/>
    <w:uiPriority w:val="0"/>
    <w:pPr>
      <w:ind w:left="1050" w:leftChars="500"/>
    </w:pPr>
    <w:rPr>
      <w:rFonts w:ascii="Century" w:hAnsi="Century"/>
      <w:sz w:val="21"/>
    </w:rPr>
  </w:style>
  <w:style w:type="paragraph" w:styleId="57">
    <w:name w:val="toc 7"/>
    <w:basedOn w:val="0"/>
    <w:next w:val="0"/>
    <w:link w:val="0"/>
    <w:uiPriority w:val="0"/>
    <w:pPr>
      <w:ind w:left="1260" w:leftChars="600"/>
    </w:pPr>
    <w:rPr>
      <w:rFonts w:ascii="Century" w:hAnsi="Century"/>
      <w:sz w:val="21"/>
    </w:rPr>
  </w:style>
  <w:style w:type="paragraph" w:styleId="58">
    <w:name w:val="toc 8"/>
    <w:basedOn w:val="0"/>
    <w:next w:val="0"/>
    <w:link w:val="0"/>
    <w:uiPriority w:val="0"/>
    <w:pPr>
      <w:tabs>
        <w:tab w:val="right" w:leader="none" w:pos="22400"/>
      </w:tabs>
      <w:spacing w:before="350" w:beforeLines="100" w:beforeAutospacing="0" w:after="350" w:afterLines="100" w:afterAutospacing="0"/>
      <w:ind w:left="426" w:leftChars="190" w:right="-4485"/>
    </w:pPr>
    <w:rPr>
      <w:rFonts w:ascii="Century" w:hAnsi="Century" w:eastAsia="ＭＳ ゴシック"/>
      <w:sz w:val="28"/>
    </w:rPr>
  </w:style>
  <w:style w:type="paragraph" w:styleId="59">
    <w:name w:val="List Paragraph"/>
    <w:basedOn w:val="0"/>
    <w:next w:val="59"/>
    <w:link w:val="0"/>
    <w:uiPriority w:val="0"/>
    <w:qFormat/>
    <w:pPr>
      <w:ind w:left="840" w:leftChars="400"/>
    </w:pPr>
  </w:style>
  <w:style w:type="paragraph" w:styleId="60" w:customStyle="1">
    <w:name w:val="03_（１）２章"/>
    <w:next w:val="60"/>
    <w:link w:val="0"/>
    <w:uiPriority w:val="0"/>
    <w:qFormat/>
    <w:pPr>
      <w:spacing w:after="70" w:afterLines="20" w:afterAutospacing="0"/>
      <w:ind w:left="50" w:leftChars="50"/>
      <w:outlineLvl w:val="2"/>
    </w:pPr>
    <w:rPr>
      <w:rFonts w:ascii="ＭＳ ゴシック" w:hAnsi="ＭＳ ゴシック" w:eastAsia="ＭＳ ゴシック"/>
      <w:color w:val="000000" w:themeColor="text1"/>
      <w:kern w:val="2"/>
      <w:sz w:val="22"/>
    </w:rPr>
  </w:style>
  <w:style w:type="paragraph" w:styleId="61" w:customStyle="1">
    <w:name w:val="本文①"/>
    <w:basedOn w:val="0"/>
    <w:next w:val="61"/>
    <w:link w:val="0"/>
    <w:uiPriority w:val="0"/>
    <w:qFormat/>
    <w:pPr>
      <w:ind w:left="642" w:leftChars="200" w:hanging="214" w:hangingChars="100"/>
    </w:pPr>
    <w:rPr>
      <w:sz w:val="21"/>
    </w:rPr>
  </w:style>
  <w:style w:type="paragraph" w:styleId="62" w:customStyle="1">
    <w:name w:val="表下_資料"/>
    <w:basedOn w:val="0"/>
    <w:next w:val="62"/>
    <w:link w:val="0"/>
    <w:uiPriority w:val="0"/>
    <w:qFormat/>
    <w:pPr>
      <w:spacing w:before="35" w:beforeLines="10" w:beforeAutospacing="0" w:after="350" w:afterLines="100" w:afterAutospacing="0" w:line="0" w:lineRule="atLeast"/>
      <w:ind w:left="1147" w:leftChars="250" w:hanging="612" w:hangingChars="300"/>
    </w:pPr>
    <w:rPr>
      <w:rFonts w:ascii="ＭＳ ゴシック" w:hAnsi="ＭＳ ゴシック" w:eastAsia="ＭＳ ゴシック"/>
      <w:sz w:val="20"/>
    </w:rPr>
  </w:style>
  <w:style w:type="paragraph" w:styleId="63">
    <w:name w:val="Body Text Indent"/>
    <w:basedOn w:val="0"/>
    <w:next w:val="63"/>
    <w:link w:val="64"/>
    <w:uiPriority w:val="0"/>
    <w:pPr>
      <w:spacing w:line="400" w:lineRule="exact"/>
      <w:ind w:left="630" w:hanging="630"/>
    </w:pPr>
    <w:rPr>
      <w:rFonts w:ascii="Century" w:hAnsi="Century"/>
      <w:sz w:val="21"/>
    </w:rPr>
  </w:style>
  <w:style w:type="character" w:styleId="64" w:customStyle="1">
    <w:name w:val="本文インデント (文字)"/>
    <w:basedOn w:val="10"/>
    <w:next w:val="64"/>
    <w:link w:val="63"/>
    <w:uiPriority w:val="0"/>
    <w:rPr>
      <w:kern w:val="2"/>
      <w:sz w:val="21"/>
    </w:rPr>
  </w:style>
  <w:style w:type="paragraph" w:styleId="65">
    <w:name w:val="Body Text"/>
    <w:basedOn w:val="0"/>
    <w:next w:val="65"/>
    <w:link w:val="66"/>
    <w:uiPriority w:val="0"/>
    <w:pPr>
      <w:spacing w:line="400" w:lineRule="exact"/>
    </w:pPr>
    <w:rPr>
      <w:rFonts w:ascii="ＭＳ ゴシック" w:hAnsi="ＭＳ ゴシック" w:eastAsia="ＭＳ ゴシック"/>
      <w:sz w:val="28"/>
    </w:rPr>
  </w:style>
  <w:style w:type="character" w:styleId="66" w:customStyle="1">
    <w:name w:val="本文 (文字)"/>
    <w:basedOn w:val="10"/>
    <w:next w:val="66"/>
    <w:link w:val="65"/>
    <w:uiPriority w:val="0"/>
    <w:rPr>
      <w:rFonts w:ascii="ＭＳ ゴシック" w:hAnsi="ＭＳ ゴシック" w:eastAsia="ＭＳ ゴシック"/>
      <w:kern w:val="2"/>
      <w:sz w:val="28"/>
    </w:rPr>
  </w:style>
  <w:style w:type="paragraph" w:styleId="67">
    <w:name w:val="Body Text 2"/>
    <w:basedOn w:val="0"/>
    <w:next w:val="67"/>
    <w:link w:val="68"/>
    <w:uiPriority w:val="0"/>
    <w:pPr>
      <w:autoSpaceDE w:val="0"/>
      <w:autoSpaceDN w:val="0"/>
      <w:adjustRightInd w:val="0"/>
      <w:spacing w:line="400" w:lineRule="exact"/>
      <w:jc w:val="left"/>
    </w:pPr>
    <w:rPr>
      <w:rFonts w:ascii="HG丸ｺﾞｼｯｸM-PRO" w:hAnsi="HG丸ｺﾞｼｯｸM-PRO" w:eastAsia="FG丸ｺﾞｼｯｸ体Ca-B"/>
      <w:kern w:val="0"/>
      <w:sz w:val="21"/>
    </w:rPr>
  </w:style>
  <w:style w:type="character" w:styleId="68" w:customStyle="1">
    <w:name w:val="本文 2 (文字)"/>
    <w:basedOn w:val="10"/>
    <w:next w:val="68"/>
    <w:link w:val="67"/>
    <w:uiPriority w:val="0"/>
    <w:rPr>
      <w:rFonts w:ascii="HG丸ｺﾞｼｯｸM-PRO" w:hAnsi="HG丸ｺﾞｼｯｸM-PRO" w:eastAsia="FG丸ｺﾞｼｯｸ体Ca-B"/>
      <w:sz w:val="21"/>
    </w:rPr>
  </w:style>
  <w:style w:type="paragraph" w:styleId="69">
    <w:name w:val="Block Text"/>
    <w:basedOn w:val="0"/>
    <w:next w:val="69"/>
    <w:link w:val="0"/>
    <w:uiPriority w:val="0"/>
    <w:pPr>
      <w:spacing w:line="360" w:lineRule="exact"/>
      <w:ind w:left="550" w:leftChars="50" w:right="110" w:rightChars="50" w:hanging="440" w:hangingChars="200"/>
    </w:pPr>
  </w:style>
  <w:style w:type="paragraph" w:styleId="70" w:customStyle="1">
    <w:name w:val="02_節"/>
    <w:next w:val="70"/>
    <w:link w:val="0"/>
    <w:uiPriority w:val="0"/>
    <w:qFormat/>
    <w:pPr>
      <w:spacing w:after="0" w:afterLines="0" w:afterAutospacing="0" w:line="0" w:lineRule="atLeast"/>
      <w:ind w:left="1123"/>
      <w:jc w:val="both"/>
      <w:outlineLvl w:val="1"/>
    </w:pPr>
    <w:rPr>
      <w:rFonts w:ascii="ＭＳ ゴシック" w:hAnsi="ＭＳ ゴシック" w:eastAsia="ＭＳ ゴシック"/>
      <w:kern w:val="2"/>
      <w:sz w:val="32"/>
    </w:rPr>
  </w:style>
  <w:style w:type="paragraph" w:styleId="71" w:customStyle="1">
    <w:name w:val="05_2今後の取り組み"/>
    <w:next w:val="71"/>
    <w:link w:val="0"/>
    <w:uiPriority w:val="0"/>
    <w:qFormat/>
    <w:pPr>
      <w:spacing w:after="0" w:afterLines="0" w:afterAutospacing="0" w:line="240" w:lineRule="auto"/>
      <w:ind w:left="55" w:leftChars="55" w:right="-9" w:rightChars="-9"/>
      <w:jc w:val="center"/>
      <w:outlineLvl w:val="4"/>
    </w:pPr>
    <w:rPr>
      <w:rFonts w:ascii="ＭＳ ゴシック" w:hAnsi="ＭＳ ゴシック" w:eastAsia="ＭＳ ゴシック"/>
      <w:color w:val="FFFFFF" w:themeColor="background1"/>
      <w:kern w:val="2"/>
      <w:sz w:val="22"/>
    </w:rPr>
  </w:style>
  <w:style w:type="paragraph" w:styleId="72" w:customStyle="1">
    <w:name w:val="05_1 【現状・課題】４章"/>
    <w:next w:val="72"/>
    <w:link w:val="0"/>
    <w:uiPriority w:val="0"/>
    <w:qFormat/>
    <w:pPr>
      <w:spacing w:after="0" w:afterLines="0" w:afterAutospacing="0" w:line="240" w:lineRule="auto"/>
      <w:ind w:left="100" w:leftChars="100"/>
      <w:jc w:val="both"/>
    </w:pPr>
    <w:rPr>
      <w:rFonts w:ascii="ＭＳ ゴシック" w:hAnsi="ＭＳ ゴシック" w:eastAsia="ＭＳ ゴシック"/>
      <w:kern w:val="2"/>
      <w:sz w:val="22"/>
    </w:rPr>
  </w:style>
  <w:style w:type="paragraph" w:styleId="73" w:customStyle="1">
    <w:name w:val="06_①_４章"/>
    <w:next w:val="73"/>
    <w:link w:val="0"/>
    <w:uiPriority w:val="0"/>
    <w:pPr>
      <w:adjustRightInd w:val="0"/>
      <w:spacing w:after="0" w:afterLines="0" w:afterAutospacing="0" w:line="240" w:lineRule="auto"/>
      <w:ind w:left="300" w:leftChars="200" w:hanging="100" w:hangingChars="100"/>
      <w:jc w:val="both"/>
      <w:outlineLvl w:val="5"/>
    </w:pPr>
    <w:rPr>
      <w:rFonts w:ascii="ＭＳ ゴシック" w:hAnsi="ＭＳ ゴシック" w:eastAsia="ＭＳ ゴシック"/>
      <w:color w:val="000000" w:themeColor="text1"/>
      <w:kern w:val="2"/>
      <w:sz w:val="22"/>
    </w:rPr>
  </w:style>
  <w:style w:type="paragraph" w:styleId="74" w:customStyle="1">
    <w:name w:val="06_現状・課題の▶４章"/>
    <w:next w:val="74"/>
    <w:link w:val="0"/>
    <w:uiPriority w:val="0"/>
    <w:qFormat/>
    <w:pPr>
      <w:spacing w:after="0" w:afterLines="0" w:afterAutospacing="0" w:line="240" w:lineRule="auto"/>
      <w:ind w:left="300" w:leftChars="200" w:hanging="100" w:hangingChars="100"/>
      <w:jc w:val="both"/>
      <w:outlineLvl w:val="5"/>
    </w:pPr>
    <w:rPr>
      <w:rFonts w:ascii="ＭＳ ゴシック" w:hAnsi="ＭＳ ゴシック" w:eastAsia="ＭＳ ゴシック"/>
      <w:color w:val="000000" w:themeColor="text1"/>
      <w:kern w:val="2"/>
      <w:sz w:val="21"/>
    </w:rPr>
  </w:style>
  <w:style w:type="paragraph" w:styleId="75" w:customStyle="1">
    <w:name w:val="00_※の文章"/>
    <w:next w:val="75"/>
    <w:link w:val="0"/>
    <w:uiPriority w:val="0"/>
    <w:qFormat/>
    <w:pPr>
      <w:spacing w:after="0" w:afterLines="0" w:afterAutospacing="0" w:line="0" w:lineRule="atLeast"/>
      <w:ind w:left="200" w:leftChars="200" w:firstLine="100" w:firstLineChars="100"/>
      <w:jc w:val="both"/>
      <w:textAlignment w:val="center"/>
    </w:pPr>
    <w:rPr>
      <w:rFonts w:ascii="ＭＳ 明朝" w:hAnsi="ＭＳ 明朝"/>
      <w:color w:val="000000" w:themeColor="text1"/>
      <w:kern w:val="2"/>
    </w:rPr>
  </w:style>
  <w:style w:type="paragraph" w:styleId="76" w:customStyle="1">
    <w:name w:val="00_※のタイトル"/>
    <w:next w:val="76"/>
    <w:link w:val="0"/>
    <w:uiPriority w:val="0"/>
    <w:qFormat/>
    <w:pPr>
      <w:spacing w:before="70" w:beforeLines="20" w:beforeAutospacing="0" w:after="0" w:afterLines="0" w:afterAutospacing="0" w:line="240" w:lineRule="auto"/>
      <w:ind w:left="100" w:leftChars="100"/>
      <w:jc w:val="both"/>
      <w:textAlignment w:val="center"/>
    </w:pPr>
    <w:rPr>
      <w:rFonts w:ascii="ＭＳ ゴシック" w:hAnsi="ＭＳ ゴシック" w:eastAsia="ＭＳ ゴシック"/>
      <w:color w:val="000000" w:themeColor="text1"/>
      <w:kern w:val="2"/>
    </w:rPr>
  </w:style>
  <w:style w:type="paragraph" w:styleId="77">
    <w:name w:val="Revision"/>
    <w:next w:val="77"/>
    <w:link w:val="0"/>
    <w:uiPriority w:val="0"/>
    <w:rPr>
      <w:rFonts w:ascii="ＭＳ 明朝" w:hAnsi="ＭＳ 明朝"/>
      <w:kern w:val="2"/>
      <w:sz w:val="22"/>
    </w:rPr>
  </w:style>
  <w:style w:type="character" w:styleId="78">
    <w:name w:val="footnote reference"/>
    <w:basedOn w:val="10"/>
    <w:next w:val="78"/>
    <w:link w:val="0"/>
    <w:uiPriority w:val="0"/>
    <w:semiHidden/>
    <w:rPr>
      <w:vertAlign w:val="superscript"/>
    </w:rPr>
  </w:style>
  <w:style w:type="character" w:styleId="79">
    <w:name w:val="endnote reference"/>
    <w:basedOn w:val="10"/>
    <w:next w:val="79"/>
    <w:link w:val="0"/>
    <w:uiPriority w:val="0"/>
    <w:semiHidden/>
    <w:rPr>
      <w:vertAlign w:val="superscript"/>
    </w:rPr>
  </w:style>
  <w:style w:type="paragraph" w:styleId="80" w:customStyle="1">
    <w:name w:val="02_１．"/>
    <w:next w:val="80"/>
    <w:link w:val="0"/>
    <w:uiPriority w:val="0"/>
    <w:qFormat/>
    <w:pPr>
      <w:spacing w:after="87" w:afterLines="25" w:afterAutospacing="0" w:line="240" w:lineRule="auto"/>
      <w:outlineLvl w:val="1"/>
    </w:pPr>
    <w:rPr>
      <w:rFonts w:ascii="ＭＳ ゴシック" w:hAnsi="ＭＳ ゴシック" w:eastAsia="ＭＳ ゴシック"/>
      <w:kern w:val="2"/>
      <w:sz w:val="26"/>
    </w:rPr>
  </w:style>
  <w:style w:type="paragraph" w:styleId="81" w:customStyle="1">
    <w:name w:val="03_（１）"/>
    <w:next w:val="81"/>
    <w:link w:val="120"/>
    <w:uiPriority w:val="0"/>
    <w:qFormat/>
    <w:pPr>
      <w:spacing w:after="35" w:afterLines="10" w:afterAutospacing="0" w:line="240" w:lineRule="auto"/>
      <w:ind w:left="100" w:leftChars="100"/>
      <w:outlineLvl w:val="2"/>
    </w:pPr>
    <w:rPr>
      <w:rFonts w:ascii="ＭＳ ゴシック" w:hAnsi="ＭＳ ゴシック" w:eastAsia="ＭＳ ゴシック"/>
      <w:kern w:val="2"/>
      <w:sz w:val="24"/>
    </w:rPr>
  </w:style>
  <w:style w:type="paragraph" w:styleId="82" w:customStyle="1">
    <w:name w:val="04_①"/>
    <w:next w:val="82"/>
    <w:link w:val="0"/>
    <w:uiPriority w:val="0"/>
    <w:pPr>
      <w:spacing w:after="0" w:afterLines="0" w:afterAutospacing="0" w:line="240" w:lineRule="auto"/>
      <w:ind w:left="350" w:leftChars="200" w:hanging="150" w:hangingChars="150"/>
      <w:jc w:val="both"/>
      <w:outlineLvl w:val="3"/>
    </w:pPr>
    <w:rPr>
      <w:rFonts w:ascii="ＭＳ ゴシック" w:hAnsi="ＭＳ ゴシック" w:eastAsia="ＭＳ ゴシック"/>
      <w:kern w:val="2"/>
      <w:sz w:val="22"/>
    </w:rPr>
  </w:style>
  <w:style w:type="paragraph" w:styleId="83" w:customStyle="1">
    <w:name w:val="00_本文_３字＆字下げ"/>
    <w:basedOn w:val="0"/>
    <w:next w:val="83"/>
    <w:link w:val="0"/>
    <w:uiPriority w:val="0"/>
    <w:pPr>
      <w:widowControl w:val="1"/>
      <w:ind w:left="300" w:leftChars="300" w:firstLine="100" w:firstLineChars="100"/>
    </w:pPr>
  </w:style>
  <w:style w:type="paragraph" w:styleId="84" w:customStyle="1">
    <w:name w:val="05_ｱ)"/>
    <w:next w:val="84"/>
    <w:link w:val="0"/>
    <w:uiPriority w:val="0"/>
    <w:pPr>
      <w:spacing w:after="0" w:afterLines="0" w:afterAutospacing="0" w:line="240" w:lineRule="auto"/>
      <w:ind w:left="300" w:leftChars="300"/>
      <w:jc w:val="both"/>
      <w:outlineLvl w:val="4"/>
    </w:pPr>
    <w:rPr>
      <w:rFonts w:ascii="ＭＳ ゴシック" w:hAnsi="ＭＳ ゴシック" w:eastAsia="ＭＳ ゴシック"/>
      <w:kern w:val="2"/>
      <w:sz w:val="22"/>
    </w:rPr>
  </w:style>
  <w:style w:type="paragraph" w:styleId="85" w:customStyle="1">
    <w:name w:val="09_グラフのタイトル"/>
    <w:next w:val="85"/>
    <w:link w:val="0"/>
    <w:uiPriority w:val="0"/>
    <w:pPr>
      <w:spacing w:after="0" w:afterLines="0" w:afterAutospacing="0" w:line="240" w:lineRule="auto"/>
      <w:ind w:left="200" w:leftChars="200"/>
      <w:jc w:val="both"/>
    </w:pPr>
    <w:rPr>
      <w:rFonts w:ascii="HG丸ｺﾞｼｯｸM-PRO" w:hAnsi="HG丸ｺﾞｼｯｸM-PRO" w:eastAsia="ＭＳ ゴシック"/>
      <w:kern w:val="2"/>
      <w:sz w:val="22"/>
      <w:u w:val="single" w:color="auto"/>
    </w:rPr>
  </w:style>
  <w:style w:type="paragraph" w:styleId="86" w:customStyle="1">
    <w:name w:val="00_保険料部分_表(項目_中央揃え）"/>
    <w:next w:val="86"/>
    <w:link w:val="0"/>
    <w:uiPriority w:val="0"/>
    <w:pPr>
      <w:spacing w:before="17" w:beforeLines="5" w:beforeAutospacing="0" w:after="17" w:afterLines="5" w:afterAutospacing="0" w:line="0" w:lineRule="atLeast"/>
      <w:jc w:val="center"/>
    </w:pPr>
    <w:rPr>
      <w:rFonts w:ascii="ＭＳ 明朝" w:hAnsi="ＭＳ 明朝"/>
      <w:spacing w:val="-4"/>
      <w:sz w:val="21"/>
    </w:rPr>
  </w:style>
  <w:style w:type="paragraph" w:styleId="87" w:customStyle="1">
    <w:name w:val="00_保険料部分_表(資料：）"/>
    <w:next w:val="87"/>
    <w:link w:val="0"/>
    <w:uiPriority w:val="0"/>
    <w:pPr>
      <w:spacing w:before="35" w:beforeLines="10" w:beforeAutospacing="0" w:after="35" w:afterLines="10" w:afterAutospacing="0" w:line="0" w:lineRule="atLeast"/>
    </w:pPr>
    <w:rPr>
      <w:rFonts w:ascii="ＭＳ 明朝" w:hAnsi="ＭＳ 明朝"/>
      <w:spacing w:val="-8"/>
    </w:rPr>
  </w:style>
  <w:style w:type="paragraph" w:styleId="88" w:customStyle="1">
    <w:name w:val="00_保険料部分_表(数値_右揃え）"/>
    <w:basedOn w:val="0"/>
    <w:next w:val="88"/>
    <w:link w:val="0"/>
    <w:uiPriority w:val="0"/>
    <w:pPr>
      <w:widowControl w:val="1"/>
      <w:spacing w:before="18" w:beforeLines="0" w:beforeAutospacing="0" w:after="18" w:afterLines="0" w:afterAutospacing="0" w:line="0" w:lineRule="atLeast"/>
      <w:jc w:val="right"/>
    </w:pPr>
    <w:rPr>
      <w:kern w:val="0"/>
      <w:sz w:val="21"/>
    </w:rPr>
  </w:style>
  <w:style w:type="paragraph" w:styleId="89" w:customStyle="1">
    <w:name w:val="00_5章の本文"/>
    <w:next w:val="89"/>
    <w:link w:val="0"/>
    <w:uiPriority w:val="0"/>
    <w:pPr>
      <w:spacing w:after="0" w:afterLines="0" w:afterAutospacing="0" w:line="240" w:lineRule="auto"/>
      <w:ind w:left="200" w:leftChars="200" w:firstLine="100" w:firstLineChars="100"/>
      <w:jc w:val="both"/>
    </w:pPr>
    <w:rPr>
      <w:rFonts w:ascii="ＭＳ 明朝" w:hAnsi="ＭＳ 明朝"/>
      <w:spacing w:val="-2"/>
      <w:kern w:val="2"/>
      <w:sz w:val="21"/>
    </w:rPr>
  </w:style>
  <w:style w:type="paragraph" w:styleId="90">
    <w:name w:val="macro"/>
    <w:next w:val="90"/>
    <w:link w:val="91"/>
    <w:uiPriority w:val="0"/>
    <w:semiHidden/>
    <w:pPr>
      <w:widowControl w:val="0"/>
      <w:tabs>
        <w:tab w:val="left" w:leader="none" w:pos="425"/>
        <w:tab w:val="left" w:leader="none" w:pos="851"/>
        <w:tab w:val="left" w:leader="none" w:pos="1276"/>
        <w:tab w:val="left" w:leader="none" w:pos="1701"/>
        <w:tab w:val="left" w:leader="none" w:pos="2126"/>
        <w:tab w:val="left" w:leader="none" w:pos="2551"/>
        <w:tab w:val="left" w:leader="none" w:pos="2976"/>
        <w:tab w:val="left" w:leader="none" w:pos="3402"/>
        <w:tab w:val="left" w:leader="none" w:pos="3827"/>
        <w:tab w:val="left" w:leader="none" w:pos="4252"/>
        <w:tab w:val="left" w:leader="none" w:pos="4677"/>
        <w:tab w:val="left" w:leader="none" w:pos="5102"/>
      </w:tabs>
      <w:kinsoku w:val="0"/>
      <w:overflowPunct w:val="0"/>
      <w:autoSpaceDE w:val="0"/>
      <w:autoSpaceDN w:val="0"/>
      <w:snapToGrid w:val="0"/>
    </w:pPr>
    <w:rPr>
      <w:rFonts w:ascii="Courier New" w:hAnsi="Courier New"/>
      <w:kern w:val="2"/>
      <w:sz w:val="18"/>
    </w:rPr>
  </w:style>
  <w:style w:type="character" w:styleId="91" w:customStyle="1">
    <w:name w:val="マクロ文字列 (文字)"/>
    <w:basedOn w:val="10"/>
    <w:next w:val="91"/>
    <w:link w:val="90"/>
    <w:uiPriority w:val="0"/>
    <w:rPr>
      <w:rFonts w:ascii="Courier New" w:hAnsi="Courier New"/>
      <w:kern w:val="2"/>
      <w:sz w:val="18"/>
    </w:rPr>
  </w:style>
  <w:style w:type="paragraph" w:styleId="92">
    <w:name w:val="table of authorities"/>
    <w:basedOn w:val="0"/>
    <w:next w:val="0"/>
    <w:link w:val="0"/>
    <w:uiPriority w:val="0"/>
    <w:semiHidden/>
    <w:pPr>
      <w:ind w:left="220" w:hanging="220" w:hangingChars="100"/>
    </w:pPr>
  </w:style>
  <w:style w:type="paragraph" w:styleId="93">
    <w:name w:val="toa heading"/>
    <w:basedOn w:val="0"/>
    <w:next w:val="0"/>
    <w:link w:val="0"/>
    <w:uiPriority w:val="0"/>
    <w:semiHidden/>
    <w:pPr>
      <w:spacing w:before="180" w:beforeLines="0" w:beforeAutospacing="0"/>
    </w:pPr>
    <w:rPr>
      <w:rFonts w:ascii="Arial" w:hAnsi="Arial" w:eastAsia="ＭＳ ゴシック"/>
      <w:sz w:val="24"/>
    </w:rPr>
  </w:style>
  <w:style w:type="paragraph" w:styleId="94">
    <w:name w:val="footnote text"/>
    <w:basedOn w:val="0"/>
    <w:next w:val="94"/>
    <w:link w:val="95"/>
    <w:uiPriority w:val="0"/>
    <w:semiHidden/>
    <w:pPr>
      <w:snapToGrid w:val="0"/>
      <w:jc w:val="left"/>
    </w:pPr>
  </w:style>
  <w:style w:type="character" w:styleId="95" w:customStyle="1">
    <w:name w:val="脚注文字列 (文字)"/>
    <w:basedOn w:val="10"/>
    <w:next w:val="95"/>
    <w:link w:val="94"/>
    <w:uiPriority w:val="0"/>
    <w:rPr>
      <w:rFonts w:ascii="ＭＳ 明朝" w:hAnsi="ＭＳ 明朝"/>
      <w:kern w:val="2"/>
      <w:sz w:val="22"/>
    </w:rPr>
  </w:style>
  <w:style w:type="paragraph" w:styleId="96">
    <w:name w:val="index 1"/>
    <w:basedOn w:val="0"/>
    <w:next w:val="0"/>
    <w:link w:val="0"/>
    <w:uiPriority w:val="0"/>
    <w:pPr>
      <w:ind w:left="220" w:hanging="220" w:hangingChars="100"/>
    </w:pPr>
  </w:style>
  <w:style w:type="paragraph" w:styleId="97">
    <w:name w:val="index 2"/>
    <w:basedOn w:val="0"/>
    <w:next w:val="0"/>
    <w:link w:val="0"/>
    <w:uiPriority w:val="0"/>
    <w:pPr>
      <w:ind w:left="100" w:leftChars="100" w:hanging="220" w:hangingChars="100"/>
    </w:pPr>
  </w:style>
  <w:style w:type="paragraph" w:styleId="98">
    <w:name w:val="index 3"/>
    <w:basedOn w:val="0"/>
    <w:next w:val="0"/>
    <w:link w:val="0"/>
    <w:uiPriority w:val="0"/>
    <w:pPr>
      <w:ind w:left="200" w:leftChars="200" w:hanging="220" w:hangingChars="100"/>
    </w:pPr>
  </w:style>
  <w:style w:type="paragraph" w:styleId="99">
    <w:name w:val="index 4"/>
    <w:basedOn w:val="0"/>
    <w:next w:val="0"/>
    <w:link w:val="0"/>
    <w:uiPriority w:val="0"/>
    <w:pPr>
      <w:ind w:left="300" w:leftChars="300" w:hanging="220" w:hangingChars="100"/>
    </w:pPr>
  </w:style>
  <w:style w:type="paragraph" w:styleId="100">
    <w:name w:val="index 5"/>
    <w:basedOn w:val="0"/>
    <w:next w:val="0"/>
    <w:link w:val="0"/>
    <w:uiPriority w:val="0"/>
    <w:pPr>
      <w:ind w:left="400" w:leftChars="400" w:hanging="220" w:hangingChars="100"/>
    </w:pPr>
  </w:style>
  <w:style w:type="paragraph" w:styleId="101">
    <w:name w:val="index 6"/>
    <w:basedOn w:val="0"/>
    <w:next w:val="0"/>
    <w:link w:val="0"/>
    <w:uiPriority w:val="0"/>
    <w:pPr>
      <w:ind w:left="500" w:leftChars="500" w:hanging="220" w:hangingChars="100"/>
    </w:pPr>
  </w:style>
  <w:style w:type="paragraph" w:styleId="102">
    <w:name w:val="index 7"/>
    <w:basedOn w:val="0"/>
    <w:next w:val="0"/>
    <w:link w:val="0"/>
    <w:uiPriority w:val="0"/>
    <w:pPr>
      <w:ind w:left="600" w:leftChars="600" w:hanging="220" w:hangingChars="100"/>
    </w:pPr>
  </w:style>
  <w:style w:type="paragraph" w:styleId="103">
    <w:name w:val="index 8"/>
    <w:basedOn w:val="0"/>
    <w:next w:val="0"/>
    <w:link w:val="0"/>
    <w:uiPriority w:val="0"/>
    <w:pPr>
      <w:ind w:left="700" w:leftChars="700" w:hanging="220" w:hangingChars="100"/>
    </w:pPr>
  </w:style>
  <w:style w:type="paragraph" w:styleId="104">
    <w:name w:val="index 9"/>
    <w:basedOn w:val="0"/>
    <w:next w:val="0"/>
    <w:link w:val="0"/>
    <w:uiPriority w:val="0"/>
    <w:pPr>
      <w:ind w:left="800" w:leftChars="800" w:hanging="220" w:hangingChars="100"/>
    </w:pPr>
  </w:style>
  <w:style w:type="paragraph" w:styleId="105">
    <w:name w:val="index heading"/>
    <w:basedOn w:val="0"/>
    <w:next w:val="96"/>
    <w:link w:val="0"/>
    <w:uiPriority w:val="0"/>
    <w:rPr>
      <w:rFonts w:ascii="Arial" w:hAnsi="Arial"/>
      <w:b w:val="1"/>
    </w:rPr>
  </w:style>
  <w:style w:type="paragraph" w:styleId="106">
    <w:name w:val="caption"/>
    <w:basedOn w:val="0"/>
    <w:next w:val="0"/>
    <w:link w:val="0"/>
    <w:uiPriority w:val="0"/>
    <w:semiHidden/>
    <w:qFormat/>
    <w:rPr>
      <w:b w:val="1"/>
      <w:sz w:val="21"/>
    </w:rPr>
  </w:style>
  <w:style w:type="paragraph" w:styleId="107">
    <w:name w:val="table of figures"/>
    <w:basedOn w:val="0"/>
    <w:next w:val="0"/>
    <w:link w:val="0"/>
    <w:uiPriority w:val="0"/>
    <w:semiHidden/>
    <w:pPr>
      <w:ind w:left="200" w:leftChars="200" w:hanging="200" w:hangingChars="200"/>
    </w:pPr>
  </w:style>
  <w:style w:type="paragraph" w:styleId="108">
    <w:name w:val="endnote text"/>
    <w:basedOn w:val="0"/>
    <w:next w:val="108"/>
    <w:link w:val="109"/>
    <w:uiPriority w:val="0"/>
    <w:semiHidden/>
    <w:pPr>
      <w:snapToGrid w:val="0"/>
      <w:jc w:val="left"/>
    </w:pPr>
  </w:style>
  <w:style w:type="character" w:styleId="109" w:customStyle="1">
    <w:name w:val="文末脚注文字列 (文字)"/>
    <w:basedOn w:val="10"/>
    <w:next w:val="109"/>
    <w:link w:val="108"/>
    <w:uiPriority w:val="0"/>
    <w:rPr>
      <w:rFonts w:ascii="ＭＳ 明朝" w:hAnsi="ＭＳ 明朝"/>
      <w:kern w:val="2"/>
      <w:sz w:val="22"/>
    </w:rPr>
  </w:style>
  <w:style w:type="paragraph" w:styleId="110">
    <w:name w:val="Note Heading"/>
    <w:basedOn w:val="0"/>
    <w:next w:val="0"/>
    <w:link w:val="111"/>
    <w:uiPriority w:val="0"/>
    <w:pPr>
      <w:jc w:val="center"/>
    </w:pPr>
    <w:rPr>
      <w:rFonts w:ascii="Century" w:hAnsi="Century"/>
      <w:sz w:val="21"/>
    </w:rPr>
  </w:style>
  <w:style w:type="character" w:styleId="111" w:customStyle="1">
    <w:name w:val="記 (文字)"/>
    <w:basedOn w:val="10"/>
    <w:next w:val="111"/>
    <w:link w:val="110"/>
    <w:uiPriority w:val="0"/>
    <w:rPr>
      <w:kern w:val="2"/>
      <w:sz w:val="21"/>
    </w:rPr>
  </w:style>
  <w:style w:type="paragraph" w:styleId="112">
    <w:name w:val="Closing"/>
    <w:basedOn w:val="0"/>
    <w:next w:val="112"/>
    <w:link w:val="113"/>
    <w:uiPriority w:val="0"/>
    <w:pPr>
      <w:jc w:val="right"/>
    </w:pPr>
    <w:rPr>
      <w:rFonts w:ascii="Century" w:hAnsi="Century"/>
      <w:sz w:val="21"/>
    </w:rPr>
  </w:style>
  <w:style w:type="character" w:styleId="113" w:customStyle="1">
    <w:name w:val="結語 (文字)"/>
    <w:basedOn w:val="10"/>
    <w:next w:val="113"/>
    <w:link w:val="112"/>
    <w:uiPriority w:val="0"/>
    <w:rPr>
      <w:kern w:val="2"/>
      <w:sz w:val="21"/>
    </w:rPr>
  </w:style>
  <w:style w:type="paragraph" w:styleId="114" w:customStyle="1">
    <w:name w:val="07_ｱ)４章"/>
    <w:next w:val="114"/>
    <w:link w:val="0"/>
    <w:uiPriority w:val="0"/>
    <w:qFormat/>
    <w:pPr>
      <w:autoSpaceDE w:val="0"/>
      <w:autoSpaceDN w:val="0"/>
      <w:spacing w:after="0" w:afterLines="0" w:afterAutospacing="0" w:line="240" w:lineRule="auto"/>
      <w:ind w:left="350" w:leftChars="250" w:hanging="100" w:hangingChars="100"/>
      <w:outlineLvl w:val="6"/>
    </w:pPr>
    <w:rPr>
      <w:rFonts w:ascii="ＭＳ ゴシック" w:hAnsi="ＭＳ ゴシック" w:eastAsia="ＭＳ ゴシック"/>
      <w:sz w:val="21"/>
    </w:rPr>
  </w:style>
  <w:style w:type="paragraph" w:styleId="115" w:customStyle="1">
    <w:name w:val="_0_0_本文"/>
    <w:basedOn w:val="0"/>
    <w:next w:val="115"/>
    <w:link w:val="116"/>
    <w:uiPriority w:val="0"/>
    <w:pPr>
      <w:tabs>
        <w:tab w:val="left" w:leader="none" w:pos="8288"/>
      </w:tabs>
      <w:ind w:left="336" w:leftChars="150" w:firstLine="214" w:firstLineChars="100"/>
    </w:pPr>
    <w:rPr>
      <w:sz w:val="21"/>
    </w:rPr>
  </w:style>
  <w:style w:type="character" w:styleId="116" w:customStyle="1">
    <w:name w:val="_0_0_本文 (文字)"/>
    <w:next w:val="116"/>
    <w:link w:val="115"/>
    <w:uiPriority w:val="0"/>
    <w:rPr>
      <w:rFonts w:ascii="ＭＳ 明朝" w:hAnsi="ＭＳ 明朝"/>
      <w:kern w:val="2"/>
      <w:sz w:val="21"/>
    </w:rPr>
  </w:style>
  <w:style w:type="paragraph" w:styleId="117" w:customStyle="1">
    <w:name w:val="_0_1_章"/>
    <w:next w:val="117"/>
    <w:link w:val="0"/>
    <w:uiPriority w:val="0"/>
    <w:pPr>
      <w:pBdr>
        <w:top w:val="double" w:color="auto" w:sz="4" w:space="1"/>
        <w:left w:val="double" w:color="auto" w:sz="4" w:space="4"/>
        <w:bottom w:val="double" w:color="auto" w:sz="4" w:space="1"/>
        <w:right w:val="double" w:color="auto" w:sz="4" w:space="4"/>
      </w:pBdr>
      <w:spacing w:before="175" w:beforeLines="50" w:beforeAutospacing="0" w:after="0" w:afterLines="0" w:afterAutospacing="0" w:line="0" w:lineRule="atLeast"/>
      <w:jc w:val="center"/>
      <w:outlineLvl w:val="0"/>
    </w:pPr>
    <w:rPr>
      <w:rFonts w:ascii="ＭＳ ゴシック" w:hAnsi="ＭＳ ゴシック" w:eastAsia="ＭＳ ゴシック"/>
      <w:color w:val="000000" w:themeColor="text1"/>
      <w:kern w:val="2"/>
      <w:sz w:val="36"/>
    </w:rPr>
  </w:style>
  <w:style w:type="paragraph" w:styleId="118" w:customStyle="1">
    <w:name w:val="_0_9_目次のスペース用"/>
    <w:next w:val="118"/>
    <w:link w:val="0"/>
    <w:uiPriority w:val="0"/>
    <w:qFormat/>
    <w:pPr>
      <w:spacing w:after="0" w:afterLines="0" w:afterAutospacing="0" w:line="240" w:lineRule="auto"/>
      <w:ind w:left="10490" w:right="-2000" w:rightChars="-2000"/>
      <w:outlineLvl w:val="8"/>
    </w:pPr>
    <w:rPr>
      <w:rFonts w:ascii="ＭＳ 明朝" w:hAnsi="ＭＳ 明朝"/>
      <w:color w:val="FFFFFF" w:themeColor="background1"/>
      <w:kern w:val="2"/>
      <w:sz w:val="21"/>
    </w:rPr>
  </w:style>
  <w:style w:type="paragraph" w:styleId="119" w:customStyle="1">
    <w:name w:val="02_資料編■"/>
    <w:next w:val="119"/>
    <w:link w:val="0"/>
    <w:uiPriority w:val="0"/>
    <w:pPr>
      <w:spacing w:after="350" w:afterLines="100" w:afterAutospacing="0" w:line="240" w:lineRule="auto"/>
      <w:jc w:val="center"/>
      <w:outlineLvl w:val="1"/>
    </w:pPr>
    <w:rPr>
      <w:rFonts w:ascii="HGｺﾞｼｯｸM" w:hAnsi="HGｺﾞｼｯｸM" w:eastAsia="ＭＳ ゴシック"/>
      <w:kern w:val="2"/>
      <w:sz w:val="26"/>
    </w:rPr>
  </w:style>
  <w:style w:type="character" w:styleId="120" w:customStyle="1">
    <w:name w:val="03_（１） (文字)"/>
    <w:next w:val="120"/>
    <w:link w:val="81"/>
    <w:uiPriority w:val="0"/>
    <w:rPr>
      <w:rFonts w:ascii="ＭＳ ゴシック" w:hAnsi="ＭＳ ゴシック" w:eastAsia="ＭＳ ゴシック"/>
      <w:kern w:val="2"/>
      <w:sz w:val="24"/>
    </w:rPr>
  </w:style>
  <w:style w:type="paragraph" w:styleId="121" w:customStyle="1">
    <w:name w:val="◯本文"/>
    <w:basedOn w:val="0"/>
    <w:next w:val="121"/>
    <w:link w:val="0"/>
    <w:uiPriority w:val="0"/>
    <w:qFormat/>
    <w:pPr>
      <w:ind w:left="642" w:leftChars="300" w:firstLine="214" w:firstLineChars="100"/>
    </w:pPr>
    <w:rPr>
      <w:color w:val="000000" w:themeColor="text1"/>
      <w:sz w:val="21"/>
    </w:rPr>
  </w:style>
  <w:style w:type="paragraph" w:styleId="122" w:customStyle="1">
    <w:name w:val="03_資料編(１)"/>
    <w:basedOn w:val="0"/>
    <w:next w:val="122"/>
    <w:link w:val="0"/>
    <w:uiPriority w:val="0"/>
    <w:qFormat/>
    <w:pPr>
      <w:spacing w:after="175" w:afterLines="50" w:afterAutospacing="0"/>
      <w:ind w:left="214" w:leftChars="100"/>
    </w:pPr>
    <w:rPr>
      <w:rFonts w:ascii="ＭＳ ゴシック" w:hAnsi="ＭＳ ゴシック" w:eastAsia="ＭＳ ゴシック"/>
      <w:color w:val="000000" w:themeColor="text1"/>
      <w:sz w:val="24"/>
    </w:rPr>
  </w:style>
  <w:style w:type="paragraph" w:styleId="123" w:customStyle="1">
    <w:name w:val="04_資料編①"/>
    <w:basedOn w:val="122"/>
    <w:next w:val="123"/>
    <w:link w:val="0"/>
    <w:uiPriority w:val="0"/>
    <w:qFormat/>
    <w:pPr>
      <w:spacing w:before="105" w:beforeLines="30" w:beforeAutospacing="0" w:after="35" w:afterLines="10" w:afterAutospacing="0"/>
      <w:ind w:left="672" w:leftChars="300"/>
    </w:pPr>
    <w:rPr>
      <w:sz w:val="21"/>
    </w:rPr>
  </w:style>
  <w:style w:type="paragraph" w:styleId="124" w:customStyle="1">
    <w:name w:val="１．_本文"/>
    <w:basedOn w:val="121"/>
    <w:next w:val="124"/>
    <w:link w:val="0"/>
    <w:uiPriority w:val="0"/>
    <w:qFormat/>
    <w:pPr>
      <w:ind w:left="200" w:leftChars="200"/>
    </w:pPr>
    <w:rPr>
      <w:sz w:val="22"/>
    </w:rPr>
  </w:style>
  <w:style w:type="paragraph" w:styleId="125" w:customStyle="1">
    <w:name w:val="(１)"/>
    <w:basedOn w:val="121"/>
    <w:next w:val="125"/>
    <w:link w:val="0"/>
    <w:uiPriority w:val="0"/>
    <w:qFormat/>
    <w:pPr>
      <w:spacing w:after="105" w:afterLines="30" w:afterAutospacing="0"/>
      <w:ind w:left="214" w:leftChars="100" w:firstLine="0" w:firstLineChars="0"/>
    </w:pPr>
    <w:rPr>
      <w:rFonts w:ascii="ＭＳ ゴシック" w:hAnsi="ＭＳ ゴシック" w:eastAsia="ＭＳ ゴシック"/>
      <w:color w:val="auto"/>
      <w:sz w:val="24"/>
    </w:rPr>
  </w:style>
  <w:style w:type="paragraph" w:styleId="126" w:customStyle="1">
    <w:name w:val="調査結果◯本文"/>
    <w:basedOn w:val="0"/>
    <w:next w:val="126"/>
    <w:link w:val="0"/>
    <w:uiPriority w:val="0"/>
    <w:qFormat/>
    <w:pPr>
      <w:ind w:left="300" w:leftChars="300" w:firstLine="100" w:firstLineChars="100"/>
    </w:pPr>
    <w:rPr>
      <w:sz w:val="21"/>
    </w:rPr>
  </w:style>
  <w:style w:type="paragraph" w:styleId="127" w:customStyle="1">
    <w:name w:val="調査結果(１)"/>
    <w:basedOn w:val="126"/>
    <w:next w:val="127"/>
    <w:link w:val="0"/>
    <w:uiPriority w:val="0"/>
    <w:qFormat/>
    <w:pPr>
      <w:spacing w:after="175" w:afterLines="50" w:afterAutospacing="0"/>
      <w:ind w:left="672" w:firstLine="0" w:firstLineChars="0"/>
      <w:outlineLvl w:val="3"/>
    </w:pPr>
    <w:rPr>
      <w:rFonts w:ascii="ＭＳ ゴシック" w:hAnsi="ＭＳ ゴシック" w:eastAsia="ＭＳ ゴシック"/>
    </w:rPr>
  </w:style>
  <w:style w:type="paragraph" w:styleId="128" w:customStyle="1">
    <w:name w:val="（アンケート調査より）"/>
    <w:next w:val="128"/>
    <w:link w:val="0"/>
    <w:uiPriority w:val="0"/>
    <w:qFormat/>
    <w:pPr>
      <w:spacing w:after="0" w:afterLines="0" w:afterAutospacing="0" w:line="240" w:lineRule="auto"/>
      <w:ind w:left="100" w:leftChars="100"/>
      <w:jc w:val="both"/>
      <w:outlineLvl w:val="5"/>
    </w:pPr>
    <w:rPr>
      <w:rFonts w:ascii="ＭＳ ゴシック" w:hAnsi="ＭＳ ゴシック" w:eastAsia="ＭＳ ゴシック"/>
      <w:kern w:val="2"/>
      <w:sz w:val="22"/>
    </w:rPr>
  </w:style>
  <w:style w:type="paragraph" w:styleId="129" w:customStyle="1">
    <w:name w:val="_0_4_（１）＿障がい福祉計画用"/>
    <w:next w:val="129"/>
    <w:link w:val="0"/>
    <w:uiPriority w:val="0"/>
    <w:qFormat/>
    <w:pPr>
      <w:spacing w:after="111" w:afterLines="0" w:afterAutospacing="0" w:line="240" w:lineRule="auto"/>
      <w:ind w:left="227"/>
      <w:outlineLvl w:val="3"/>
    </w:pPr>
    <w:rPr>
      <w:rFonts w:ascii="ＭＳ ゴシック" w:hAnsi="ＭＳ ゴシック" w:eastAsia="ＭＳ ゴシック"/>
      <w:kern w:val="2"/>
      <w:sz w:val="23"/>
    </w:rPr>
  </w:style>
  <w:style w:type="paragraph" w:styleId="130" w:customStyle="1">
    <w:name w:val="_0_4_（１）＿障がい者計画用"/>
    <w:next w:val="130"/>
    <w:link w:val="0"/>
    <w:uiPriority w:val="0"/>
    <w:pPr>
      <w:pBdr>
        <w:top w:val="single" w:color="auto" w:sz="4" w:space="3"/>
        <w:left w:val="single" w:color="auto" w:sz="4" w:space="0"/>
        <w:bottom w:val="single" w:color="auto" w:sz="4" w:space="1"/>
        <w:right w:val="single" w:color="auto" w:sz="4" w:space="0"/>
      </w:pBdr>
      <w:spacing w:after="105" w:afterLines="30" w:afterAutospacing="0" w:line="240" w:lineRule="auto"/>
      <w:ind w:left="100" w:leftChars="100"/>
      <w:jc w:val="both"/>
      <w:textAlignment w:val="center"/>
      <w:outlineLvl w:val="3"/>
    </w:pPr>
    <w:rPr>
      <w:rFonts w:ascii="ＭＳ ゴシック" w:hAnsi="ＭＳ ゴシック" w:eastAsia="ＭＳ ゴシック"/>
      <w:kern w:val="2"/>
      <w:sz w:val="23"/>
    </w:rPr>
  </w:style>
  <w:style w:type="paragraph" w:styleId="131" w:customStyle="1">
    <w:name w:val="_0_3_１．"/>
    <w:next w:val="131"/>
    <w:link w:val="0"/>
    <w:uiPriority w:val="0"/>
    <w:pPr>
      <w:spacing w:before="175" w:beforeLines="50" w:beforeAutospacing="0" w:after="120" w:afterLines="0" w:afterAutospacing="0" w:line="240" w:lineRule="auto"/>
      <w:outlineLvl w:val="2"/>
    </w:pPr>
    <w:rPr>
      <w:rFonts w:ascii="HGｺﾞｼｯｸM" w:hAnsi="HGｺﾞｼｯｸM" w:eastAsia="ＭＳ ゴシック"/>
      <w:kern w:val="2"/>
      <w:sz w:val="26"/>
    </w:rPr>
  </w:style>
  <w:style w:type="paragraph" w:styleId="132" w:customStyle="1">
    <w:name w:val="_0_1_章の下"/>
    <w:next w:val="132"/>
    <w:link w:val="0"/>
    <w:uiPriority w:val="0"/>
    <w:pPr>
      <w:spacing w:after="0" w:afterLines="0" w:afterAutospacing="0" w:line="120" w:lineRule="exact"/>
    </w:pPr>
    <w:rPr>
      <w:rFonts w:ascii="ＭＳ ゴシック" w:hAnsi="ＭＳ ゴシック" w:eastAsia="ＭＳ ゴシック"/>
      <w:kern w:val="2"/>
      <w:sz w:val="22"/>
    </w:rPr>
  </w:style>
  <w:style w:type="paragraph" w:styleId="133" w:customStyle="1">
    <w:name w:val="_0_5_①＿障がい福祉計画用"/>
    <w:next w:val="133"/>
    <w:link w:val="0"/>
    <w:uiPriority w:val="0"/>
    <w:pPr>
      <w:spacing w:after="0" w:afterLines="0" w:afterAutospacing="0" w:line="240" w:lineRule="auto"/>
      <w:ind w:left="448" w:leftChars="200"/>
      <w:jc w:val="both"/>
      <w:outlineLvl w:val="5"/>
    </w:pPr>
    <w:rPr>
      <w:rFonts w:ascii="ＭＳ ゴシック" w:hAnsi="ＭＳ ゴシック" w:eastAsia="ＭＳ ゴシック"/>
      <w:color w:val="000000" w:themeColor="text1"/>
      <w:kern w:val="2"/>
      <w:sz w:val="22"/>
    </w:rPr>
  </w:style>
  <w:style w:type="paragraph" w:styleId="134" w:customStyle="1">
    <w:name w:val="_1_0　標準"/>
    <w:next w:val="134"/>
    <w:link w:val="0"/>
    <w:uiPriority w:val="0"/>
    <w:pPr>
      <w:spacing w:after="0" w:afterLines="0" w:afterAutospacing="0" w:line="240" w:lineRule="auto"/>
      <w:ind w:left="344" w:leftChars="150" w:firstLine="239" w:firstLineChars="100"/>
      <w:jc w:val="both"/>
    </w:pPr>
    <w:rPr>
      <w:rFonts w:ascii="ＭＳ 明朝" w:hAnsi="ＭＳ 明朝"/>
      <w:color w:val="ED7D31"/>
      <w:sz w:val="22"/>
    </w:rPr>
  </w:style>
  <w:style w:type="paragraph" w:styleId="135" w:customStyle="1">
    <w:name w:val="_0_0_表：単位"/>
    <w:next w:val="135"/>
    <w:link w:val="0"/>
    <w:uiPriority w:val="0"/>
    <w:pPr>
      <w:widowControl w:val="0"/>
      <w:suppressAutoHyphens w:val="1"/>
      <w:spacing w:after="0" w:afterLines="0" w:afterAutospacing="0" w:line="260" w:lineRule="exact"/>
      <w:jc w:val="right"/>
    </w:pPr>
    <w:rPr>
      <w:rFonts w:ascii="ＭＳ ゴシック" w:hAnsi="ＭＳ ゴシック" w:eastAsia="ＭＳ ゴシック"/>
      <w:kern w:val="1"/>
      <w:sz w:val="18"/>
    </w:rPr>
  </w:style>
  <w:style w:type="paragraph" w:styleId="136" w:customStyle="1">
    <w:name w:val="(１)_"/>
    <w:basedOn w:val="0"/>
    <w:next w:val="136"/>
    <w:link w:val="0"/>
    <w:uiPriority w:val="0"/>
    <w:qFormat/>
    <w:pPr>
      <w:spacing w:after="70" w:afterLines="20" w:afterAutospacing="0"/>
      <w:ind w:left="107" w:leftChars="50"/>
    </w:pPr>
    <w:rPr>
      <w:rFonts w:ascii="ＭＳ ゴシック" w:hAnsi="ＭＳ ゴシック" w:eastAsia="ＭＳ ゴシック"/>
      <w:color w:val="000000" w:themeColor="text1"/>
      <w:sz w:val="24"/>
    </w:rPr>
  </w:style>
  <w:style w:type="paragraph" w:styleId="137" w:customStyle="1">
    <w:name w:val="①_"/>
    <w:basedOn w:val="0"/>
    <w:next w:val="137"/>
    <w:link w:val="0"/>
    <w:uiPriority w:val="0"/>
    <w:qFormat/>
    <w:pPr>
      <w:spacing w:after="70" w:afterLines="20" w:afterAutospacing="0"/>
      <w:ind w:left="428" w:leftChars="200"/>
    </w:pPr>
    <w:rPr>
      <w:rFonts w:ascii="ＭＳ ゴシック" w:hAnsi="ＭＳ ゴシック" w:eastAsia="ＭＳ ゴシック"/>
      <w:color w:val="000000" w:themeColor="text1"/>
      <w:sz w:val="21"/>
    </w:rPr>
  </w:style>
  <w:style w:type="paragraph" w:styleId="138" w:customStyle="1">
    <w:name w:val="_00_本文(北谷障害者)"/>
    <w:next w:val="138"/>
    <w:link w:val="139"/>
    <w:uiPriority w:val="0"/>
    <w:pPr>
      <w:spacing w:after="0" w:afterLines="0" w:afterAutospacing="0" w:line="240" w:lineRule="auto"/>
      <w:ind w:left="200" w:leftChars="200" w:firstLine="100" w:firstLineChars="100"/>
      <w:jc w:val="both"/>
    </w:pPr>
    <w:rPr>
      <w:rFonts w:ascii="ＭＳ 明朝" w:hAnsi="ＭＳ 明朝"/>
      <w:spacing w:val="4"/>
      <w:sz w:val="22"/>
    </w:rPr>
  </w:style>
  <w:style w:type="character" w:styleId="139" w:customStyle="1">
    <w:name w:val="_00_本文(北谷障害者) (文字) (文字)"/>
    <w:next w:val="139"/>
    <w:link w:val="138"/>
    <w:uiPriority w:val="0"/>
    <w:rPr>
      <w:rFonts w:ascii="ＭＳ 明朝" w:hAnsi="ＭＳ 明朝"/>
      <w:spacing w:val="4"/>
      <w:sz w:val="22"/>
    </w:rPr>
  </w:style>
  <w:style w:type="paragraph" w:styleId="140" w:customStyle="1">
    <w:name w:val="_0_2_節"/>
    <w:next w:val="140"/>
    <w:link w:val="0"/>
    <w:uiPriority w:val="0"/>
    <w:qFormat/>
    <w:pPr>
      <w:spacing w:before="105" w:beforeLines="30" w:beforeAutospacing="0" w:after="0" w:afterLines="0" w:afterAutospacing="0" w:line="0" w:lineRule="atLeast"/>
      <w:jc w:val="both"/>
      <w:outlineLvl w:val="1"/>
    </w:pPr>
    <w:rPr>
      <w:rFonts w:ascii="ＭＳ ゴシック" w:hAnsi="ＭＳ ゴシック" w:eastAsia="ＭＳ ゴシック"/>
      <w:kern w:val="2"/>
      <w:sz w:val="32"/>
    </w:rPr>
  </w:style>
  <w:style w:type="paragraph" w:styleId="141" w:customStyle="1">
    <w:name w:val="00_本文○"/>
    <w:next w:val="141"/>
    <w:link w:val="0"/>
    <w:uiPriority w:val="0"/>
    <w:pPr>
      <w:spacing w:after="0" w:afterLines="0" w:afterAutospacing="0" w:line="240" w:lineRule="auto"/>
      <w:ind w:left="350" w:leftChars="250" w:hanging="100" w:hangingChars="100"/>
      <w:jc w:val="both"/>
    </w:pPr>
    <w:rPr>
      <w:rFonts w:ascii="ＭＳ 明朝" w:hAnsi="ＭＳ 明朝"/>
      <w:kern w:val="2"/>
      <w:sz w:val="21"/>
    </w:rPr>
  </w:style>
  <w:style w:type="paragraph" w:styleId="142" w:customStyle="1">
    <w:name w:val="_0_5_2今後の取り組み"/>
    <w:next w:val="142"/>
    <w:link w:val="0"/>
    <w:uiPriority w:val="0"/>
    <w:qFormat/>
    <w:pPr>
      <w:spacing w:after="0" w:afterLines="0" w:afterAutospacing="0" w:line="240" w:lineRule="auto"/>
      <w:ind w:left="55" w:leftChars="55" w:right="-9" w:rightChars="-9"/>
      <w:jc w:val="center"/>
      <w:outlineLvl w:val="4"/>
    </w:pPr>
    <w:rPr>
      <w:rFonts w:ascii="ＭＳ ゴシック" w:hAnsi="ＭＳ ゴシック" w:eastAsia="ＭＳ ゴシック"/>
      <w:color w:val="FFFFFF" w:themeColor="background1"/>
      <w:kern w:val="2"/>
      <w:sz w:val="22"/>
    </w:rPr>
  </w:style>
  <w:style w:type="paragraph" w:styleId="143" w:customStyle="1">
    <w:name w:val="_0_5_1現状・課題"/>
    <w:next w:val="143"/>
    <w:link w:val="0"/>
    <w:uiPriority w:val="0"/>
    <w:qFormat/>
    <w:pPr>
      <w:spacing w:before="105" w:beforeLines="30" w:beforeAutospacing="0" w:after="0" w:afterLines="0" w:afterAutospacing="0" w:line="240" w:lineRule="auto"/>
      <w:ind w:left="224" w:leftChars="100"/>
      <w:jc w:val="both"/>
      <w:outlineLvl w:val="4"/>
    </w:pPr>
    <w:rPr>
      <w:rFonts w:ascii="ＭＳ ゴシック" w:hAnsi="ＭＳ ゴシック" w:eastAsia="ＭＳ ゴシック"/>
      <w:kern w:val="2"/>
      <w:sz w:val="22"/>
    </w:rPr>
  </w:style>
  <w:style w:type="paragraph" w:styleId="144" w:customStyle="1">
    <w:name w:val="_0_6_①＿障がい者計画の４章用"/>
    <w:next w:val="144"/>
    <w:link w:val="0"/>
    <w:uiPriority w:val="0"/>
    <w:pPr>
      <w:adjustRightInd w:val="0"/>
      <w:spacing w:after="0" w:afterLines="0" w:afterAutospacing="0" w:line="240" w:lineRule="auto"/>
      <w:ind w:left="200" w:leftChars="200"/>
      <w:jc w:val="both"/>
      <w:outlineLvl w:val="5"/>
    </w:pPr>
    <w:rPr>
      <w:rFonts w:ascii="ＭＳ ゴシック" w:hAnsi="ＭＳ ゴシック" w:eastAsia="ＭＳ ゴシック"/>
      <w:color w:val="000000" w:themeColor="text1"/>
      <w:kern w:val="2"/>
      <w:sz w:val="22"/>
    </w:rPr>
  </w:style>
  <w:style w:type="paragraph" w:styleId="145" w:customStyle="1">
    <w:name w:val="_0_6_現状・課題の▶"/>
    <w:next w:val="145"/>
    <w:link w:val="0"/>
    <w:uiPriority w:val="0"/>
    <w:qFormat/>
    <w:pPr>
      <w:spacing w:after="0" w:afterLines="0" w:afterAutospacing="0" w:line="240" w:lineRule="auto"/>
      <w:ind w:left="300" w:leftChars="200" w:hanging="100" w:hangingChars="100"/>
      <w:jc w:val="both"/>
      <w:outlineLvl w:val="5"/>
    </w:pPr>
    <w:rPr>
      <w:rFonts w:ascii="ＭＳ ゴシック" w:hAnsi="ＭＳ ゴシック" w:eastAsia="ＭＳ ゴシック"/>
      <w:color w:val="000000" w:themeColor="text1"/>
      <w:kern w:val="2"/>
      <w:sz w:val="21"/>
    </w:rPr>
  </w:style>
  <w:style w:type="paragraph" w:styleId="146" w:customStyle="1">
    <w:name w:val="_0_0_※の文章"/>
    <w:next w:val="146"/>
    <w:link w:val="0"/>
    <w:uiPriority w:val="0"/>
    <w:qFormat/>
    <w:pPr>
      <w:spacing w:after="0" w:afterLines="0" w:afterAutospacing="0" w:line="0" w:lineRule="atLeast"/>
      <w:ind w:left="200" w:leftChars="200" w:firstLine="100" w:firstLineChars="100"/>
      <w:jc w:val="both"/>
      <w:textAlignment w:val="center"/>
    </w:pPr>
    <w:rPr>
      <w:rFonts w:ascii="ＭＳ 明朝" w:hAnsi="ＭＳ 明朝"/>
      <w:color w:val="000000" w:themeColor="text1"/>
      <w:kern w:val="2"/>
    </w:rPr>
  </w:style>
  <w:style w:type="paragraph" w:styleId="147" w:customStyle="1">
    <w:name w:val="_0_0_※のタイトル"/>
    <w:next w:val="147"/>
    <w:link w:val="0"/>
    <w:uiPriority w:val="0"/>
    <w:qFormat/>
    <w:pPr>
      <w:spacing w:before="70" w:beforeLines="20" w:beforeAutospacing="0" w:after="0" w:afterLines="0" w:afterAutospacing="0" w:line="240" w:lineRule="auto"/>
      <w:ind w:left="100" w:leftChars="100"/>
      <w:jc w:val="both"/>
      <w:textAlignment w:val="center"/>
    </w:pPr>
    <w:rPr>
      <w:rFonts w:ascii="ＭＳ ゴシック" w:hAnsi="ＭＳ ゴシック" w:eastAsia="ＭＳ ゴシック"/>
      <w:color w:val="000000" w:themeColor="text1"/>
      <w:kern w:val="2"/>
    </w:rPr>
  </w:style>
  <w:style w:type="paragraph" w:styleId="148" w:customStyle="1">
    <w:name w:val="_0_8_合紙タイトル（計画名）"/>
    <w:basedOn w:val="0"/>
    <w:next w:val="148"/>
    <w:link w:val="0"/>
    <w:uiPriority w:val="0"/>
    <w:qFormat/>
    <w:pPr>
      <w:widowControl w:val="1"/>
      <w:ind w:left="426" w:leftChars="190"/>
      <w:jc w:val="center"/>
      <w:outlineLvl w:val="0"/>
    </w:pPr>
    <w:rPr>
      <w:rFonts w:ascii="ＭＳ ゴシック" w:hAnsi="ＭＳ ゴシック" w:eastAsia="ＭＳ ゴシック"/>
      <w:spacing w:val="-8"/>
      <w:w w:val="80"/>
      <w:sz w:val="64"/>
    </w:rPr>
  </w:style>
  <w:style w:type="paragraph" w:styleId="149" w:customStyle="1">
    <w:name w:val="_0_5_●"/>
    <w:basedOn w:val="0"/>
    <w:next w:val="149"/>
    <w:link w:val="0"/>
    <w:uiPriority w:val="0"/>
    <w:pPr>
      <w:widowControl w:val="1"/>
      <w:ind w:left="224" w:leftChars="100"/>
      <w:jc w:val="left"/>
      <w:outlineLvl w:val="4"/>
    </w:pPr>
    <w:rPr>
      <w:rFonts w:ascii="ＭＳ ゴシック" w:hAnsi="ＭＳ ゴシック" w:eastAsia="ＭＳ ゴシック"/>
      <w:sz w:val="24"/>
    </w:rPr>
  </w:style>
  <w:style w:type="paragraph" w:styleId="150" w:customStyle="1">
    <w:name w:val="_0_合紙用"/>
    <w:next w:val="150"/>
    <w:link w:val="0"/>
    <w:uiPriority w:val="0"/>
    <w:pPr>
      <w:spacing w:after="0" w:afterLines="0" w:afterAutospacing="0" w:line="240" w:lineRule="auto"/>
      <w:jc w:val="center"/>
    </w:pPr>
    <w:rPr>
      <w:rFonts w:ascii="ＭＳ ゴシック" w:hAnsi="ＭＳ ゴシック" w:eastAsia="ＭＳ ゴシック"/>
      <w:kern w:val="2"/>
      <w:sz w:val="56"/>
    </w:rPr>
  </w:style>
  <w:style w:type="paragraph" w:styleId="151" w:customStyle="1">
    <w:name w:val="_0_0_本文（１）"/>
    <w:basedOn w:val="115"/>
    <w:next w:val="151"/>
    <w:link w:val="0"/>
    <w:uiPriority w:val="0"/>
    <w:pPr>
      <w:ind w:left="560" w:leftChars="250"/>
    </w:pPr>
  </w:style>
  <w:style w:type="paragraph" w:styleId="152" w:customStyle="1">
    <w:name w:val="_0_4_（１）"/>
    <w:next w:val="152"/>
    <w:link w:val="0"/>
    <w:uiPriority w:val="0"/>
    <w:pPr>
      <w:spacing w:after="105" w:afterLines="30" w:afterAutospacing="0" w:line="240" w:lineRule="auto"/>
      <w:ind w:left="112" w:leftChars="50"/>
      <w:outlineLvl w:val="3"/>
    </w:pPr>
    <w:rPr>
      <w:rFonts w:ascii="ＭＳ ゴシック" w:hAnsi="ＭＳ ゴシック" w:eastAsia="ＭＳ ゴシック"/>
      <w:kern w:val="2"/>
      <w:sz w:val="24"/>
    </w:rPr>
  </w:style>
  <w:style w:type="paragraph" w:styleId="153" w:customStyle="1">
    <w:name w:val="_00：枠内用語説明(■)"/>
    <w:next w:val="153"/>
    <w:link w:val="0"/>
    <w:uiPriority w:val="0"/>
    <w:pPr>
      <w:widowControl w:val="0"/>
      <w:spacing w:before="175" w:beforeLines="50" w:beforeAutospacing="0" w:after="0" w:afterLines="0" w:afterAutospacing="0" w:line="0" w:lineRule="atLeast"/>
      <w:ind w:left="224" w:leftChars="100"/>
    </w:pPr>
    <w:rPr>
      <w:rFonts w:ascii="ＭＳ ゴシック" w:hAnsi="ＭＳ ゴシック" w:eastAsia="ＭＳ ゴシック"/>
      <w:kern w:val="2"/>
    </w:rPr>
  </w:style>
  <w:style w:type="paragraph" w:styleId="154" w:customStyle="1">
    <w:name w:val="_00：枠内用語説明（内容）"/>
    <w:next w:val="154"/>
    <w:link w:val="0"/>
    <w:uiPriority w:val="0"/>
    <w:pPr>
      <w:widowControl w:val="0"/>
      <w:spacing w:after="0" w:afterLines="0" w:afterAutospacing="0" w:line="320" w:lineRule="exact"/>
      <w:ind w:left="448" w:leftChars="200" w:firstLine="204" w:firstLineChars="100"/>
      <w:jc w:val="both"/>
    </w:pPr>
    <w:rPr>
      <w:rFonts w:ascii="ＭＳ 明朝" w:hAnsi="ＭＳ 明朝"/>
      <w:kern w:val="2"/>
    </w:rPr>
  </w:style>
  <w:style w:type="paragraph" w:styleId="155" w:customStyle="1">
    <w:name w:val="_0_0_本文○"/>
    <w:basedOn w:val="115"/>
    <w:next w:val="155"/>
    <w:link w:val="156"/>
    <w:uiPriority w:val="0"/>
    <w:pPr>
      <w:tabs>
        <w:tab w:val="left" w:leader="none" w:pos="724"/>
      </w:tabs>
      <w:spacing w:after="70" w:afterLines="20" w:afterAutospacing="0"/>
      <w:ind w:left="0" w:leftChars="0" w:firstLine="0" w:firstLineChars="0"/>
    </w:pPr>
  </w:style>
  <w:style w:type="character" w:styleId="156" w:customStyle="1">
    <w:name w:val="_0_0_本文○ (文字)"/>
    <w:basedOn w:val="116"/>
    <w:next w:val="156"/>
    <w:link w:val="155"/>
    <w:uiPriority w:val="0"/>
    <w:rPr>
      <w:rFonts w:ascii="ＭＳ 明朝" w:hAnsi="ＭＳ 明朝"/>
      <w:kern w:val="2"/>
      <w:sz w:val="21"/>
    </w:rPr>
  </w:style>
  <w:style w:type="paragraph" w:styleId="157" w:customStyle="1">
    <w:name w:val="（１）"/>
    <w:basedOn w:val="0"/>
    <w:next w:val="157"/>
    <w:link w:val="0"/>
    <w:uiPriority w:val="0"/>
    <w:qFormat/>
    <w:pPr>
      <w:widowControl w:val="1"/>
      <w:tabs>
        <w:tab w:val="num" w:leader="none" w:pos="519"/>
      </w:tabs>
      <w:ind w:left="224" w:leftChars="100"/>
    </w:pPr>
    <w:rPr>
      <w:rFonts w:ascii="ＭＳ ゴシック" w:hAnsi="ＭＳ ゴシック" w:eastAsia="ＭＳ ゴシック"/>
      <w:sz w:val="24"/>
    </w:rPr>
  </w:style>
  <w:style w:type="paragraph" w:styleId="158" w:customStyle="1">
    <w:name w:val="_0_2_節の下"/>
    <w:next w:val="158"/>
    <w:link w:val="0"/>
    <w:uiPriority w:val="0"/>
    <w:pPr>
      <w:spacing w:after="525" w:afterLines="150" w:afterAutospacing="0" w:line="120" w:lineRule="exact"/>
    </w:pPr>
    <w:rPr>
      <w:rFonts w:ascii="ＭＳ 明朝" w:hAnsi="ＭＳ 明朝"/>
      <w:kern w:val="2"/>
      <w:sz w:val="22"/>
    </w:rPr>
  </w:style>
  <w:style w:type="paragraph" w:styleId="159" w:customStyle="1">
    <w:name w:val="_0_0_【方針＆推進】"/>
    <w:next w:val="159"/>
    <w:link w:val="0"/>
    <w:uiPriority w:val="0"/>
    <w:pPr>
      <w:spacing w:after="175" w:afterLines="50" w:afterAutospacing="0" w:line="240" w:lineRule="auto"/>
      <w:ind w:left="100" w:leftChars="100"/>
    </w:pPr>
    <w:rPr>
      <w:rFonts w:ascii="ＭＳ ゴシック" w:hAnsi="ＭＳ ゴシック" w:eastAsia="ＭＳ ゴシック"/>
      <w:kern w:val="2"/>
      <w:sz w:val="22"/>
    </w:rPr>
  </w:style>
  <w:style w:type="paragraph" w:styleId="160" w:customStyle="1">
    <w:name w:val="_0_0_【方針＆推進】の文章"/>
    <w:next w:val="160"/>
    <w:link w:val="0"/>
    <w:uiPriority w:val="0"/>
    <w:pPr>
      <w:spacing w:before="105" w:beforeLines="30" w:beforeAutospacing="0" w:after="0" w:afterLines="0" w:afterAutospacing="0" w:line="240" w:lineRule="auto"/>
      <w:ind w:left="200" w:leftChars="200" w:firstLine="100" w:firstLineChars="100"/>
      <w:jc w:val="both"/>
    </w:pPr>
    <w:rPr>
      <w:rFonts w:ascii="ＭＳ 明朝" w:hAnsi="ＭＳ 明朝"/>
      <w:spacing w:val="4"/>
      <w:kern w:val="2"/>
      <w:sz w:val="24"/>
    </w:rPr>
  </w:style>
  <w:style w:type="paragraph" w:styleId="161" w:customStyle="1">
    <w:name w:val="_0_3_１．の下"/>
    <w:next w:val="161"/>
    <w:link w:val="0"/>
    <w:uiPriority w:val="0"/>
    <w:pPr>
      <w:spacing w:after="105" w:afterLines="30" w:afterAutospacing="0" w:line="160" w:lineRule="exact"/>
      <w:ind w:left="227" w:firstLine="227"/>
    </w:pPr>
    <w:rPr>
      <w:rFonts w:ascii="ＭＳ 明朝" w:hAnsi="ＭＳ 明朝"/>
      <w:kern w:val="2"/>
      <w:sz w:val="22"/>
    </w:rPr>
  </w:style>
  <w:style w:type="paragraph" w:styleId="162" w:customStyle="1">
    <w:name w:val="_1_2_１．"/>
    <w:next w:val="162"/>
    <w:link w:val="0"/>
    <w:uiPriority w:val="0"/>
    <w:pPr>
      <w:shd w:val="clear" w:color="auto" w:fill="CC99FF"/>
      <w:spacing w:after="0" w:afterLines="0" w:afterAutospacing="0" w:line="240" w:lineRule="auto"/>
      <w:outlineLvl w:val="1"/>
    </w:pPr>
    <w:rPr>
      <w:rFonts w:ascii="ＭＳ ゴシック" w:hAnsi="ＭＳ ゴシック" w:eastAsia="ＭＳ ゴシック"/>
      <w:kern w:val="2"/>
      <w:sz w:val="24"/>
    </w:rPr>
  </w:style>
  <w:style w:type="paragraph" w:styleId="163" w:customStyle="1">
    <w:name w:val="_0_5_①"/>
    <w:next w:val="163"/>
    <w:link w:val="0"/>
    <w:uiPriority w:val="0"/>
    <w:pPr>
      <w:spacing w:after="0" w:afterLines="0" w:afterAutospacing="0" w:line="240" w:lineRule="auto"/>
      <w:ind w:left="448" w:leftChars="200"/>
      <w:jc w:val="both"/>
      <w:outlineLvl w:val="4"/>
    </w:pPr>
    <w:rPr>
      <w:rFonts w:ascii="ＭＳ ゴシック" w:hAnsi="ＭＳ ゴシック" w:eastAsia="ＭＳ ゴシック"/>
      <w:kern w:val="2"/>
      <w:sz w:val="22"/>
    </w:rPr>
  </w:style>
  <w:style w:type="paragraph" w:styleId="164" w:customStyle="1">
    <w:name w:val="_1_1_章"/>
    <w:next w:val="164"/>
    <w:link w:val="0"/>
    <w:uiPriority w:val="0"/>
    <w:pPr>
      <w:spacing w:after="0" w:afterLines="0" w:afterAutospacing="0" w:line="240" w:lineRule="auto"/>
      <w:jc w:val="center"/>
      <w:outlineLvl w:val="0"/>
    </w:pPr>
    <w:rPr>
      <w:rFonts w:ascii="ＭＳ ゴシック" w:hAnsi="ＭＳ ゴシック" w:eastAsia="ＭＳ ゴシック"/>
      <w:kern w:val="2"/>
      <w:sz w:val="32"/>
    </w:rPr>
  </w:style>
  <w:style w:type="paragraph" w:styleId="165" w:customStyle="1">
    <w:name w:val="_1_3_（１）"/>
    <w:next w:val="165"/>
    <w:link w:val="180"/>
    <w:uiPriority w:val="0"/>
    <w:pPr>
      <w:spacing w:after="120" w:afterLines="0" w:afterAutospacing="0" w:line="240" w:lineRule="auto"/>
      <w:outlineLvl w:val="2"/>
    </w:pPr>
    <w:rPr>
      <w:rFonts w:ascii="ＭＳ ゴシック" w:hAnsi="ＭＳ ゴシック" w:eastAsia="ＭＳ ゴシック"/>
      <w:kern w:val="2"/>
      <w:sz w:val="24"/>
    </w:rPr>
  </w:style>
  <w:style w:type="paragraph" w:styleId="166" w:customStyle="1">
    <w:name w:val="_1_5_①"/>
    <w:next w:val="166"/>
    <w:link w:val="0"/>
    <w:uiPriority w:val="0"/>
    <w:pPr>
      <w:spacing w:after="0" w:afterLines="0" w:afterAutospacing="0" w:line="240" w:lineRule="auto"/>
      <w:ind w:left="448" w:leftChars="200"/>
      <w:jc w:val="both"/>
      <w:outlineLvl w:val="4"/>
    </w:pPr>
    <w:rPr>
      <w:rFonts w:ascii="ＭＳ ゴシック" w:hAnsi="ＭＳ ゴシック" w:eastAsia="ＭＳ ゴシック"/>
      <w:kern w:val="2"/>
      <w:sz w:val="22"/>
    </w:rPr>
  </w:style>
  <w:style w:type="paragraph" w:styleId="167" w:customStyle="1">
    <w:name w:val="スタイル _00：枠内用語説明（内容） + 段落前 :  2 字 最初の行 :  1 字"/>
    <w:basedOn w:val="154"/>
    <w:next w:val="167"/>
    <w:link w:val="0"/>
    <w:uiPriority w:val="0"/>
    <w:pPr>
      <w:spacing w:line="280" w:lineRule="exact"/>
    </w:pPr>
  </w:style>
  <w:style w:type="paragraph" w:styleId="168" w:customStyle="1">
    <w:name w:val="スタイル スタイル _00：枠内用語説明（内容） + 段落前 :  2 字 最初の行 :  1 字 + 段落前 :  2 字 最初..."/>
    <w:basedOn w:val="167"/>
    <w:next w:val="168"/>
    <w:link w:val="0"/>
    <w:uiPriority w:val="0"/>
    <w:pPr>
      <w:spacing w:line="300" w:lineRule="exact"/>
    </w:pPr>
  </w:style>
  <w:style w:type="paragraph" w:styleId="169" w:customStyle="1">
    <w:name w:val="_０_本文"/>
    <w:next w:val="169"/>
    <w:link w:val="170"/>
    <w:uiPriority w:val="0"/>
    <w:pPr>
      <w:spacing w:after="0" w:afterLines="0" w:afterAutospacing="0" w:line="360" w:lineRule="exact"/>
      <w:ind w:left="629" w:leftChars="300" w:firstLine="230" w:firstLineChars="100"/>
      <w:jc w:val="both"/>
    </w:pPr>
    <w:rPr>
      <w:rFonts w:ascii="ＭＳ 明朝" w:hAnsi="ＭＳ 明朝"/>
      <w:spacing w:val="10"/>
      <w:sz w:val="22"/>
    </w:rPr>
  </w:style>
  <w:style w:type="character" w:styleId="170" w:customStyle="1">
    <w:name w:val="_０_本文 (文字)"/>
    <w:next w:val="170"/>
    <w:link w:val="169"/>
    <w:uiPriority w:val="0"/>
    <w:rPr>
      <w:rFonts w:ascii="ＭＳ 明朝" w:hAnsi="ＭＳ 明朝"/>
      <w:spacing w:val="10"/>
      <w:sz w:val="22"/>
    </w:rPr>
  </w:style>
  <w:style w:type="paragraph" w:styleId="171" w:customStyle="1">
    <w:name w:val="_0_体系２"/>
    <w:next w:val="171"/>
    <w:link w:val="0"/>
    <w:uiPriority w:val="0"/>
    <w:pPr>
      <w:widowControl w:val="0"/>
      <w:tabs>
        <w:tab w:val="left" w:leader="none" w:pos="459"/>
      </w:tabs>
      <w:spacing w:before="245" w:beforeLines="70" w:beforeAutospacing="0" w:after="105" w:afterLines="30" w:afterAutospacing="0" w:line="240" w:lineRule="auto"/>
      <w:jc w:val="both"/>
    </w:pPr>
    <w:rPr>
      <w:rFonts w:ascii="ＭＳ ゴシック" w:hAnsi="ＭＳ ゴシック" w:eastAsia="ＭＳ ゴシック"/>
      <w:spacing w:val="10"/>
      <w:w w:val="90"/>
      <w:sz w:val="22"/>
    </w:rPr>
  </w:style>
  <w:style w:type="paragraph" w:styleId="172" w:customStyle="1">
    <w:name w:val="_0_体系３"/>
    <w:next w:val="172"/>
    <w:link w:val="0"/>
    <w:uiPriority w:val="0"/>
    <w:pPr>
      <w:widowControl w:val="0"/>
      <w:spacing w:after="0" w:afterLines="0" w:afterAutospacing="0" w:line="320" w:lineRule="exact"/>
      <w:ind w:left="897" w:leftChars="400"/>
      <w:jc w:val="both"/>
    </w:pPr>
    <w:rPr>
      <w:rFonts w:ascii="ＭＳ ゴシック" w:hAnsi="ＭＳ ゴシック" w:eastAsia="ＭＳ ゴシック"/>
      <w:spacing w:val="10"/>
      <w:w w:val="90"/>
      <w:sz w:val="22"/>
    </w:rPr>
  </w:style>
  <w:style w:type="paragraph" w:styleId="173" w:customStyle="1">
    <w:name w:val="_０_2_１．の下"/>
    <w:next w:val="173"/>
    <w:link w:val="0"/>
    <w:uiPriority w:val="0"/>
    <w:pPr>
      <w:spacing w:after="0" w:afterLines="0" w:afterAutospacing="0" w:line="240" w:lineRule="exact"/>
    </w:pPr>
    <w:rPr>
      <w:rFonts w:ascii="ＭＳ 明朝" w:hAnsi="ＭＳ 明朝"/>
      <w:color w:val="FF0000"/>
      <w:sz w:val="12"/>
    </w:rPr>
  </w:style>
  <w:style w:type="paragraph" w:styleId="174" w:customStyle="1">
    <w:name w:val="スタイル _0_0_【方針＆推進】 + 12 pt 左 :  1 字 段落後 :  0.5 行"/>
    <w:basedOn w:val="159"/>
    <w:next w:val="174"/>
    <w:link w:val="0"/>
    <w:uiPriority w:val="0"/>
    <w:pPr>
      <w:spacing w:before="175" w:beforeLines="50" w:beforeAutospacing="0" w:after="0" w:afterLines="0" w:afterAutospacing="0"/>
    </w:pPr>
    <w:rPr>
      <w:sz w:val="24"/>
    </w:rPr>
  </w:style>
  <w:style w:type="paragraph" w:styleId="175" w:customStyle="1">
    <w:name w:val="☆自由回答区分(3)"/>
    <w:next w:val="175"/>
    <w:link w:val="0"/>
    <w:uiPriority w:val="0"/>
    <w:pPr>
      <w:spacing w:after="0" w:afterLines="0" w:afterAutospacing="0" w:line="240" w:lineRule="auto"/>
      <w:ind w:left="229" w:leftChars="100"/>
    </w:pPr>
    <w:rPr>
      <w:rFonts w:ascii="ＭＳ ゴシック" w:hAnsi="ＭＳ ゴシック" w:eastAsia="ＭＳ ゴシック"/>
      <w:kern w:val="2"/>
      <w:sz w:val="21"/>
    </w:rPr>
  </w:style>
  <w:style w:type="paragraph" w:styleId="176" w:customStyle="1">
    <w:name w:val="スタイル _0_0_本文○ + 段落前 :  0.3 行"/>
    <w:basedOn w:val="155"/>
    <w:next w:val="176"/>
    <w:link w:val="0"/>
    <w:uiPriority w:val="0"/>
  </w:style>
  <w:style w:type="paragraph" w:styleId="177" w:customStyle="1">
    <w:name w:val="スタイル _0_0_【方針＆推進】 + 左 :  1 字 段落後 :  0.5 行"/>
    <w:basedOn w:val="159"/>
    <w:next w:val="177"/>
    <w:link w:val="0"/>
    <w:uiPriority w:val="0"/>
    <w:pPr>
      <w:spacing w:before="175" w:beforeLines="50" w:beforeAutospacing="0" w:after="0" w:afterLines="0" w:afterAutospacing="0"/>
    </w:pPr>
  </w:style>
  <w:style w:type="paragraph" w:styleId="178" w:customStyle="1">
    <w:name w:val="資料編"/>
    <w:basedOn w:val="0"/>
    <w:next w:val="178"/>
    <w:link w:val="0"/>
    <w:uiPriority w:val="0"/>
    <w:qFormat/>
    <w:pPr>
      <w:jc w:val="center"/>
      <w:outlineLvl w:val="0"/>
    </w:pPr>
    <w:rPr>
      <w:rFonts w:ascii="ＭＳ ゴシック" w:hAnsi="ＭＳ ゴシック" w:eastAsia="ＭＳ ゴシック"/>
      <w:sz w:val="72"/>
    </w:rPr>
  </w:style>
  <w:style w:type="paragraph" w:styleId="179" w:customStyle="1">
    <w:name w:val="資料編_○"/>
    <w:basedOn w:val="131"/>
    <w:next w:val="179"/>
    <w:link w:val="0"/>
    <w:uiPriority w:val="0"/>
    <w:pPr>
      <w:spacing w:before="0" w:beforeLines="0" w:beforeAutospacing="0"/>
      <w:jc w:val="center"/>
    </w:pPr>
  </w:style>
  <w:style w:type="character" w:styleId="180" w:customStyle="1">
    <w:name w:val="_1_3_（１） (文字)"/>
    <w:next w:val="180"/>
    <w:link w:val="165"/>
    <w:uiPriority w:val="0"/>
    <w:rPr>
      <w:rFonts w:ascii="ＭＳ ゴシック" w:hAnsi="ＭＳ ゴシック" w:eastAsia="ＭＳ ゴシック"/>
      <w:kern w:val="2"/>
      <w:sz w:val="24"/>
    </w:rPr>
  </w:style>
  <w:style w:type="paragraph" w:styleId="181" w:customStyle="1">
    <w:name w:val="☆調査項目(2)"/>
    <w:basedOn w:val="0"/>
    <w:next w:val="181"/>
    <w:link w:val="0"/>
    <w:uiPriority w:val="0"/>
    <w:rPr>
      <w:rFonts w:ascii="ＭＳ ゴシック" w:hAnsi="ＭＳ ゴシック" w:eastAsia="ＭＳ ゴシック"/>
      <w:sz w:val="24"/>
    </w:rPr>
  </w:style>
  <w:style w:type="paragraph" w:styleId="182" w:customStyle="1">
    <w:name w:val="09_Ⅲの本文(左3.5字-字下げ)"/>
    <w:next w:val="182"/>
    <w:link w:val="0"/>
    <w:uiPriority w:val="0"/>
    <w:pPr>
      <w:autoSpaceDE w:val="0"/>
      <w:autoSpaceDN w:val="0"/>
      <w:spacing w:after="0" w:afterLines="0" w:afterAutospacing="0" w:line="240" w:lineRule="auto"/>
      <w:ind w:left="784" w:leftChars="350" w:firstLine="224" w:firstLineChars="100"/>
      <w:jc w:val="both"/>
    </w:pPr>
    <w:rPr>
      <w:rFonts w:ascii="ＭＳ 明朝" w:hAnsi="ＭＳ 明朝"/>
      <w:kern w:val="2"/>
      <w:sz w:val="21"/>
    </w:rPr>
  </w:style>
  <w:style w:type="paragraph" w:styleId="183" w:customStyle="1">
    <w:name w:val="02_1."/>
    <w:basedOn w:val="0"/>
    <w:next w:val="183"/>
    <w:link w:val="0"/>
    <w:uiPriority w:val="0"/>
    <w:pPr>
      <w:spacing w:after="70" w:afterLines="20" w:afterAutospacing="0"/>
    </w:pPr>
    <w:rPr>
      <w:rFonts w:ascii="ＭＳ ゴシック" w:hAnsi="ＭＳ ゴシック" w:eastAsia="ＭＳ ゴシック"/>
      <w:sz w:val="25"/>
    </w:rPr>
  </w:style>
  <w:style w:type="paragraph" w:styleId="184" w:customStyle="1">
    <w:name w:val="企業実習集録：氏名＆実習先"/>
    <w:next w:val="184"/>
    <w:link w:val="0"/>
    <w:uiPriority w:val="0"/>
    <w:pPr>
      <w:spacing w:after="0" w:afterLines="0" w:afterAutospacing="0" w:line="0" w:lineRule="atLeast"/>
      <w:jc w:val="center"/>
    </w:pPr>
    <w:rPr>
      <w:rFonts w:ascii="ＭＳ 明朝" w:hAnsi="ＭＳ 明朝"/>
      <w:color w:val="FFFFFF"/>
      <w:sz w:val="21"/>
    </w:rPr>
  </w:style>
  <w:style w:type="paragraph" w:styleId="185" w:customStyle="1">
    <w:name w:val="_1_5　（１）"/>
    <w:next w:val="185"/>
    <w:link w:val="0"/>
    <w:uiPriority w:val="0"/>
    <w:pPr>
      <w:spacing w:after="105" w:afterLines="30" w:afterAutospacing="0" w:line="0" w:lineRule="atLeast"/>
      <w:outlineLvl w:val="3"/>
    </w:pPr>
    <w:rPr>
      <w:rFonts w:ascii="ＭＳ ゴシック" w:hAnsi="ＭＳ ゴシック" w:eastAsia="ＭＳ ゴシック"/>
      <w:color w:val="000000"/>
      <w:sz w:val="22"/>
    </w:rPr>
  </w:style>
  <w:style w:type="paragraph" w:styleId="186" w:customStyle="1">
    <w:name w:val="タイトル"/>
    <w:next w:val="186"/>
    <w:link w:val="0"/>
    <w:uiPriority w:val="0"/>
    <w:qFormat/>
    <w:pPr>
      <w:spacing w:after="0" w:afterLines="0" w:afterAutospacing="0" w:line="0" w:lineRule="atLeast"/>
      <w:jc w:val="center"/>
      <w:outlineLvl w:val="0"/>
    </w:pPr>
    <w:rPr>
      <w:rFonts w:ascii="平成明朝体W3" w:hAnsi="平成明朝体W3" w:eastAsia="平成明朝体W3"/>
      <w:sz w:val="44"/>
    </w:rPr>
  </w:style>
  <w:style w:type="character" w:styleId="187" w:customStyle="1">
    <w:name w:val="space_lft11"/>
    <w:basedOn w:val="10"/>
    <w:next w:val="187"/>
    <w:link w:val="0"/>
    <w:uiPriority w:val="0"/>
  </w:style>
  <w:style w:type="paragraph" w:styleId="188" w:customStyle="1">
    <w:name w:val="_0_資料編"/>
    <w:basedOn w:val="150"/>
    <w:next w:val="188"/>
    <w:link w:val="0"/>
    <w:uiPriority w:val="0"/>
    <w:rPr>
      <w:sz w:val="72"/>
    </w:rPr>
  </w:style>
  <w:style w:type="paragraph" w:styleId="189" w:customStyle="1">
    <w:name w:val="_0_資料編_■"/>
    <w:basedOn w:val="0"/>
    <w:next w:val="189"/>
    <w:link w:val="0"/>
    <w:uiPriority w:val="0"/>
    <w:pPr>
      <w:spacing w:line="0" w:lineRule="atLeast"/>
      <w:ind w:left="254" w:hanging="254" w:hangingChars="100"/>
    </w:pPr>
    <w:rPr>
      <w:rFonts w:ascii="ＭＳ ゴシック" w:hAnsi="ＭＳ ゴシック" w:eastAsia="ＭＳ ゴシック"/>
      <w:sz w:val="28"/>
    </w:rPr>
  </w:style>
  <w:style w:type="paragraph" w:styleId="190" w:customStyle="1">
    <w:name w:val="_0_本文（4）"/>
    <w:next w:val="190"/>
    <w:link w:val="191"/>
    <w:uiPriority w:val="0"/>
    <w:pPr>
      <w:spacing w:after="0" w:afterLines="0" w:afterAutospacing="0" w:line="360" w:lineRule="exact"/>
      <w:ind w:left="629" w:leftChars="300" w:firstLine="250" w:firstLineChars="100"/>
      <w:jc w:val="both"/>
    </w:pPr>
    <w:rPr>
      <w:rFonts w:ascii="ＭＳ 明朝" w:hAnsi="ＭＳ 明朝"/>
      <w:spacing w:val="10"/>
      <w:sz w:val="24"/>
    </w:rPr>
  </w:style>
  <w:style w:type="character" w:styleId="191" w:customStyle="1">
    <w:name w:val="_0_本文（4） (文字) (文字)"/>
    <w:next w:val="191"/>
    <w:link w:val="190"/>
    <w:uiPriority w:val="0"/>
    <w:rPr>
      <w:rFonts w:ascii="ＭＳ 明朝" w:hAnsi="ＭＳ 明朝"/>
      <w:spacing w:val="10"/>
      <w:sz w:val="24"/>
    </w:rPr>
  </w:style>
  <w:style w:type="paragraph" w:styleId="192" w:customStyle="1">
    <w:name w:val="_08_本文"/>
    <w:next w:val="192"/>
    <w:link w:val="193"/>
    <w:uiPriority w:val="0"/>
    <w:pPr>
      <w:spacing w:after="0" w:afterLines="0" w:afterAutospacing="0" w:line="240" w:lineRule="auto"/>
      <w:ind w:left="400" w:leftChars="400" w:right="-50" w:rightChars="-50" w:firstLine="100" w:firstLineChars="100"/>
      <w:jc w:val="both"/>
    </w:pPr>
    <w:rPr>
      <w:rFonts w:ascii="ＭＳ 明朝" w:hAnsi="ＭＳ 明朝"/>
      <w:spacing w:val="-4"/>
      <w:kern w:val="2"/>
      <w:sz w:val="21"/>
    </w:rPr>
  </w:style>
  <w:style w:type="character" w:styleId="193" w:customStyle="1">
    <w:name w:val="_08_本文 (文字) (文字)"/>
    <w:basedOn w:val="10"/>
    <w:next w:val="193"/>
    <w:link w:val="192"/>
    <w:uiPriority w:val="0"/>
    <w:rPr>
      <w:rFonts w:ascii="ＭＳ 明朝" w:hAnsi="ＭＳ 明朝"/>
      <w:spacing w:val="-4"/>
      <w:kern w:val="2"/>
      <w:sz w:val="21"/>
    </w:rPr>
  </w:style>
  <w:style w:type="paragraph" w:styleId="194" w:customStyle="1">
    <w:name w:val="_06_■"/>
    <w:next w:val="194"/>
    <w:link w:val="0"/>
    <w:uiPriority w:val="0"/>
    <w:pPr>
      <w:spacing w:after="0" w:afterLines="0" w:afterAutospacing="0" w:line="240" w:lineRule="auto"/>
      <w:ind w:left="857" w:leftChars="400" w:right="-214" w:rightChars="-100"/>
    </w:pPr>
    <w:rPr>
      <w:rFonts w:ascii="ＭＳ 明朝" w:hAnsi="ＭＳ 明朝" w:eastAsia="ＭＳ ゴシック"/>
      <w:kern w:val="2"/>
      <w:sz w:val="21"/>
    </w:rPr>
  </w:style>
  <w:style w:type="paragraph" w:styleId="195" w:customStyle="1">
    <w:name w:val="（宜野湾市）_0_0_本文_３字＆字下げ"/>
    <w:basedOn w:val="0"/>
    <w:next w:val="195"/>
    <w:link w:val="0"/>
    <w:uiPriority w:val="0"/>
    <w:pPr>
      <w:widowControl w:val="1"/>
      <w:ind w:left="300" w:leftChars="300" w:firstLine="100" w:firstLineChars="100"/>
    </w:pPr>
  </w:style>
  <w:style w:type="paragraph" w:styleId="196" w:customStyle="1">
    <w:name w:val="（宜野湾市）_０_4_①"/>
    <w:next w:val="196"/>
    <w:link w:val="0"/>
    <w:uiPriority w:val="0"/>
    <w:pPr>
      <w:spacing w:before="175" w:beforeLines="50" w:beforeAutospacing="0" w:after="0" w:afterLines="0" w:afterAutospacing="0" w:line="240" w:lineRule="auto"/>
      <w:ind w:left="300" w:leftChars="300"/>
      <w:jc w:val="both"/>
    </w:pPr>
    <w:rPr>
      <w:rFonts w:ascii="ＭＳ ゴシック" w:hAnsi="ＭＳ ゴシック" w:eastAsia="ＭＳ ゴシック"/>
      <w:kern w:val="2"/>
      <w:sz w:val="22"/>
    </w:rPr>
  </w:style>
  <w:style w:type="paragraph" w:styleId="197" w:customStyle="1">
    <w:name w:val="■タイトル"/>
    <w:basedOn w:val="0"/>
    <w:next w:val="197"/>
    <w:link w:val="198"/>
    <w:uiPriority w:val="0"/>
    <w:pPr>
      <w:spacing w:before="105" w:beforeLines="30" w:beforeAutospacing="0" w:after="70" w:afterLines="20" w:afterAutospacing="0"/>
      <w:ind w:left="321" w:leftChars="150" w:firstLine="214" w:firstLineChars="100"/>
    </w:pPr>
    <w:rPr>
      <w:rFonts w:ascii="ＭＳ ゴシック" w:hAnsi="ＭＳ ゴシック" w:eastAsia="ＭＳ ゴシック"/>
      <w:color w:val="000000" w:themeColor="text1"/>
      <w:sz w:val="21"/>
    </w:rPr>
  </w:style>
  <w:style w:type="character" w:styleId="198" w:customStyle="1">
    <w:name w:val="■タイトル (文字)"/>
    <w:basedOn w:val="10"/>
    <w:next w:val="198"/>
    <w:link w:val="197"/>
    <w:uiPriority w:val="0"/>
    <w:rPr>
      <w:rFonts w:ascii="ＭＳ ゴシック" w:hAnsi="ＭＳ ゴシック" w:eastAsia="ＭＳ ゴシック"/>
      <w:color w:val="000000" w:themeColor="text1"/>
      <w:kern w:val="2"/>
      <w:sz w:val="21"/>
    </w:rPr>
  </w:style>
  <w:style w:type="paragraph" w:styleId="199" w:customStyle="1">
    <w:name w:val="章"/>
    <w:basedOn w:val="0"/>
    <w:next w:val="199"/>
    <w:link w:val="0"/>
    <w:uiPriority w:val="0"/>
    <w:qFormat/>
    <w:pPr>
      <w:pBdr>
        <w:top w:val="double" w:color="000000" w:themeColor="text1" w:sz="4" w:space="1"/>
        <w:bottom w:val="double" w:color="000000" w:themeColor="text1" w:sz="4" w:space="6"/>
      </w:pBdr>
      <w:shd w:val="clear" w:color="auto" w:themeFill="background1" w:themeFillTint="FF" w:themeFillShade="D9"/>
      <w:spacing w:after="175" w:afterLines="50" w:afterAutospacing="0" w:line="500" w:lineRule="exact"/>
      <w:ind w:left="428" w:leftChars="200" w:firstLine="214" w:firstLineChars="100"/>
      <w:jc w:val="center"/>
    </w:pPr>
    <w:rPr>
      <w:rFonts w:ascii="ＭＳ ゴシック" w:hAnsi="ＭＳ ゴシック" w:eastAsia="ＭＳ ゴシック"/>
      <w:color w:val="000000" w:themeColor="text1"/>
      <w:sz w:val="36"/>
    </w:rPr>
  </w:style>
  <w:style w:type="paragraph" w:styleId="200" w:customStyle="1">
    <w:name w:val="１．"/>
    <w:basedOn w:val="0"/>
    <w:next w:val="200"/>
    <w:link w:val="0"/>
    <w:uiPriority w:val="0"/>
    <w:qFormat/>
    <w:pPr>
      <w:spacing w:after="175" w:afterLines="50" w:afterAutospacing="0"/>
      <w:ind w:left="214" w:leftChars="100"/>
    </w:pPr>
    <w:rPr>
      <w:rFonts w:ascii="ＭＳ ゴシック" w:hAnsi="ＭＳ ゴシック" w:eastAsia="ＭＳ ゴシック"/>
      <w:color w:val="000000" w:themeColor="text1"/>
      <w:sz w:val="24"/>
    </w:rPr>
  </w:style>
  <w:style w:type="paragraph" w:styleId="201" w:customStyle="1">
    <w:name w:val="◯_本文"/>
    <w:basedOn w:val="0"/>
    <w:next w:val="201"/>
    <w:link w:val="0"/>
    <w:uiPriority w:val="0"/>
    <w:qFormat/>
    <w:pPr>
      <w:ind w:left="749" w:leftChars="250" w:hanging="214" w:hangingChars="100"/>
    </w:pPr>
    <w:rPr>
      <w:color w:val="000000" w:themeColor="text1"/>
      <w:sz w:val="21"/>
    </w:rPr>
  </w:style>
  <w:style w:type="paragraph" w:styleId="202" w:customStyle="1">
    <w:name w:val="１．＿"/>
    <w:basedOn w:val="0"/>
    <w:next w:val="202"/>
    <w:link w:val="0"/>
    <w:uiPriority w:val="0"/>
    <w:pPr>
      <w:pBdr>
        <w:top w:val="single" w:color="auto" w:sz="4" w:space="1"/>
        <w:left w:val="single" w:color="auto" w:sz="4" w:space="4"/>
        <w:bottom w:val="single" w:color="auto" w:sz="4" w:space="1"/>
        <w:right w:val="single" w:color="auto" w:sz="4" w:space="0"/>
      </w:pBdr>
      <w:spacing w:after="175" w:afterLines="50" w:afterAutospacing="0"/>
      <w:ind w:left="639" w:leftChars="50" w:hanging="519" w:hangingChars="200"/>
      <w:outlineLvl w:val="2"/>
    </w:pPr>
    <w:rPr>
      <w:rFonts w:ascii="Calibri" w:hAnsi="Calibri" w:eastAsia="ＭＳ ゴシック"/>
      <w:color w:val="000000"/>
      <w:sz w:val="24"/>
    </w:rPr>
  </w:style>
  <w:style w:type="paragraph" w:styleId="203" w:customStyle="1">
    <w:name w:val="節"/>
    <w:basedOn w:val="0"/>
    <w:next w:val="203"/>
    <w:link w:val="0"/>
    <w:uiPriority w:val="0"/>
    <w:qFormat/>
    <w:pPr>
      <w:spacing w:after="175" w:afterLines="50" w:afterAutospacing="0"/>
      <w:ind w:left="214" w:leftChars="100" w:firstLine="214" w:firstLineChars="100"/>
    </w:pPr>
    <w:rPr>
      <w:rFonts w:ascii="ＭＳ ゴシック" w:hAnsi="ＭＳ ゴシック" w:eastAsia="ＭＳ ゴシック"/>
      <w:color w:val="000000" w:themeColor="text1"/>
      <w:sz w:val="24"/>
    </w:rPr>
  </w:style>
  <w:style w:type="paragraph" w:styleId="204" w:customStyle="1">
    <w:name w:val="①本文"/>
    <w:basedOn w:val="0"/>
    <w:next w:val="204"/>
    <w:link w:val="0"/>
    <w:uiPriority w:val="0"/>
    <w:qFormat/>
    <w:pPr>
      <w:ind w:left="428" w:leftChars="200" w:firstLine="214" w:firstLineChars="100"/>
    </w:pPr>
    <w:rPr>
      <w:color w:val="000000" w:themeColor="text1"/>
    </w:rPr>
  </w:style>
  <w:style w:type="paragraph" w:styleId="205" w:customStyle="1">
    <w:name w:val="_表(タイトル)"/>
    <w:next w:val="205"/>
    <w:link w:val="0"/>
    <w:uiPriority w:val="0"/>
    <w:pPr>
      <w:spacing w:before="105" w:beforeLines="30" w:beforeAutospacing="0" w:after="70" w:afterLines="20" w:afterAutospacing="0" w:line="0" w:lineRule="atLeast"/>
      <w:ind w:left="574" w:leftChars="250"/>
      <w:jc w:val="center"/>
    </w:pPr>
    <w:rPr>
      <w:rFonts w:ascii="ＭＳ 明朝" w:hAnsi="ＭＳ 明朝" w:eastAsia="ＭＳ ゴシック"/>
      <w:kern w:val="2"/>
    </w:rPr>
  </w:style>
  <w:style w:type="paragraph" w:styleId="206" w:customStyle="1">
    <w:name w:val="１．_"/>
    <w:basedOn w:val="0"/>
    <w:next w:val="206"/>
    <w:link w:val="0"/>
    <w:uiPriority w:val="0"/>
    <w:qFormat/>
    <w:pPr>
      <w:widowControl w:val="1"/>
      <w:pBdr>
        <w:top w:val="double" w:color="auto" w:sz="4" w:space="1"/>
        <w:bottom w:val="thinThickSmallGap" w:color="auto" w:sz="12" w:space="2"/>
      </w:pBdr>
      <w:shd w:val="clear" w:color="auto" w:themeFill="background1" w:themeFillTint="FF" w:themeFillShade="F2"/>
      <w:spacing w:line="360" w:lineRule="auto"/>
      <w:ind w:left="428" w:leftChars="200" w:firstLine="214" w:firstLineChars="100"/>
      <w:jc w:val="center"/>
    </w:pPr>
    <w:rPr>
      <w:rFonts w:ascii="ＭＳ ゴシック" w:hAnsi="ＭＳ ゴシック" w:eastAsia="ＭＳ ゴシック"/>
      <w:color w:val="000000" w:themeColor="text1"/>
      <w:sz w:val="24"/>
    </w:rPr>
  </w:style>
  <w:style w:type="paragraph" w:styleId="207" w:customStyle="1">
    <w:name w:val="01_Ⅰ"/>
    <w:basedOn w:val="0"/>
    <w:next w:val="207"/>
    <w:link w:val="0"/>
    <w:uiPriority w:val="0"/>
    <w:pPr>
      <w:ind w:left="428" w:leftChars="200" w:firstLine="214" w:firstLineChars="100"/>
      <w:jc w:val="center"/>
      <w:outlineLvl w:val="0"/>
    </w:pPr>
    <w:rPr>
      <w:rFonts w:ascii="FG角ｺﾞｼｯｸ体Ca-M" w:hAnsi="FG角ｺﾞｼｯｸ体Ca-M" w:eastAsia="FG角ｺﾞｼｯｸ体Ca-M"/>
      <w:color w:val="000000" w:themeColor="text1"/>
      <w:sz w:val="32"/>
    </w:rPr>
  </w:style>
  <w:style w:type="paragraph" w:styleId="208" w:customStyle="1">
    <w:name w:val="_0_タイトル（グラフ）"/>
    <w:next w:val="208"/>
    <w:link w:val="0"/>
    <w:uiPriority w:val="0"/>
    <w:pPr>
      <w:shd w:val="solid" w:color="FFFFFF" w:fill="FFFFFF"/>
      <w:spacing w:after="0" w:afterLines="0" w:afterAutospacing="0" w:line="0" w:lineRule="atLeast"/>
      <w:jc w:val="center"/>
    </w:pPr>
    <w:rPr>
      <w:rFonts w:ascii="ＭＳ 明朝" w:hAnsi="ＭＳ 明朝"/>
      <w:kern w:val="2"/>
    </w:rPr>
  </w:style>
  <w:style w:type="paragraph" w:styleId="209" w:customStyle="1">
    <w:name w:val="09_目次スペース用"/>
    <w:next w:val="209"/>
    <w:link w:val="0"/>
    <w:uiPriority w:val="0"/>
    <w:pPr>
      <w:spacing w:after="0" w:afterLines="0" w:afterAutospacing="0" w:line="100" w:lineRule="exact"/>
      <w:ind w:left="459" w:leftChars="200" w:firstLine="219" w:firstLineChars="100"/>
    </w:pPr>
    <w:rPr>
      <w:rFonts w:ascii="ＭＳ 明朝" w:hAnsi="ＭＳ 明朝"/>
      <w:color w:val="FFFFFF"/>
      <w:kern w:val="2"/>
      <w:sz w:val="21"/>
    </w:rPr>
  </w:style>
  <w:style w:type="paragraph" w:styleId="210" w:customStyle="1">
    <w:name w:val="※注訳"/>
    <w:next w:val="210"/>
    <w:link w:val="0"/>
    <w:uiPriority w:val="0"/>
    <w:pPr>
      <w:spacing w:after="0" w:afterLines="0" w:afterAutospacing="0" w:line="0" w:lineRule="atLeast"/>
      <w:ind w:left="400" w:leftChars="200" w:hanging="200" w:hangingChars="200"/>
      <w:jc w:val="both"/>
    </w:pPr>
    <w:rPr>
      <w:rFonts w:ascii="ＭＳ ゴシック" w:hAnsi="ＭＳ ゴシック" w:eastAsia="ＭＳ ゴシック"/>
      <w:kern w:val="2"/>
      <w:sz w:val="18"/>
    </w:rPr>
  </w:style>
  <w:style w:type="paragraph" w:styleId="211" w:customStyle="1">
    <w:name w:val="_Ⅴ_意見記述内容"/>
    <w:next w:val="211"/>
    <w:link w:val="212"/>
    <w:uiPriority w:val="0"/>
    <w:pPr>
      <w:widowControl w:val="0"/>
      <w:spacing w:after="0" w:afterLines="0" w:afterAutospacing="0" w:line="0" w:lineRule="atLeast"/>
      <w:jc w:val="both"/>
    </w:pPr>
    <w:rPr>
      <w:rFonts w:ascii="ＭＳ 明朝" w:hAnsi="ＭＳ 明朝"/>
      <w:spacing w:val="-4"/>
    </w:rPr>
  </w:style>
  <w:style w:type="character" w:styleId="212" w:customStyle="1">
    <w:name w:val="_Ⅴ_意見記述内容 (文字)"/>
    <w:basedOn w:val="10"/>
    <w:next w:val="212"/>
    <w:link w:val="211"/>
    <w:uiPriority w:val="0"/>
    <w:rPr>
      <w:rFonts w:ascii="ＭＳ 明朝" w:hAnsi="ＭＳ 明朝"/>
      <w:spacing w:val="-4"/>
    </w:rPr>
  </w:style>
  <w:style w:type="paragraph" w:styleId="213" w:customStyle="1">
    <w:name w:val="_Ⅴ_(箇条)意見記述内容"/>
    <w:basedOn w:val="211"/>
    <w:next w:val="213"/>
    <w:link w:val="214"/>
    <w:uiPriority w:val="0"/>
    <w:pPr>
      <w:ind w:left="100" w:hanging="100" w:hangingChars="100"/>
    </w:pPr>
  </w:style>
  <w:style w:type="character" w:styleId="214" w:customStyle="1">
    <w:name w:val="_Ⅴ_(箇条)意見記述内容 (文字)"/>
    <w:basedOn w:val="212"/>
    <w:next w:val="214"/>
    <w:link w:val="213"/>
    <w:uiPriority w:val="0"/>
    <w:rPr>
      <w:rFonts w:ascii="ＭＳ 明朝" w:hAnsi="ＭＳ 明朝"/>
      <w:spacing w:val="-4"/>
    </w:rPr>
  </w:style>
  <w:style w:type="paragraph" w:styleId="215" w:customStyle="1">
    <w:name w:val="00_※"/>
    <w:next w:val="215"/>
    <w:link w:val="0"/>
    <w:uiPriority w:val="0"/>
    <w:pPr>
      <w:spacing w:after="0" w:afterLines="0" w:afterAutospacing="0" w:line="0" w:lineRule="atLeast"/>
      <w:ind w:left="574" w:leftChars="250"/>
    </w:pPr>
    <w:rPr>
      <w:rFonts w:ascii="ＭＳ 明朝" w:hAnsi="ＭＳ 明朝" w:eastAsia="ＭＳ ゴシック"/>
      <w:kern w:val="2"/>
      <w:sz w:val="18"/>
    </w:rPr>
  </w:style>
  <w:style w:type="paragraph" w:styleId="216" w:customStyle="1">
    <w:name w:val="00_本文＜＞"/>
    <w:next w:val="216"/>
    <w:link w:val="0"/>
    <w:uiPriority w:val="0"/>
    <w:pPr>
      <w:spacing w:before="140" w:beforeLines="40" w:beforeAutospacing="0" w:after="0" w:afterLines="0" w:afterAutospacing="0" w:line="240" w:lineRule="auto"/>
      <w:ind w:left="793" w:leftChars="250" w:hanging="219" w:hangingChars="100"/>
    </w:pPr>
    <w:rPr>
      <w:rFonts w:ascii="ＭＳ 明朝" w:hAnsi="ＭＳ 明朝" w:eastAsia="ＭＳ ゴシック"/>
      <w:kern w:val="2"/>
      <w:sz w:val="21"/>
    </w:rPr>
  </w:style>
  <w:style w:type="paragraph" w:styleId="217" w:customStyle="1">
    <w:name w:val="00_本文①"/>
    <w:next w:val="217"/>
    <w:link w:val="0"/>
    <w:uiPriority w:val="0"/>
    <w:pPr>
      <w:spacing w:after="0" w:afterLines="0" w:afterAutospacing="0" w:line="240" w:lineRule="auto"/>
      <w:ind w:left="1022" w:leftChars="350" w:hanging="219" w:hangingChars="100"/>
    </w:pPr>
    <w:rPr>
      <w:rFonts w:ascii="ＭＳ 明朝" w:hAnsi="ＭＳ 明朝"/>
      <w:kern w:val="2"/>
      <w:sz w:val="21"/>
    </w:rPr>
  </w:style>
  <w:style w:type="paragraph" w:styleId="218" w:customStyle="1">
    <w:name w:val="00_本文２"/>
    <w:next w:val="218"/>
    <w:link w:val="0"/>
    <w:uiPriority w:val="0"/>
    <w:pPr>
      <w:spacing w:after="0" w:afterLines="0" w:afterAutospacing="0" w:line="240" w:lineRule="auto"/>
      <w:ind w:left="574" w:leftChars="250" w:firstLine="219" w:firstLineChars="100"/>
    </w:pPr>
    <w:rPr>
      <w:rFonts w:ascii="ＭＳ 明朝" w:hAnsi="ＭＳ 明朝"/>
      <w:kern w:val="2"/>
      <w:sz w:val="21"/>
    </w:rPr>
  </w:style>
  <w:style w:type="paragraph" w:styleId="219" w:customStyle="1">
    <w:name w:val="00_本文３"/>
    <w:next w:val="219"/>
    <w:link w:val="0"/>
    <w:uiPriority w:val="0"/>
    <w:pPr>
      <w:spacing w:after="0" w:afterLines="0" w:afterAutospacing="0" w:line="240" w:lineRule="auto"/>
      <w:ind w:left="1033" w:leftChars="450" w:firstLine="219" w:firstLineChars="100"/>
    </w:pPr>
    <w:rPr>
      <w:rFonts w:ascii="ＭＳ 明朝" w:hAnsi="ＭＳ 明朝"/>
      <w:kern w:val="2"/>
      <w:sz w:val="21"/>
    </w:rPr>
  </w:style>
  <w:style w:type="paragraph" w:styleId="220" w:customStyle="1">
    <w:name w:val="03_(1)"/>
    <w:next w:val="220"/>
    <w:link w:val="0"/>
    <w:uiPriority w:val="0"/>
    <w:pPr>
      <w:spacing w:before="35" w:beforeLines="10" w:beforeAutospacing="0" w:after="70" w:afterLines="20" w:afterAutospacing="0" w:line="240" w:lineRule="auto"/>
      <w:ind w:left="321" w:leftChars="150"/>
      <w:outlineLvl w:val="2"/>
    </w:pPr>
    <w:rPr>
      <w:rFonts w:asciiTheme="majorEastAsia" w:hAnsiTheme="majorEastAsia" w:eastAsiaTheme="majorEastAsia"/>
      <w:kern w:val="2"/>
      <w:sz w:val="22"/>
    </w:rPr>
  </w:style>
  <w:style w:type="paragraph" w:styleId="221" w:customStyle="1">
    <w:name w:val="_0_本文"/>
    <w:next w:val="221"/>
    <w:link w:val="0"/>
    <w:uiPriority w:val="0"/>
    <w:pPr>
      <w:spacing w:after="0" w:afterLines="0" w:afterAutospacing="0" w:line="240" w:lineRule="auto"/>
      <w:ind w:left="209" w:leftChars="100" w:firstLine="209" w:firstLineChars="100"/>
      <w:jc w:val="both"/>
    </w:pPr>
    <w:rPr>
      <w:rFonts w:ascii="ＭＳ 明朝" w:hAnsi="ＭＳ 明朝"/>
      <w:sz w:val="21"/>
    </w:rPr>
  </w:style>
  <w:style w:type="paragraph" w:styleId="222" w:customStyle="1">
    <w:name w:val="_表(項目_左寄せ)VBA"/>
    <w:next w:val="222"/>
    <w:link w:val="0"/>
    <w:uiPriority w:val="0"/>
    <w:pPr>
      <w:spacing w:after="0" w:afterLines="0" w:afterAutospacing="0" w:line="0" w:lineRule="atLeast"/>
      <w:jc w:val="both"/>
    </w:pPr>
    <w:rPr>
      <w:rFonts w:ascii="ＭＳ ゴシック" w:hAnsi="ＭＳ ゴシック" w:eastAsia="ＭＳ ゴシック"/>
      <w:sz w:val="18"/>
    </w:rPr>
  </w:style>
  <w:style w:type="paragraph" w:styleId="223" w:customStyle="1">
    <w:name w:val="_表(項目_中央)VBA"/>
    <w:next w:val="223"/>
    <w:link w:val="0"/>
    <w:uiPriority w:val="0"/>
    <w:pPr>
      <w:widowControl w:val="0"/>
      <w:spacing w:after="0" w:afterLines="0" w:afterAutospacing="0" w:line="0" w:lineRule="atLeast"/>
      <w:jc w:val="center"/>
    </w:pPr>
    <w:rPr>
      <w:rFonts w:ascii="ＭＳ ゴシック" w:hAnsi="ＭＳ ゴシック" w:eastAsia="ＭＳ ゴシック"/>
      <w:sz w:val="18"/>
    </w:rPr>
  </w:style>
  <w:style w:type="paragraph" w:styleId="224" w:customStyle="1">
    <w:name w:val="_表(数値)VBA"/>
    <w:next w:val="224"/>
    <w:link w:val="0"/>
    <w:uiPriority w:val="0"/>
    <w:pPr>
      <w:autoSpaceDE w:val="0"/>
      <w:autoSpaceDN w:val="0"/>
      <w:spacing w:after="0" w:afterLines="0" w:afterAutospacing="0" w:line="0" w:lineRule="atLeast"/>
      <w:ind w:left="-10" w:leftChars="-10" w:right="-10" w:rightChars="-10"/>
      <w:jc w:val="right"/>
    </w:pPr>
    <w:rPr>
      <w:rFonts w:ascii="ＭＳ ゴシック" w:hAnsi="ＭＳ ゴシック" w:eastAsia="ＭＳ ゴシック"/>
      <w:spacing w:val="-4"/>
      <w:w w:val="85"/>
      <w:sz w:val="18"/>
    </w:rPr>
  </w:style>
  <w:style w:type="paragraph" w:styleId="225" w:customStyle="1">
    <w:name w:val="_表(数値_中央)VBA"/>
    <w:basedOn w:val="224"/>
    <w:next w:val="225"/>
    <w:link w:val="0"/>
    <w:uiPriority w:val="0"/>
    <w:pPr>
      <w:widowControl w:val="0"/>
      <w:ind w:left="-22" w:right="-22"/>
      <w:jc w:val="center"/>
    </w:pPr>
  </w:style>
  <w:style w:type="paragraph" w:styleId="226" w:customStyle="1">
    <w:name w:val="_表(タイトル前と間の行)"/>
    <w:next w:val="226"/>
    <w:link w:val="0"/>
    <w:uiPriority w:val="0"/>
    <w:pPr>
      <w:spacing w:after="0" w:afterLines="0" w:afterAutospacing="0" w:line="0" w:lineRule="atLeast"/>
      <w:ind w:left="574" w:leftChars="250"/>
    </w:pPr>
    <w:rPr>
      <w:rFonts w:ascii="ＭＳ 明朝" w:hAnsi="ＭＳ 明朝" w:eastAsia="ＭＳ ゴシック"/>
      <w:kern w:val="2"/>
    </w:rPr>
  </w:style>
  <w:style w:type="paragraph" w:styleId="227" w:customStyle="1">
    <w:name w:val="考察02_1."/>
    <w:basedOn w:val="0"/>
    <w:next w:val="227"/>
    <w:link w:val="0"/>
    <w:uiPriority w:val="0"/>
    <w:pPr>
      <w:ind w:left="428" w:leftChars="200" w:firstLine="214" w:firstLineChars="100"/>
    </w:pPr>
    <w:rPr>
      <w:rFonts w:ascii="ＭＳ ゴシック" w:hAnsi="ＭＳ ゴシック" w:eastAsia="ＭＳ ゴシック"/>
      <w:color w:val="000000" w:themeColor="text1"/>
      <w:sz w:val="24"/>
    </w:rPr>
  </w:style>
  <w:style w:type="paragraph" w:styleId="228" w:customStyle="1">
    <w:name w:val="_意見（03＜タイトル＞）"/>
    <w:next w:val="228"/>
    <w:link w:val="229"/>
    <w:uiPriority w:val="0"/>
    <w:pPr>
      <w:spacing w:after="0" w:afterLines="0" w:afterAutospacing="0" w:line="240" w:lineRule="auto"/>
      <w:ind w:left="150" w:leftChars="150"/>
      <w:jc w:val="both"/>
      <w:textAlignment w:val="center"/>
      <w:outlineLvl w:val="3"/>
    </w:pPr>
    <w:rPr>
      <w:rFonts w:ascii="ＭＳ ゴシック" w:hAnsi="ＭＳ ゴシック" w:eastAsia="ＭＳ ゴシック"/>
      <w:color w:val="000000"/>
      <w:kern w:val="2"/>
      <w:sz w:val="21"/>
    </w:rPr>
  </w:style>
  <w:style w:type="character" w:styleId="229" w:customStyle="1">
    <w:name w:val="_意見（03＜タイトル＞） (文字)"/>
    <w:basedOn w:val="10"/>
    <w:next w:val="229"/>
    <w:link w:val="228"/>
    <w:uiPriority w:val="0"/>
    <w:rPr>
      <w:rFonts w:ascii="ＭＳ ゴシック" w:hAnsi="ＭＳ ゴシック" w:eastAsia="ＭＳ ゴシック"/>
      <w:color w:val="000000"/>
      <w:kern w:val="2"/>
      <w:sz w:val="21"/>
    </w:rPr>
  </w:style>
  <w:style w:type="paragraph" w:styleId="230" w:customStyle="1">
    <w:name w:val="_意見（04上項目）"/>
    <w:next w:val="230"/>
    <w:link w:val="231"/>
    <w:uiPriority w:val="0"/>
    <w:pPr>
      <w:spacing w:after="0" w:afterLines="0" w:afterAutospacing="0" w:line="240" w:lineRule="auto"/>
      <w:jc w:val="center"/>
      <w:textAlignment w:val="center"/>
    </w:pPr>
    <w:rPr>
      <w:rFonts w:ascii="ＭＳ ゴシック" w:hAnsi="ＭＳ ゴシック" w:eastAsia="ＭＳ ゴシック"/>
      <w:color w:val="000000"/>
      <w:kern w:val="2"/>
      <w:sz w:val="21"/>
    </w:rPr>
  </w:style>
  <w:style w:type="character" w:styleId="231" w:customStyle="1">
    <w:name w:val="_意見（04上項目） (文字)"/>
    <w:basedOn w:val="10"/>
    <w:next w:val="231"/>
    <w:link w:val="230"/>
    <w:uiPriority w:val="0"/>
    <w:rPr>
      <w:rFonts w:ascii="ＭＳ ゴシック" w:hAnsi="ＭＳ ゴシック" w:eastAsia="ＭＳ ゴシック"/>
      <w:color w:val="000000"/>
      <w:kern w:val="2"/>
      <w:sz w:val="21"/>
    </w:rPr>
  </w:style>
  <w:style w:type="paragraph" w:styleId="232" w:customStyle="1">
    <w:name w:val="_意見（04左項目）"/>
    <w:next w:val="232"/>
    <w:link w:val="233"/>
    <w:uiPriority w:val="0"/>
    <w:pPr>
      <w:spacing w:after="0" w:afterLines="0" w:afterAutospacing="0" w:line="320" w:lineRule="exact"/>
      <w:jc w:val="center"/>
      <w:textAlignment w:val="center"/>
    </w:pPr>
    <w:rPr>
      <w:rFonts w:ascii="ＭＳ 明朝" w:hAnsi="ＭＳ 明朝"/>
      <w:color w:val="000000"/>
      <w:kern w:val="2"/>
    </w:rPr>
  </w:style>
  <w:style w:type="character" w:styleId="233" w:customStyle="1">
    <w:name w:val="_意見（04左項目） (文字)"/>
    <w:basedOn w:val="10"/>
    <w:next w:val="233"/>
    <w:link w:val="232"/>
    <w:uiPriority w:val="0"/>
    <w:rPr>
      <w:rFonts w:ascii="ＭＳ 明朝" w:hAnsi="ＭＳ 明朝"/>
      <w:color w:val="000000"/>
      <w:kern w:val="2"/>
    </w:rPr>
  </w:style>
  <w:style w:type="paragraph" w:styleId="234" w:customStyle="1">
    <w:name w:val="_意見（04記述）"/>
    <w:next w:val="234"/>
    <w:link w:val="235"/>
    <w:uiPriority w:val="0"/>
    <w:pPr>
      <w:spacing w:after="0" w:afterLines="0" w:afterAutospacing="0" w:line="320" w:lineRule="exact"/>
      <w:jc w:val="both"/>
      <w:textAlignment w:val="center"/>
    </w:pPr>
    <w:rPr>
      <w:rFonts w:ascii="ＭＳ 明朝" w:hAnsi="ＭＳ 明朝"/>
      <w:color w:val="000000"/>
      <w:kern w:val="2"/>
    </w:rPr>
  </w:style>
  <w:style w:type="character" w:styleId="235" w:customStyle="1">
    <w:name w:val="_意見（04記述） (文字)"/>
    <w:basedOn w:val="10"/>
    <w:next w:val="235"/>
    <w:link w:val="234"/>
    <w:uiPriority w:val="0"/>
    <w:rPr>
      <w:rFonts w:ascii="ＭＳ 明朝" w:hAnsi="ＭＳ 明朝"/>
      <w:color w:val="000000"/>
      <w:kern w:val="2"/>
    </w:rPr>
  </w:style>
  <w:style w:type="paragraph" w:styleId="236" w:customStyle="1">
    <w:name w:val="_意見（04カテゴリ）"/>
    <w:next w:val="236"/>
    <w:link w:val="237"/>
    <w:uiPriority w:val="0"/>
    <w:pPr>
      <w:spacing w:after="0" w:afterLines="0" w:afterAutospacing="0" w:line="320" w:lineRule="exact"/>
      <w:jc w:val="both"/>
      <w:textAlignment w:val="center"/>
    </w:pPr>
    <w:rPr>
      <w:rFonts w:ascii="ＭＳ 明朝" w:hAnsi="ＭＳ 明朝"/>
      <w:color w:val="FFFFFF"/>
      <w:w w:val="90"/>
      <w:kern w:val="2"/>
      <w:sz w:val="18"/>
    </w:rPr>
  </w:style>
  <w:style w:type="character" w:styleId="237" w:customStyle="1">
    <w:name w:val="_意見（04カテゴリ） (文字)"/>
    <w:basedOn w:val="10"/>
    <w:next w:val="237"/>
    <w:link w:val="236"/>
    <w:uiPriority w:val="0"/>
    <w:rPr>
      <w:rFonts w:ascii="ＭＳ 明朝" w:hAnsi="ＭＳ 明朝"/>
      <w:color w:val="FFFFFF"/>
      <w:w w:val="90"/>
      <w:kern w:val="2"/>
      <w:sz w:val="18"/>
    </w:rPr>
  </w:style>
  <w:style w:type="paragraph" w:styleId="238" w:customStyle="1">
    <w:name w:val="01_03_問１"/>
    <w:next w:val="238"/>
    <w:link w:val="0"/>
    <w:uiPriority w:val="0"/>
    <w:pPr>
      <w:spacing w:after="105" w:afterLines="30" w:afterAutospacing="0" w:line="240" w:lineRule="auto"/>
      <w:ind w:left="600" w:hanging="600"/>
      <w:jc w:val="both"/>
      <w:outlineLvl w:val="2"/>
    </w:pPr>
    <w:rPr>
      <w:rFonts w:ascii="FG丸ｺﾞｼｯｸ体Ca-B" w:hAnsi="FG丸ｺﾞｼｯｸ体Ca-B" w:eastAsia="FG丸ｺﾞｼｯｸ体Ca-B"/>
      <w:color w:val="008000"/>
      <w:sz w:val="22"/>
    </w:rPr>
  </w:style>
  <w:style w:type="paragraph" w:styleId="239" w:customStyle="1">
    <w:name w:val="01_04_問10"/>
    <w:next w:val="239"/>
    <w:link w:val="0"/>
    <w:uiPriority w:val="0"/>
    <w:pPr>
      <w:spacing w:after="105" w:afterLines="30" w:afterAutospacing="0" w:line="240" w:lineRule="auto"/>
      <w:ind w:left="600" w:hanging="600"/>
      <w:jc w:val="both"/>
      <w:outlineLvl w:val="2"/>
    </w:pPr>
    <w:rPr>
      <w:rFonts w:ascii="FG丸ｺﾞｼｯｸ体Ca-B" w:hAnsi="FG丸ｺﾞｼｯｸ体Ca-B" w:eastAsia="FG丸ｺﾞｼｯｸ体Ca-B"/>
      <w:color w:val="FF0000"/>
      <w:sz w:val="22"/>
    </w:rPr>
  </w:style>
  <w:style w:type="paragraph" w:styleId="240" w:customStyle="1">
    <w:name w:val="01_10_選択肢"/>
    <w:next w:val="240"/>
    <w:link w:val="0"/>
    <w:uiPriority w:val="0"/>
    <w:pPr>
      <w:autoSpaceDE w:val="0"/>
      <w:autoSpaceDN w:val="0"/>
      <w:spacing w:after="0" w:afterLines="0" w:afterAutospacing="0" w:line="240" w:lineRule="auto"/>
      <w:ind w:left="500" w:leftChars="300" w:hanging="200" w:hangingChars="200"/>
    </w:pPr>
    <w:rPr>
      <w:rFonts w:ascii="ＭＳ 明朝" w:hAnsi="ＭＳ 明朝"/>
      <w:color w:val="0000FF"/>
      <w:sz w:val="22"/>
    </w:rPr>
  </w:style>
  <w:style w:type="paragraph" w:styleId="241" w:customStyle="1">
    <w:name w:val="行スペース"/>
    <w:next w:val="241"/>
    <w:link w:val="0"/>
    <w:uiPriority w:val="0"/>
    <w:pPr>
      <w:snapToGrid w:val="0"/>
      <w:spacing w:after="0" w:afterLines="0" w:afterAutospacing="0" w:line="0" w:lineRule="atLeast"/>
      <w:ind w:firstLine="100" w:firstLineChars="100"/>
    </w:pPr>
    <w:rPr>
      <w:color w:val="FF0000"/>
      <w:sz w:val="10"/>
    </w:rPr>
  </w:style>
  <w:style w:type="paragraph" w:styleId="242" w:customStyle="1">
    <w:name w:val="01_05_（１）"/>
    <w:next w:val="242"/>
    <w:link w:val="0"/>
    <w:uiPriority w:val="0"/>
    <w:pPr>
      <w:spacing w:after="0" w:afterLines="0" w:afterAutospacing="0" w:line="240" w:lineRule="auto"/>
      <w:ind w:left="300" w:hanging="300" w:hangingChars="300"/>
      <w:jc w:val="both"/>
      <w:outlineLvl w:val="4"/>
    </w:pPr>
    <w:rPr>
      <w:rFonts w:ascii="FG丸ｺﾞｼｯｸ体Ca-M" w:hAnsi="FG丸ｺﾞｼｯｸ体Ca-M" w:eastAsia="FG丸ｺﾞｼｯｸ体Ca-M"/>
      <w:color w:val="800000"/>
      <w:sz w:val="22"/>
    </w:rPr>
  </w:style>
  <w:style w:type="paragraph" w:styleId="243" w:customStyle="1">
    <w:name w:val="01_11_＜　＞"/>
    <w:next w:val="243"/>
    <w:link w:val="0"/>
    <w:uiPriority w:val="0"/>
    <w:pPr>
      <w:spacing w:after="105" w:afterLines="30" w:afterAutospacing="0" w:line="0" w:lineRule="atLeast"/>
    </w:pPr>
    <w:rPr>
      <w:rFonts w:ascii="FG丸ｺﾞｼｯｸ体Ca-U" w:hAnsi="FG丸ｺﾞｼｯｸ体Ca-U" w:eastAsia="FG丸ｺﾞｼｯｸ体Ca-U"/>
      <w:sz w:val="24"/>
    </w:rPr>
  </w:style>
  <w:style w:type="paragraph" w:styleId="244" w:customStyle="1">
    <w:name w:val="章２"/>
    <w:basedOn w:val="199"/>
    <w:next w:val="244"/>
    <w:link w:val="0"/>
    <w:uiPriority w:val="0"/>
    <w:qFormat/>
    <w:pPr>
      <w:shd w:val="clear" w:color="auto" w:fill="auto"/>
    </w:pPr>
  </w:style>
  <w:style w:type="paragraph" w:styleId="245" w:customStyle="1">
    <w:name w:val="現状・課題"/>
    <w:next w:val="245"/>
    <w:link w:val="0"/>
    <w:uiPriority w:val="0"/>
    <w:qFormat/>
    <w:pPr>
      <w:spacing w:after="350" w:afterLines="100" w:afterAutospacing="0" w:line="240" w:lineRule="auto"/>
      <w:ind w:left="150" w:leftChars="150"/>
    </w:pPr>
    <w:rPr>
      <w:rFonts w:ascii="ＭＳ ゴシック" w:hAnsi="ＭＳ ゴシック" w:eastAsia="ＭＳ ゴシック"/>
      <w:kern w:val="2"/>
      <w:sz w:val="22"/>
    </w:rPr>
  </w:style>
  <w:style w:type="paragraph" w:styleId="246" w:customStyle="1">
    <w:name w:val="■_文"/>
    <w:basedOn w:val="0"/>
    <w:next w:val="246"/>
    <w:link w:val="0"/>
    <w:uiPriority w:val="0"/>
    <w:qFormat/>
    <w:pPr>
      <w:spacing w:line="340" w:lineRule="exact"/>
      <w:ind w:left="749" w:leftChars="350" w:right="107" w:rightChars="50" w:firstLine="214" w:firstLineChars="100"/>
    </w:pPr>
    <w:rPr>
      <w:color w:val="000000" w:themeColor="text1"/>
      <w:sz w:val="21"/>
    </w:rPr>
  </w:style>
  <w:style w:type="paragraph" w:styleId="247" w:customStyle="1">
    <w:name w:val="１）_"/>
    <w:basedOn w:val="121"/>
    <w:next w:val="247"/>
    <w:link w:val="0"/>
    <w:uiPriority w:val="0"/>
    <w:qFormat/>
  </w:style>
  <w:style w:type="paragraph" w:styleId="248" w:customStyle="1">
    <w:name w:val="00_保険料部分_表(項目_中央揃え）（糸満市障がいサービス）"/>
    <w:next w:val="248"/>
    <w:link w:val="0"/>
    <w:uiPriority w:val="0"/>
    <w:pPr>
      <w:spacing w:before="17" w:beforeLines="5" w:beforeAutospacing="0" w:after="17" w:afterLines="5" w:afterAutospacing="0" w:line="0" w:lineRule="atLeast"/>
      <w:jc w:val="center"/>
    </w:pPr>
    <w:rPr>
      <w:rFonts w:ascii="ＭＳ 明朝" w:hAnsi="ＭＳ 明朝"/>
      <w:spacing w:val="-4"/>
      <w:sz w:val="21"/>
    </w:rPr>
  </w:style>
  <w:style w:type="paragraph" w:styleId="249" w:customStyle="1">
    <w:name w:val="（宜野湾市）_0_0_本文_２字＆字下げ"/>
    <w:next w:val="249"/>
    <w:link w:val="0"/>
    <w:uiPriority w:val="0"/>
    <w:pPr>
      <w:spacing w:after="0" w:afterLines="0" w:afterAutospacing="0" w:line="240" w:lineRule="auto"/>
      <w:ind w:left="459" w:leftChars="200" w:firstLine="229" w:firstLineChars="100"/>
      <w:jc w:val="both"/>
    </w:pPr>
    <w:rPr>
      <w:rFonts w:ascii="ＭＳ 明朝" w:hAnsi="ＭＳ 明朝"/>
      <w:kern w:val="2"/>
      <w:sz w:val="22"/>
    </w:rPr>
  </w:style>
  <w:style w:type="paragraph" w:styleId="250" w:customStyle="1">
    <w:name w:val="1._"/>
    <w:basedOn w:val="0"/>
    <w:next w:val="250"/>
    <w:link w:val="0"/>
    <w:uiPriority w:val="0"/>
    <w:qFormat/>
    <w:pPr>
      <w:spacing w:before="175" w:beforeLines="50" w:beforeAutospacing="0" w:after="350" w:afterLines="100" w:afterAutospacing="0" w:line="0" w:lineRule="atLeast"/>
    </w:pPr>
    <w:rPr>
      <w:rFonts w:ascii="ＭＳ ゴシック" w:hAnsi="ＭＳ ゴシック" w:eastAsia="ＭＳ ゴシック"/>
      <w:sz w:val="24"/>
    </w:rPr>
  </w:style>
  <w:style w:type="paragraph" w:styleId="251" w:customStyle="1">
    <w:name w:val="表中_本文"/>
    <w:basedOn w:val="204"/>
    <w:next w:val="251"/>
    <w:link w:val="0"/>
    <w:uiPriority w:val="0"/>
    <w:qFormat/>
    <w:pPr>
      <w:spacing w:before="105" w:beforeLines="30" w:beforeAutospacing="0" w:after="175" w:afterLines="50" w:afterAutospacing="0"/>
      <w:ind w:left="491" w:leftChars="20" w:right="43" w:rightChars="20" w:hanging="448" w:hangingChars="200"/>
    </w:pPr>
    <w:rPr>
      <w:color w:val="auto"/>
    </w:rPr>
  </w:style>
  <w:style w:type="paragraph" w:styleId="252" w:customStyle="1">
    <w:name w:val="【１】_"/>
    <w:basedOn w:val="204"/>
    <w:next w:val="252"/>
    <w:link w:val="0"/>
    <w:uiPriority w:val="0"/>
    <w:qFormat/>
    <w:pPr>
      <w:spacing w:before="175" w:beforeLines="50" w:beforeAutospacing="0" w:after="70" w:afterLines="20" w:afterAutospacing="0"/>
      <w:ind w:left="214" w:leftChars="100" w:firstLine="0" w:firstLineChars="0"/>
    </w:pPr>
    <w:rPr>
      <w:rFonts w:ascii="ＭＳ ゴシック" w:hAnsi="ＭＳ ゴシック" w:eastAsia="ＭＳ ゴシック"/>
      <w:color w:val="auto"/>
      <w:sz w:val="24"/>
    </w:rPr>
  </w:style>
  <w:style w:type="paragraph" w:styleId="253" w:customStyle="1">
    <w:name w:val="○本文_"/>
    <w:basedOn w:val="204"/>
    <w:next w:val="253"/>
    <w:link w:val="0"/>
    <w:uiPriority w:val="0"/>
    <w:qFormat/>
    <w:pPr>
      <w:ind w:left="866" w:leftChars="300" w:hanging="224" w:hangingChars="100"/>
    </w:pPr>
    <w:rPr>
      <w:color w:val="auto"/>
    </w:rPr>
  </w:style>
  <w:style w:type="paragraph" w:styleId="254" w:customStyle="1">
    <w:name w:val="表上_行"/>
    <w:basedOn w:val="0"/>
    <w:next w:val="254"/>
    <w:link w:val="0"/>
    <w:uiPriority w:val="0"/>
    <w:qFormat/>
    <w:pPr>
      <w:spacing w:line="0" w:lineRule="atLeast"/>
      <w:ind w:left="552" w:leftChars="200" w:hanging="124" w:hangingChars="100"/>
    </w:pPr>
    <w:rPr>
      <w:sz w:val="12"/>
    </w:rPr>
  </w:style>
  <w:style w:type="paragraph" w:styleId="255" w:customStyle="1">
    <w:name w:val="章(調査票)"/>
    <w:basedOn w:val="199"/>
    <w:next w:val="255"/>
    <w:link w:val="0"/>
    <w:uiPriority w:val="0"/>
    <w:qFormat/>
    <w:pPr>
      <w:shd w:val="clear" w:color="auto" w:fill="auto"/>
      <w:spacing w:line="0" w:lineRule="atLeast"/>
      <w:ind w:left="0" w:leftChars="0" w:firstLine="0" w:firstLineChars="0"/>
    </w:pPr>
    <w:rPr>
      <w:color w:val="auto"/>
      <w:sz w:val="32"/>
    </w:rPr>
  </w:style>
  <w:style w:type="paragraph" w:styleId="256" w:customStyle="1">
    <w:name w:val="設問_分"/>
    <w:basedOn w:val="0"/>
    <w:next w:val="256"/>
    <w:link w:val="0"/>
    <w:uiPriority w:val="0"/>
    <w:qFormat/>
    <w:pPr>
      <w:spacing w:line="0" w:lineRule="atLeast"/>
      <w:ind w:left="612" w:hanging="612" w:hangingChars="300"/>
    </w:pPr>
    <w:rPr>
      <w:rFonts w:ascii="ＭＳ ゴシック" w:hAnsi="ＭＳ ゴシック" w:eastAsia="ＭＳ ゴシック"/>
      <w:color w:val="000000" w:themeColor="text1"/>
      <w:sz w:val="20"/>
    </w:rPr>
  </w:style>
  <w:style w:type="paragraph" w:styleId="257" w:customStyle="1">
    <w:name w:val="01_03_＜問１＞"/>
    <w:next w:val="257"/>
    <w:link w:val="0"/>
    <w:uiPriority w:val="0"/>
    <w:pPr>
      <w:spacing w:after="0" w:afterLines="0" w:afterAutospacing="0" w:line="360" w:lineRule="exact"/>
      <w:ind w:left="300" w:hanging="300" w:hangingChars="300"/>
      <w:jc w:val="both"/>
      <w:outlineLvl w:val="2"/>
    </w:pPr>
    <w:rPr>
      <w:rFonts w:ascii="FGP丸ｺﾞｼｯｸ体Ca-B" w:hAnsi="FGP丸ｺﾞｼｯｸ体Ca-B" w:eastAsia="FGP丸ｺﾞｼｯｸ体Ca-B"/>
      <w:spacing w:val="-8"/>
      <w:sz w:val="23"/>
    </w:rPr>
  </w:style>
  <w:style w:type="paragraph" w:styleId="258" w:customStyle="1">
    <w:name w:val="01_04_＜問10＞"/>
    <w:next w:val="258"/>
    <w:link w:val="0"/>
    <w:uiPriority w:val="0"/>
    <w:pPr>
      <w:spacing w:after="0" w:afterLines="0" w:afterAutospacing="0" w:line="360" w:lineRule="exact"/>
      <w:ind w:left="300" w:hanging="300" w:hangingChars="300"/>
      <w:jc w:val="both"/>
      <w:outlineLvl w:val="3"/>
    </w:pPr>
    <w:rPr>
      <w:rFonts w:ascii="FGP丸ｺﾞｼｯｸ体Ca-B" w:hAnsi="FGP丸ｺﾞｼｯｸ体Ca-B" w:eastAsia="FGP丸ｺﾞｼｯｸ体Ca-B"/>
      <w:spacing w:val="-8"/>
      <w:sz w:val="23"/>
    </w:rPr>
  </w:style>
  <w:style w:type="paragraph" w:styleId="259" w:customStyle="1">
    <w:name w:val="01_11_≪　≫"/>
    <w:next w:val="259"/>
    <w:link w:val="0"/>
    <w:uiPriority w:val="0"/>
    <w:pPr>
      <w:spacing w:before="70" w:beforeLines="20" w:beforeAutospacing="0" w:after="70" w:afterLines="20" w:afterAutospacing="0" w:line="0" w:lineRule="atLeast"/>
      <w:jc w:val="center"/>
      <w:outlineLvl w:val="1"/>
    </w:pPr>
    <w:rPr>
      <w:rFonts w:ascii="FG丸ｺﾞｼｯｸ体Ca-B" w:hAnsi="FG丸ｺﾞｼｯｸ体Ca-B" w:eastAsia="FG丸ｺﾞｼｯｸ体Ca-B"/>
      <w:sz w:val="30"/>
    </w:rPr>
  </w:style>
  <w:style w:type="paragraph" w:styleId="260" w:customStyle="1">
    <w:name w:val="01_05_＜問１-1＞"/>
    <w:next w:val="260"/>
    <w:link w:val="0"/>
    <w:uiPriority w:val="0"/>
    <w:pPr>
      <w:spacing w:after="0" w:afterLines="0" w:afterAutospacing="0" w:line="360" w:lineRule="exact"/>
      <w:ind w:left="700" w:leftChars="400" w:hanging="300" w:hangingChars="300"/>
      <w:outlineLvl w:val="4"/>
    </w:pPr>
    <w:rPr>
      <w:rFonts w:ascii="FGP丸ｺﾞｼｯｸ体Ca-B" w:hAnsi="FGP丸ｺﾞｼｯｸ体Ca-B" w:eastAsia="FGP丸ｺﾞｼｯｸ体Ca-B"/>
      <w:spacing w:val="-8"/>
      <w:sz w:val="23"/>
    </w:rPr>
  </w:style>
  <w:style w:type="paragraph" w:styleId="261" w:customStyle="1">
    <w:name w:val="01_06_＜問10-1＞"/>
    <w:next w:val="261"/>
    <w:link w:val="0"/>
    <w:uiPriority w:val="0"/>
    <w:pPr>
      <w:spacing w:after="0" w:afterLines="0" w:afterAutospacing="0" w:line="360" w:lineRule="exact"/>
      <w:ind w:left="300" w:hanging="300" w:hangingChars="300"/>
      <w:outlineLvl w:val="5"/>
    </w:pPr>
    <w:rPr>
      <w:rFonts w:ascii="FGP丸ｺﾞｼｯｸ体Ca-B" w:hAnsi="FGP丸ｺﾞｼｯｸ体Ca-B" w:eastAsia="FGP丸ｺﾞｼｯｸ体Ca-B"/>
      <w:spacing w:val="-8"/>
      <w:sz w:val="23"/>
    </w:rPr>
  </w:style>
  <w:style w:type="paragraph" w:styleId="262" w:customStyle="1">
    <w:name w:val="01_10_選択肢（表内）"/>
    <w:basedOn w:val="240"/>
    <w:next w:val="262"/>
    <w:link w:val="0"/>
    <w:uiPriority w:val="0"/>
    <w:pPr>
      <w:spacing w:line="460" w:lineRule="exact"/>
      <w:ind w:left="150" w:leftChars="0" w:right="30" w:rightChars="30" w:hanging="150" w:hangingChars="150"/>
      <w:jc w:val="both"/>
    </w:pPr>
    <w:rPr>
      <w:rFonts w:ascii="FG丸ｺﾞｼｯｸ体Ca-M" w:hAnsi="FG丸ｺﾞｼｯｸ体Ca-M" w:eastAsia="FG丸ｺﾞｼｯｸ体Ca-M"/>
      <w:color w:val="auto"/>
      <w:spacing w:val="-10"/>
      <w:sz w:val="23"/>
    </w:rPr>
  </w:style>
  <w:style w:type="paragraph" w:styleId="263" w:customStyle="1">
    <w:name w:val="（表）タイトル：目標"/>
    <w:basedOn w:val="0"/>
    <w:next w:val="263"/>
    <w:link w:val="0"/>
    <w:uiPriority w:val="0"/>
    <w:pPr>
      <w:tabs>
        <w:tab w:val="num" w:leader="none" w:pos="580"/>
      </w:tabs>
      <w:spacing w:line="400" w:lineRule="exact"/>
    </w:pPr>
    <w:rPr>
      <w:rFonts w:ascii="Century" w:hAnsi="Century"/>
    </w:rPr>
  </w:style>
  <w:style w:type="paragraph" w:styleId="264" w:customStyle="1">
    <w:name w:val="Default"/>
    <w:next w:val="264"/>
    <w:link w:val="0"/>
    <w:uiPriority w:val="0"/>
    <w:pPr>
      <w:widowControl w:val="0"/>
      <w:autoSpaceDE w:val="0"/>
      <w:autoSpaceDN w:val="0"/>
      <w:adjustRightInd w:val="0"/>
      <w:spacing w:after="0" w:afterLines="0" w:afterAutospacing="0" w:line="240" w:lineRule="auto"/>
    </w:pPr>
    <w:rPr>
      <w:rFonts w:ascii="" w:hAnsi="" w:eastAsia=""/>
      <w:color w:val="000000"/>
      <w:sz w:val="24"/>
    </w:rPr>
  </w:style>
  <w:style w:type="paragraph" w:styleId="265" w:customStyle="1">
    <w:name w:val="問１"/>
    <w:basedOn w:val="0"/>
    <w:next w:val="265"/>
    <w:link w:val="0"/>
    <w:uiPriority w:val="0"/>
    <w:pPr>
      <w:spacing w:after="70" w:afterLines="20" w:afterAutospacing="0"/>
      <w:ind w:left="710" w:hanging="710" w:hangingChars="296"/>
      <w:jc w:val="left"/>
    </w:pPr>
    <w:rPr>
      <w:rFonts w:ascii="FG丸ｺﾞｼｯｸ体Ca-M" w:hAnsi="FG丸ｺﾞｼｯｸ体Ca-M" w:eastAsia="FG丸ｺﾞｼｯｸ体Ca-M"/>
      <w:sz w:val="24"/>
    </w:rPr>
  </w:style>
  <w:style w:type="paragraph" w:styleId="266" w:customStyle="1">
    <w:name w:val="問○"/>
    <w:basedOn w:val="0"/>
    <w:next w:val="266"/>
    <w:link w:val="0"/>
    <w:uiPriority w:val="0"/>
    <w:pPr>
      <w:pBdr>
        <w:top w:val="single" w:color="auto" w:sz="4" w:space="1"/>
        <w:left w:val="single" w:color="auto" w:sz="4" w:space="4"/>
        <w:bottom w:val="single" w:color="auto" w:sz="4" w:space="1"/>
        <w:right w:val="single" w:color="auto" w:sz="4" w:space="4"/>
      </w:pBdr>
      <w:spacing w:before="35" w:beforeLines="10" w:beforeAutospacing="0" w:after="35" w:afterLines="10" w:afterAutospacing="0"/>
      <w:ind w:left="672" w:leftChars="320" w:right="109" w:rightChars="52" w:firstLine="53" w:firstLineChars="24"/>
      <w:jc w:val="left"/>
    </w:pPr>
    <w:rPr>
      <w:rFonts w:ascii="FG丸ｺﾞｼｯｸ体Ca-L" w:hAnsi="FG丸ｺﾞｼｯｸ体Ca-L" w:eastAsia="FG丸ｺﾞｼｯｸ体Ca-L"/>
    </w:rPr>
  </w:style>
  <w:style w:type="paragraph" w:styleId="267" w:customStyle="1">
    <w:name w:val="問○スペース"/>
    <w:basedOn w:val="266"/>
    <w:next w:val="267"/>
    <w:link w:val="0"/>
    <w:uiPriority w:val="0"/>
    <w:pPr>
      <w:spacing w:before="0" w:beforeLines="0" w:beforeAutospacing="0" w:after="0" w:afterLines="0" w:afterAutospacing="0" w:line="100" w:lineRule="exact"/>
      <w:ind w:firstLine="58"/>
    </w:pPr>
    <w:rPr>
      <w:sz w:val="24"/>
    </w:rPr>
  </w:style>
  <w:style w:type="paragraph" w:styleId="268" w:customStyle="1">
    <w:name w:val="余白"/>
    <w:next w:val="268"/>
    <w:link w:val="0"/>
    <w:uiPriority w:val="0"/>
    <w:qFormat/>
    <w:pPr>
      <w:spacing w:after="0" w:afterLines="0" w:afterAutospacing="0" w:line="0" w:lineRule="atLeast"/>
      <w:ind w:left="535" w:leftChars="250" w:firstLine="104"/>
    </w:pPr>
    <w:rPr>
      <w:rFonts w:ascii="ＭＳ 明朝" w:hAnsi="ＭＳ 明朝"/>
      <w:kern w:val="2"/>
      <w:sz w:val="10"/>
    </w:rPr>
  </w:style>
  <w:style w:type="paragraph" w:styleId="269" w:customStyle="1">
    <w:name w:val="【現状・課題】"/>
    <w:next w:val="269"/>
    <w:link w:val="0"/>
    <w:uiPriority w:val="0"/>
    <w:qFormat/>
    <w:pPr>
      <w:spacing w:before="175" w:beforeLines="50" w:beforeAutospacing="0" w:after="105" w:afterLines="30" w:afterAutospacing="0" w:line="240" w:lineRule="auto"/>
      <w:ind w:left="321" w:leftChars="150"/>
    </w:pPr>
    <w:rPr>
      <w:rFonts w:ascii="ＭＳ ゴシック" w:hAnsi="ＭＳ ゴシック" w:eastAsia="ＭＳ ゴシック"/>
      <w:kern w:val="2"/>
      <w:sz w:val="22"/>
    </w:rPr>
  </w:style>
  <w:style w:type="paragraph" w:styleId="270" w:customStyle="1">
    <w:name w:val="スタイル1"/>
    <w:next w:val="270"/>
    <w:link w:val="0"/>
    <w:uiPriority w:val="0"/>
    <w:qFormat/>
    <w:pPr>
      <w:spacing w:before="245" w:beforeLines="70" w:beforeAutospacing="0" w:after="0" w:afterLines="0" w:afterAutospacing="0" w:line="240" w:lineRule="auto"/>
    </w:pPr>
    <w:rPr>
      <w:rFonts w:ascii="ＭＳ ゴシック" w:hAnsi="ＭＳ ゴシック" w:eastAsia="ＭＳ ゴシック"/>
      <w:kern w:val="2"/>
      <w:sz w:val="24"/>
    </w:rPr>
  </w:style>
  <w:style w:type="paragraph" w:styleId="271" w:customStyle="1">
    <w:name w:val="施策_( )"/>
    <w:basedOn w:val="204"/>
    <w:next w:val="271"/>
    <w:link w:val="0"/>
    <w:uiPriority w:val="0"/>
    <w:qFormat/>
    <w:pPr>
      <w:spacing w:before="105" w:beforeLines="30" w:beforeAutospacing="0"/>
      <w:ind w:firstLine="0" w:firstLineChars="0"/>
    </w:pPr>
    <w:rPr>
      <w:rFonts w:ascii="ＭＳ ゴシック" w:hAnsi="ＭＳ ゴシック" w:eastAsia="ＭＳ ゴシック"/>
      <w:color w:val="auto"/>
    </w:rPr>
  </w:style>
  <w:style w:type="paragraph" w:styleId="272" w:customStyle="1">
    <w:name w:val="（アンケート調査から）"/>
    <w:basedOn w:val="0"/>
    <w:next w:val="272"/>
    <w:link w:val="0"/>
    <w:uiPriority w:val="0"/>
    <w:qFormat/>
    <w:pPr>
      <w:widowControl w:val="1"/>
      <w:ind w:left="438" w:leftChars="200"/>
    </w:pPr>
    <w:rPr>
      <w:rFonts w:ascii="ＭＳ ゴシック" w:hAnsi="ＭＳ ゴシック" w:eastAsia="ＭＳ ゴシック"/>
      <w:kern w:val="0"/>
      <w:sz w:val="21"/>
    </w:rPr>
  </w:style>
  <w:style w:type="character" w:styleId="273" w:customStyle="1">
    <w:name w:val="smrart"/>
    <w:basedOn w:val="10"/>
    <w:next w:val="273"/>
    <w:link w:val="0"/>
    <w:uiPriority w:val="0"/>
  </w:style>
  <w:style w:type="paragraph" w:styleId="274" w:customStyle="1">
    <w:name w:val="1)_"/>
    <w:basedOn w:val="0"/>
    <w:next w:val="274"/>
    <w:link w:val="0"/>
    <w:uiPriority w:val="0"/>
    <w:qFormat/>
    <w:pPr>
      <w:spacing w:after="70" w:afterLines="20" w:afterAutospacing="0"/>
      <w:ind w:left="321" w:leftChars="150"/>
    </w:pPr>
    <w:rPr>
      <w:rFonts w:ascii="ＭＳ ゴシック" w:hAnsi="ＭＳ ゴシック" w:eastAsia="ＭＳ ゴシック"/>
      <w:color w:val="000000" w:themeColor="text1"/>
    </w:rPr>
  </w:style>
  <w:style w:type="paragraph" w:styleId="275" w:customStyle="1">
    <w:name w:val="基本方針"/>
    <w:next w:val="275"/>
    <w:link w:val="0"/>
    <w:uiPriority w:val="0"/>
    <w:qFormat/>
    <w:pPr>
      <w:spacing w:before="70" w:beforeLines="20" w:beforeAutospacing="0" w:after="105" w:afterLines="30" w:afterAutospacing="0" w:line="240" w:lineRule="auto"/>
      <w:ind w:left="535" w:leftChars="250"/>
    </w:pPr>
    <w:rPr>
      <w:rFonts w:ascii="ＭＳ ゴシック" w:hAnsi="ＭＳ ゴシック" w:eastAsia="ＭＳ ゴシック"/>
      <w:color w:val="000000" w:themeColor="text1"/>
      <w:sz w:val="21"/>
    </w:rPr>
  </w:style>
  <w:style w:type="paragraph" w:styleId="276" w:customStyle="1">
    <w:name w:val="基本方針_文"/>
    <w:basedOn w:val="0"/>
    <w:next w:val="276"/>
    <w:link w:val="0"/>
    <w:uiPriority w:val="0"/>
    <w:qFormat/>
    <w:pPr>
      <w:ind w:left="642" w:leftChars="300" w:right="107" w:rightChars="50" w:firstLine="214" w:firstLineChars="100"/>
    </w:pPr>
    <w:rPr>
      <w:color w:val="000000" w:themeColor="text1"/>
      <w:sz w:val="21"/>
    </w:rPr>
  </w:style>
  <w:style w:type="paragraph" w:styleId="277" w:customStyle="1">
    <w:name w:val="資料_1"/>
    <w:basedOn w:val="0"/>
    <w:next w:val="277"/>
    <w:link w:val="0"/>
    <w:uiPriority w:val="0"/>
    <w:qFormat/>
    <w:pPr>
      <w:pBdr>
        <w:top w:val="double" w:color="auto" w:sz="4" w:space="1"/>
        <w:bottom w:val="double" w:color="auto" w:sz="4" w:space="1"/>
      </w:pBdr>
      <w:spacing w:after="240" w:afterLines="0" w:afterAutospacing="0"/>
      <w:jc w:val="left"/>
    </w:pPr>
    <w:rPr>
      <w:rFonts w:ascii="ＭＳ ゴシック" w:hAnsi="ＭＳ ゴシック" w:eastAsia="ＭＳ ゴシック"/>
      <w:color w:val="000000" w:themeColor="text1"/>
      <w:sz w:val="28"/>
    </w:rPr>
  </w:style>
  <w:style w:type="paragraph" w:styleId="278" w:customStyle="1">
    <w:name w:val="_意見（01大見出し）"/>
    <w:next w:val="278"/>
    <w:link w:val="279"/>
    <w:uiPriority w:val="0"/>
    <w:pPr>
      <w:autoSpaceDE w:val="0"/>
      <w:autoSpaceDN w:val="0"/>
      <w:spacing w:after="0" w:afterLines="0" w:afterAutospacing="0" w:line="240" w:lineRule="auto"/>
      <w:jc w:val="both"/>
      <w:textAlignment w:val="center"/>
      <w:outlineLvl w:val="0"/>
    </w:pPr>
    <w:rPr>
      <w:rFonts w:ascii="ＭＳ ゴシック" w:hAnsi="ＭＳ ゴシック" w:eastAsia="ＭＳ ゴシック"/>
      <w:color w:val="000000"/>
      <w:kern w:val="2"/>
      <w:sz w:val="24"/>
    </w:rPr>
  </w:style>
  <w:style w:type="character" w:styleId="279" w:customStyle="1">
    <w:name w:val="_意見（01大見出し） (文字)"/>
    <w:basedOn w:val="10"/>
    <w:next w:val="279"/>
    <w:link w:val="278"/>
    <w:uiPriority w:val="0"/>
    <w:rPr>
      <w:rFonts w:ascii="ＭＳ ゴシック" w:hAnsi="ＭＳ ゴシック" w:eastAsia="ＭＳ ゴシック"/>
      <w:color w:val="000000"/>
      <w:kern w:val="2"/>
      <w:sz w:val="24"/>
    </w:rPr>
  </w:style>
  <w:style w:type="paragraph" w:styleId="280" w:customStyle="1">
    <w:name w:val="_意見（02中見出し）"/>
    <w:next w:val="280"/>
    <w:link w:val="281"/>
    <w:uiPriority w:val="0"/>
    <w:pPr>
      <w:autoSpaceDE w:val="0"/>
      <w:autoSpaceDN w:val="0"/>
      <w:spacing w:after="0" w:afterLines="0" w:afterAutospacing="0" w:line="240" w:lineRule="auto"/>
      <w:ind w:left="50" w:leftChars="50"/>
      <w:jc w:val="both"/>
      <w:textAlignment w:val="center"/>
      <w:outlineLvl w:val="1"/>
    </w:pPr>
    <w:rPr>
      <w:rFonts w:ascii="ＭＳ ゴシック" w:hAnsi="ＭＳ ゴシック" w:eastAsia="ＭＳ ゴシック"/>
      <w:color w:val="000000"/>
      <w:kern w:val="2"/>
      <w:sz w:val="22"/>
    </w:rPr>
  </w:style>
  <w:style w:type="character" w:styleId="281" w:customStyle="1">
    <w:name w:val="_意見（02中見出し） (文字)"/>
    <w:basedOn w:val="10"/>
    <w:next w:val="281"/>
    <w:link w:val="280"/>
    <w:uiPriority w:val="0"/>
    <w:rPr>
      <w:rFonts w:ascii="ＭＳ ゴシック" w:hAnsi="ＭＳ ゴシック" w:eastAsia="ＭＳ ゴシック"/>
      <w:color w:val="000000"/>
      <w:kern w:val="2"/>
      <w:sz w:val="22"/>
    </w:rPr>
  </w:style>
  <w:style w:type="paragraph" w:styleId="282" w:customStyle="1">
    <w:name w:val="_意見（03_小見出し）"/>
    <w:next w:val="282"/>
    <w:link w:val="283"/>
    <w:uiPriority w:val="0"/>
    <w:pPr>
      <w:autoSpaceDE w:val="0"/>
      <w:autoSpaceDN w:val="0"/>
      <w:spacing w:after="0" w:afterLines="0" w:afterAutospacing="0" w:line="240" w:lineRule="auto"/>
      <w:ind w:left="100" w:leftChars="100"/>
      <w:jc w:val="both"/>
      <w:textAlignment w:val="center"/>
      <w:outlineLvl w:val="2"/>
    </w:pPr>
    <w:rPr>
      <w:rFonts w:ascii="ＭＳ ゴシック" w:hAnsi="ＭＳ ゴシック" w:eastAsia="ＭＳ ゴシック"/>
      <w:color w:val="000000"/>
      <w:kern w:val="2"/>
      <w:sz w:val="21"/>
    </w:rPr>
  </w:style>
  <w:style w:type="character" w:styleId="283" w:customStyle="1">
    <w:name w:val="_意見（03_小見出し） (文字)"/>
    <w:basedOn w:val="10"/>
    <w:next w:val="283"/>
    <w:link w:val="282"/>
    <w:uiPriority w:val="0"/>
    <w:rPr>
      <w:rFonts w:ascii="ＭＳ ゴシック" w:hAnsi="ＭＳ ゴシック" w:eastAsia="ＭＳ ゴシック"/>
      <w:color w:val="000000"/>
      <w:kern w:val="2"/>
      <w:sz w:val="21"/>
    </w:rPr>
  </w:style>
  <w:style w:type="paragraph" w:styleId="284" w:customStyle="1">
    <w:name w:val="≪　≫"/>
    <w:basedOn w:val="200"/>
    <w:next w:val="284"/>
    <w:link w:val="0"/>
    <w:uiPriority w:val="0"/>
    <w:qFormat/>
    <w:pPr>
      <w:spacing w:after="105" w:afterLines="30" w:afterAutospacing="0"/>
      <w:ind w:left="0" w:leftChars="0"/>
    </w:pPr>
    <w:rPr>
      <w:color w:val="auto"/>
    </w:rPr>
  </w:style>
  <w:style w:type="paragraph" w:styleId="285" w:customStyle="1">
    <w:name w:val="点検1"/>
    <w:basedOn w:val="0"/>
    <w:next w:val="285"/>
    <w:link w:val="0"/>
    <w:uiPriority w:val="0"/>
    <w:qFormat/>
    <w:pPr>
      <w:widowControl w:val="1"/>
      <w:jc w:val="left"/>
    </w:pPr>
    <w:rPr>
      <w:rFonts w:ascii="ＭＳ ゴシック" w:hAnsi="ＭＳ ゴシック" w:eastAsia="ＭＳ ゴシック"/>
    </w:rPr>
  </w:style>
  <w:style w:type="paragraph" w:styleId="286" w:customStyle="1">
    <w:name w:val="テーマ"/>
    <w:basedOn w:val="0"/>
    <w:next w:val="286"/>
    <w:link w:val="0"/>
    <w:uiPriority w:val="0"/>
    <w:qFormat/>
    <w:pPr>
      <w:tabs>
        <w:tab w:val="left" w:leader="none" w:pos="3210"/>
      </w:tabs>
      <w:spacing w:line="0" w:lineRule="atLeast"/>
      <w:ind w:firstLine="364"/>
    </w:pPr>
    <w:rPr>
      <w:rFonts w:ascii="FGP丸ｺﾞｼｯｸ体Ca-U" w:hAnsi="FGP丸ｺﾞｼｯｸ体Ca-U" w:eastAsia="FGP丸ｺﾞｼｯｸ体Ca-U"/>
      <w:sz w:val="28"/>
    </w:rPr>
  </w:style>
  <w:style w:type="paragraph" w:styleId="287" w:customStyle="1">
    <w:name w:val="【現状と課題】"/>
    <w:basedOn w:val="115"/>
    <w:next w:val="287"/>
    <w:link w:val="0"/>
    <w:uiPriority w:val="0"/>
    <w:qFormat/>
    <w:pPr>
      <w:ind w:left="662" w:leftChars="200" w:hanging="214" w:hangingChars="100"/>
    </w:pPr>
  </w:style>
  <w:style w:type="paragraph" w:styleId="288" w:customStyle="1">
    <w:name w:val="施策_(１)"/>
    <w:basedOn w:val="157"/>
    <w:next w:val="288"/>
    <w:link w:val="0"/>
    <w:uiPriority w:val="0"/>
    <w:qFormat/>
  </w:style>
  <w:style w:type="paragraph" w:styleId="289" w:customStyle="1">
    <w:name w:val="今後_①"/>
    <w:next w:val="289"/>
    <w:link w:val="0"/>
    <w:uiPriority w:val="0"/>
    <w:qFormat/>
    <w:pPr>
      <w:spacing w:after="0" w:afterLines="0" w:afterAutospacing="0" w:line="240" w:lineRule="auto"/>
      <w:ind w:left="672"/>
    </w:pPr>
    <w:rPr>
      <w:rFonts w:ascii="ＭＳ ゴシック" w:hAnsi="ＭＳ ゴシック" w:eastAsia="ＭＳ ゴシック"/>
      <w:kern w:val="2"/>
      <w:sz w:val="21"/>
    </w:rPr>
  </w:style>
  <w:style w:type="paragraph" w:styleId="290" w:customStyle="1">
    <w:name w:val="_05_①(北谷障害者)"/>
    <w:next w:val="290"/>
    <w:link w:val="291"/>
    <w:uiPriority w:val="0"/>
    <w:pPr>
      <w:spacing w:after="0" w:afterLines="0" w:afterAutospacing="0" w:line="240" w:lineRule="auto"/>
      <w:ind w:left="344" w:leftChars="150"/>
      <w:jc w:val="both"/>
    </w:pPr>
    <w:rPr>
      <w:rFonts w:ascii="HG丸ｺﾞｼｯｸM-PRO" w:hAnsi="HG丸ｺﾞｼｯｸM-PRO" w:eastAsia="HG丸ｺﾞｼｯｸM-PRO"/>
      <w:kern w:val="2"/>
      <w:sz w:val="22"/>
    </w:rPr>
  </w:style>
  <w:style w:type="character" w:styleId="291" w:customStyle="1">
    <w:name w:val="_05_①(北谷障害者) (文字)"/>
    <w:next w:val="291"/>
    <w:link w:val="290"/>
    <w:uiPriority w:val="0"/>
    <w:rPr>
      <w:rFonts w:ascii="HG丸ｺﾞｼｯｸM-PRO" w:hAnsi="HG丸ｺﾞｼｯｸM-PRO" w:eastAsia="HG丸ｺﾞｼｯｸM-PRO"/>
      <w:kern w:val="2"/>
      <w:sz w:val="22"/>
    </w:rPr>
  </w:style>
  <w:style w:type="paragraph" w:styleId="292" w:customStyle="1">
    <w:name w:val="_00_表:本文"/>
    <w:next w:val="292"/>
    <w:link w:val="0"/>
    <w:uiPriority w:val="0"/>
    <w:qFormat/>
    <w:pPr>
      <w:spacing w:after="0" w:afterLines="0" w:afterAutospacing="0" w:line="360" w:lineRule="exact"/>
      <w:ind w:firstLine="229"/>
      <w:jc w:val="both"/>
    </w:pPr>
    <w:rPr>
      <w:rFonts w:ascii="ＭＳ 明朝" w:hAnsi="ＭＳ 明朝"/>
      <w:sz w:val="22"/>
    </w:rPr>
  </w:style>
  <w:style w:type="paragraph" w:styleId="293" w:customStyle="1">
    <w:name w:val="_04_(1)(北谷障害者)"/>
    <w:next w:val="293"/>
    <w:link w:val="294"/>
    <w:uiPriority w:val="0"/>
    <w:pPr>
      <w:spacing w:after="0" w:afterLines="0" w:afterAutospacing="0" w:line="240" w:lineRule="auto"/>
      <w:ind w:left="977" w:leftChars="100" w:hanging="748" w:hangingChars="300"/>
      <w:jc w:val="both"/>
    </w:pPr>
    <w:rPr>
      <w:rFonts w:ascii="HG丸ｺﾞｼｯｸM-PRO" w:hAnsi="HG丸ｺﾞｼｯｸM-PRO" w:eastAsia="HG丸ｺﾞｼｯｸM-PRO"/>
      <w:kern w:val="2"/>
      <w:sz w:val="24"/>
    </w:rPr>
  </w:style>
  <w:style w:type="character" w:styleId="294" w:customStyle="1">
    <w:name w:val="_04_(1)(北谷障害者) (文字)"/>
    <w:next w:val="294"/>
    <w:link w:val="293"/>
    <w:uiPriority w:val="0"/>
    <w:rPr>
      <w:rFonts w:ascii="HG丸ｺﾞｼｯｸM-PRO" w:hAnsi="HG丸ｺﾞｼｯｸM-PRO" w:eastAsia="HG丸ｺﾞｼｯｸM-PRO"/>
      <w:kern w:val="2"/>
      <w:sz w:val="24"/>
    </w:rPr>
  </w:style>
  <w:style w:type="paragraph" w:styleId="295" w:customStyle="1">
    <w:name w:val="_00_表：本文_担当課"/>
    <w:next w:val="295"/>
    <w:link w:val="0"/>
    <w:uiPriority w:val="0"/>
    <w:qFormat/>
    <w:pPr>
      <w:spacing w:after="0" w:afterLines="0" w:afterAutospacing="0" w:line="0" w:lineRule="atLeast"/>
      <w:ind w:left="-66" w:leftChars="-30" w:right="-66" w:rightChars="-30"/>
      <w:jc w:val="center"/>
    </w:pPr>
    <w:rPr>
      <w:rFonts w:ascii="ＭＳ 明朝" w:hAnsi="ＭＳ 明朝"/>
      <w:w w:val="85"/>
    </w:rPr>
  </w:style>
  <w:style w:type="paragraph" w:styleId="296" w:customStyle="1">
    <w:name w:val="_00_表：取組内容、担当課"/>
    <w:next w:val="296"/>
    <w:link w:val="0"/>
    <w:uiPriority w:val="0"/>
    <w:qFormat/>
    <w:pPr>
      <w:spacing w:after="0" w:afterLines="0" w:afterAutospacing="0" w:line="240" w:lineRule="auto"/>
      <w:jc w:val="center"/>
    </w:pPr>
    <w:rPr>
      <w:rFonts w:ascii="ＭＳ ゴシック" w:hAnsi="ＭＳ ゴシック" w:eastAsia="ＭＳ ゴシック"/>
      <w:kern w:val="2"/>
      <w:sz w:val="22"/>
    </w:rPr>
  </w:style>
  <w:style w:type="paragraph" w:styleId="297" w:customStyle="1">
    <w:name w:val="contents-lineheight-2"/>
    <w:basedOn w:val="0"/>
    <w:next w:val="297"/>
    <w:link w:val="0"/>
    <w:uiPriority w:val="0"/>
    <w:qFormat/>
    <w:pPr>
      <w:spacing w:line="408" w:lineRule="atLeast"/>
    </w:pPr>
    <w:rPr>
      <w:rFonts w:ascii="ＭＳ Ｐゴシック" w:hAnsi="ＭＳ Ｐゴシック" w:eastAsia="ＭＳ Ｐゴシック"/>
      <w:color w:val="111111"/>
      <w:sz w:val="18"/>
    </w:rPr>
  </w:style>
  <w:style w:type="paragraph" w:styleId="298" w:customStyle="1">
    <w:name w:val="dbase_tag_list_0 &gt; a_dbase_stickyIcon"/>
    <w:basedOn w:val="0"/>
    <w:next w:val="298"/>
    <w:link w:val="0"/>
    <w:uiPriority w:val="0"/>
    <w:qFormat/>
    <w:pPr>
      <w:spacing w:line="252" w:lineRule="atLeast"/>
    </w:pPr>
    <w:rPr>
      <w:rFonts w:ascii="ＭＳ Ｐゴシック" w:hAnsi="ＭＳ Ｐゴシック" w:eastAsia="ＭＳ Ｐゴシック"/>
      <w:color w:val="111111"/>
      <w:sz w:val="18"/>
    </w:rPr>
  </w:style>
  <w:style w:type="paragraph" w:styleId="299" w:customStyle="1">
    <w:name w:val="a_dbase_stickyIcon_off2"/>
    <w:basedOn w:val="0"/>
    <w:next w:val="299"/>
    <w:link w:val="0"/>
    <w:uiPriority w:val="0"/>
    <w:qFormat/>
    <w:pPr>
      <w:spacing w:line="252" w:lineRule="atLeast"/>
    </w:pPr>
    <w:rPr>
      <w:rFonts w:ascii="ＭＳ Ｐゴシック" w:hAnsi="ＭＳ Ｐゴシック" w:eastAsia="ＭＳ Ｐゴシック"/>
      <w:color w:val="0055AA"/>
      <w:sz w:val="18"/>
    </w:rPr>
  </w:style>
  <w:style w:type="character" w:styleId="300" w:customStyle="1">
    <w:name w:val="any"/>
    <w:basedOn w:val="10"/>
    <w:next w:val="300"/>
    <w:link w:val="0"/>
    <w:uiPriority w:val="0"/>
    <w:qFormat/>
  </w:style>
  <w:style w:type="character" w:styleId="301" w:customStyle="1">
    <w:name w:val="a_link"/>
    <w:basedOn w:val="10"/>
    <w:next w:val="301"/>
    <w:link w:val="0"/>
    <w:uiPriority w:val="0"/>
    <w:qFormat/>
    <w:rPr>
      <w:color w:val="0055AA"/>
    </w:rPr>
  </w:style>
  <w:style w:type="paragraph" w:styleId="302" w:customStyle="1">
    <w:name w:val="調査結果●本文"/>
    <w:next w:val="302"/>
    <w:link w:val="0"/>
    <w:uiPriority w:val="0"/>
    <w:qFormat/>
    <w:pPr>
      <w:spacing w:after="0" w:afterLines="0" w:afterAutospacing="0" w:line="240" w:lineRule="auto"/>
      <w:ind w:left="868" w:leftChars="300" w:hanging="196" w:hangingChars="100"/>
      <w:jc w:val="both"/>
    </w:pPr>
    <w:rPr>
      <w:rFonts w:ascii="ＭＳ 明朝" w:hAnsi="ＭＳ 明朝"/>
      <w:spacing w:val="-4"/>
      <w:kern w:val="2"/>
    </w:rPr>
  </w:style>
  <w:style w:type="paragraph" w:styleId="303" w:customStyle="1">
    <w:name w:val="調査結果　１．"/>
    <w:next w:val="303"/>
    <w:link w:val="0"/>
    <w:uiPriority w:val="0"/>
    <w:qFormat/>
    <w:pPr>
      <w:spacing w:after="70" w:afterLines="20" w:afterAutospacing="0" w:line="240" w:lineRule="auto"/>
      <w:ind w:left="250" w:leftChars="250"/>
      <w:jc w:val="both"/>
      <w:outlineLvl w:val="3"/>
    </w:pPr>
    <w:rPr>
      <w:rFonts w:ascii="ＭＳ ゴシック" w:hAnsi="ＭＳ ゴシック" w:eastAsia="ＭＳ ゴシック"/>
      <w:spacing w:val="-4"/>
      <w:kern w:val="2"/>
    </w:rPr>
  </w:style>
  <w:style w:type="paragraph" w:styleId="304" w:customStyle="1">
    <w:name w:val="_０_障がい報告書(本文)"/>
    <w:next w:val="304"/>
    <w:link w:val="305"/>
    <w:uiPriority w:val="0"/>
    <w:pPr>
      <w:autoSpaceDE w:val="0"/>
      <w:autoSpaceDN w:val="0"/>
      <w:spacing w:after="0" w:afterLines="0" w:afterAutospacing="0" w:line="240" w:lineRule="auto"/>
      <w:ind w:left="321" w:leftChars="150" w:firstLine="214" w:firstLineChars="100"/>
      <w:jc w:val="both"/>
      <w:textAlignment w:val="center"/>
    </w:pPr>
    <w:rPr>
      <w:rFonts w:ascii="ＭＳ 明朝" w:hAnsi="ＭＳ 明朝"/>
      <w:color w:val="000000" w:themeColor="text1"/>
      <w:kern w:val="2"/>
      <w:sz w:val="21"/>
    </w:rPr>
  </w:style>
  <w:style w:type="character" w:styleId="305" w:customStyle="1">
    <w:name w:val="_０_障がい報告書(本文) (文字)"/>
    <w:next w:val="305"/>
    <w:link w:val="304"/>
    <w:uiPriority w:val="0"/>
    <w:rPr>
      <w:rFonts w:ascii="ＭＳ 明朝" w:hAnsi="ＭＳ 明朝"/>
      <w:color w:val="000000" w:themeColor="text1"/>
      <w:kern w:val="2"/>
      <w:sz w:val="21"/>
    </w:rPr>
  </w:style>
  <w:style w:type="paragraph" w:styleId="306" w:customStyle="1">
    <w:name w:val="調査結果※注釈"/>
    <w:next w:val="306"/>
    <w:link w:val="0"/>
    <w:uiPriority w:val="0"/>
    <w:qFormat/>
    <w:pPr>
      <w:spacing w:before="175" w:beforeLines="50" w:beforeAutospacing="0" w:after="0" w:afterLines="0" w:afterAutospacing="0" w:line="240" w:lineRule="exact"/>
      <w:ind w:left="693" w:leftChars="500" w:hanging="193"/>
      <w:jc w:val="both"/>
    </w:pPr>
    <w:rPr>
      <w:rFonts w:ascii="ＭＳ ゴシック" w:hAnsi="ＭＳ ゴシック" w:eastAsia="ＭＳ ゴシック"/>
      <w:spacing w:val="-6"/>
      <w:kern w:val="2"/>
      <w:sz w:val="18"/>
    </w:rPr>
  </w:style>
  <w:style w:type="table" w:styleId="307">
    <w:name w:val="Table Grid"/>
    <w:basedOn w:val="11"/>
    <w:next w:val="307"/>
    <w:link w:val="0"/>
    <w:uiPriority w:val="0"/>
    <w:pPr>
      <w:widowControl w:val="0"/>
      <w:jc w:val="both"/>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wmf" /><Relationship Id="rId7" Type="http://schemas.openxmlformats.org/officeDocument/2006/relationships/image" Target="media/image2.jpg" /><Relationship Id="rId8" Type="http://schemas.openxmlformats.org/officeDocument/2006/relationships/image" Target="media/image3.png" /><Relationship Id="rId9" Type="http://schemas.openxmlformats.org/officeDocument/2006/relationships/footer" Target="footer2.xml" /><Relationship Id="rId10" Type="http://schemas.openxmlformats.org/officeDocument/2006/relationships/image" Target="media/image4.gif" /><Relationship Id="rId11" Type="http://schemas.openxmlformats.org/officeDocument/2006/relationships/image" Target="media/image5.emf" /><Relationship Id="rId12" Type="http://schemas.openxmlformats.org/officeDocument/2006/relationships/image" Target="media/image6.emf" /><Relationship Id="rId13" Type="http://schemas.openxmlformats.org/officeDocument/2006/relationships/image" Target="media/image7.emf" /><Relationship Id="rId14" Type="http://schemas.openxmlformats.org/officeDocument/2006/relationships/image" Target="media/image8.emf" /><Relationship Id="rId15" Type="http://schemas.openxmlformats.org/officeDocument/2006/relationships/image" Target="media/image9.jpg" /><Relationship Id="rId16" Type="http://schemas.openxmlformats.org/officeDocument/2006/relationships/image" Target="media/image10.png" /><Relationship Id="rId17" Type="http://schemas.openxmlformats.org/officeDocument/2006/relationships/image" Target="media/image11.emf" /><Relationship Id="rId18" Type="http://schemas.openxmlformats.org/officeDocument/2006/relationships/image" Target="media/image12.emf" /><Relationship Id="rId19" Type="http://schemas.openxmlformats.org/officeDocument/2006/relationships/image" Target="media/image13.emf" /><Relationship Id="rId20" Type="http://schemas.openxmlformats.org/officeDocument/2006/relationships/image" Target="media/image14.emf" /><Relationship Id="rId21" Type="http://schemas.openxmlformats.org/officeDocument/2006/relationships/image" Target="media/image15.emf" /><Relationship Id="rId22" Type="http://schemas.openxmlformats.org/officeDocument/2006/relationships/image" Target="media/image16.emf" /><Relationship Id="rId23" Type="http://schemas.openxmlformats.org/officeDocument/2006/relationships/image" Target="media/image17.emf" /><Relationship Id="rId24" Type="http://schemas.openxmlformats.org/officeDocument/2006/relationships/image" Target="media/image18.emf" /><Relationship Id="rId25" Type="http://schemas.openxmlformats.org/officeDocument/2006/relationships/image" Target="media/image19.emf" /><Relationship Id="rId26" Type="http://schemas.openxmlformats.org/officeDocument/2006/relationships/image" Target="media/image20.emf" /><Relationship Id="rId27" Type="http://schemas.openxmlformats.org/officeDocument/2006/relationships/image" Target="media/image21.emf" /><Relationship Id="rId28" Type="http://schemas.openxmlformats.org/officeDocument/2006/relationships/image" Target="media/image22.emf" /><Relationship Id="rId29" Type="http://schemas.openxmlformats.org/officeDocument/2006/relationships/image" Target="media/image23.emf" /><Relationship Id="rId30" Type="http://schemas.openxmlformats.org/officeDocument/2006/relationships/image" Target="media/image24.emf" /><Relationship Id="rId31" Type="http://schemas.openxmlformats.org/officeDocument/2006/relationships/image" Target="media/image25.emf" /><Relationship Id="rId32" Type="http://schemas.openxmlformats.org/officeDocument/2006/relationships/image" Target="media/image26.emf" /><Relationship Id="rId33" Type="http://schemas.openxmlformats.org/officeDocument/2006/relationships/image" Target="media/image27.emf" /><Relationship Id="rId34" Type="http://schemas.openxmlformats.org/officeDocument/2006/relationships/image" Target="media/image28.emf" /><Relationship Id="rId35" Type="http://schemas.openxmlformats.org/officeDocument/2006/relationships/image" Target="media/image29.emf" /><Relationship Id="rId36" Type="http://schemas.openxmlformats.org/officeDocument/2006/relationships/image" Target="media/image30.emf" /><Relationship Id="rId37" Type="http://schemas.openxmlformats.org/officeDocument/2006/relationships/image" Target="media/image31.emf" /><Relationship Id="rId38" Type="http://schemas.openxmlformats.org/officeDocument/2006/relationships/image" Target="media/image32.emf" /><Relationship Id="rId39" Type="http://schemas.openxmlformats.org/officeDocument/2006/relationships/image" Target="media/image33.emf" /><Relationship Id="rId40" Type="http://schemas.openxmlformats.org/officeDocument/2006/relationships/image" Target="media/image34.emf" /><Relationship Id="rId41" Type="http://schemas.openxmlformats.org/officeDocument/2006/relationships/image" Target="media/image35.emf" /><Relationship Id="rId42" Type="http://schemas.openxmlformats.org/officeDocument/2006/relationships/image" Target="media/image36.emf" /><Relationship Id="rId43" Type="http://schemas.openxmlformats.org/officeDocument/2006/relationships/image" Target="media/image37.emf" /><Relationship Id="rId44" Type="http://schemas.openxmlformats.org/officeDocument/2006/relationships/image" Target="media/image38.emf" /><Relationship Id="rId45" Type="http://schemas.openxmlformats.org/officeDocument/2006/relationships/image" Target="media/image39.emf" /><Relationship Id="rId46" Type="http://schemas.openxmlformats.org/officeDocument/2006/relationships/image" Target="media/image40.emf" /><Relationship Id="rId47" Type="http://schemas.openxmlformats.org/officeDocument/2006/relationships/image" Target="media/image41.emf" /><Relationship Id="rId48" Type="http://schemas.openxmlformats.org/officeDocument/2006/relationships/image" Target="media/image42.emf" /><Relationship Id="rId49" Type="http://schemas.openxmlformats.org/officeDocument/2006/relationships/image" Target="media/image43.emf" /><Relationship Id="rId50" Type="http://schemas.openxmlformats.org/officeDocument/2006/relationships/image" Target="media/image44.emf" /><Relationship Id="rId51" Type="http://schemas.openxmlformats.org/officeDocument/2006/relationships/image" Target="media/image45.emf" /><Relationship Id="rId52" Type="http://schemas.openxmlformats.org/officeDocument/2006/relationships/image" Target="media/image46.emf" /><Relationship Id="rId53" Type="http://schemas.openxmlformats.org/officeDocument/2006/relationships/image" Target="media/image47.emf" /><Relationship Id="rId54" Type="http://schemas.openxmlformats.org/officeDocument/2006/relationships/image" Target="media/image48.emf" /><Relationship Id="rId55" Type="http://schemas.openxmlformats.org/officeDocument/2006/relationships/image" Target="media/image49.emf" /><Relationship Id="rId56" Type="http://schemas.openxmlformats.org/officeDocument/2006/relationships/image" Target="media/image50.emf" /><Relationship Id="rId57" Type="http://schemas.openxmlformats.org/officeDocument/2006/relationships/image" Target="media/image51.emf" /><Relationship Id="rId58" Type="http://schemas.openxmlformats.org/officeDocument/2006/relationships/image" Target="media/image52.emf" /><Relationship Id="rId59" Type="http://schemas.openxmlformats.org/officeDocument/2006/relationships/image" Target="media/image53.emf" /><Relationship Id="rId60" Type="http://schemas.openxmlformats.org/officeDocument/2006/relationships/image" Target="media/image54.emf" /><Relationship Id="rId61" Type="http://schemas.openxmlformats.org/officeDocument/2006/relationships/image" Target="media/image55.emf" /><Relationship Id="rId62" Type="http://schemas.openxmlformats.org/officeDocument/2006/relationships/image" Target="media/image56.emf" /><Relationship Id="rId63" Type="http://schemas.openxmlformats.org/officeDocument/2006/relationships/image" Target="media/image57.emf" /><Relationship Id="rId64" Type="http://schemas.openxmlformats.org/officeDocument/2006/relationships/image" Target="media/image58.emf" /><Relationship Id="rId65" Type="http://schemas.openxmlformats.org/officeDocument/2006/relationships/image" Target="media/image59.emf" /><Relationship Id="rId66" Type="http://schemas.openxmlformats.org/officeDocument/2006/relationships/image" Target="media/image60.emf" /><Relationship Id="rId67" Type="http://schemas.openxmlformats.org/officeDocument/2006/relationships/image" Target="media/image61.emf" /><Relationship Id="rId68" Type="http://schemas.openxmlformats.org/officeDocument/2006/relationships/image" Target="media/image62.emf" /><Relationship Id="rId69" Type="http://schemas.openxmlformats.org/officeDocument/2006/relationships/image" Target="media/image63.jpg" /><Relationship Id="rId70" Type="http://schemas.openxmlformats.org/officeDocument/2006/relationships/image" Target="media/image64.jpg" /><Relationship Id="rId71"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2192</TotalTime>
  <Pages>154</Pages>
  <Words>4024</Words>
  <Characters>88774</Characters>
  <Application>JUST Note</Application>
  <Lines>966467</Lines>
  <Paragraphs>6912</Paragraphs>
  <CharactersWithSpaces>89205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１</dc:title>
  <dc:creator>SYSTEM-EGG</dc:creator>
  <cp:lastModifiedBy>與那嶺 健</cp:lastModifiedBy>
  <cp:lastPrinted>2024-03-28T15:56:00Z</cp:lastPrinted>
  <dcterms:created xsi:type="dcterms:W3CDTF">2024-01-23T01:51:00Z</dcterms:created>
  <dcterms:modified xsi:type="dcterms:W3CDTF">2024-03-28T15:58:55Z</dcterms:modified>
  <cp:revision>114</cp:revision>
</cp:coreProperties>
</file>