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r>
        <w:rPr>
          <w:rFonts w:hint="default" w:ascii="ＭＳ ゴシック" w:hAnsi="ＭＳ ゴシック" w:eastAsia="ＭＳ ゴシック"/>
          <w:sz w:val="24"/>
        </w:rPr>
        <mc:AlternateContent>
          <mc:Choice Requires="wpg">
            <w:drawing>
              <wp:anchor distT="0" distB="0" distL="114300" distR="114300" simplePos="0" relativeHeight="78" behindDoc="0" locked="0" layoutInCell="1" hidden="0" allowOverlap="1">
                <wp:simplePos x="0" y="0"/>
                <wp:positionH relativeFrom="column">
                  <wp:align>center</wp:align>
                </wp:positionH>
                <wp:positionV relativeFrom="paragraph">
                  <wp:posOffset>158115</wp:posOffset>
                </wp:positionV>
                <wp:extent cx="5554980" cy="1767205"/>
                <wp:effectExtent l="0" t="0" r="635" b="635"/>
                <wp:wrapNone/>
                <wp:docPr id="1026" name="グループ化 24"/>
                <a:graphic xmlns:a="http://schemas.openxmlformats.org/drawingml/2006/main">
                  <a:graphicData uri="http://schemas.microsoft.com/office/word/2010/wordprocessingGroup">
                    <wpg:wgp>
                      <wpg:cNvGrpSpPr/>
                      <wpg:grpSpPr>
                        <a:xfrm>
                          <a:off x="0" y="0"/>
                          <a:ext cx="5554980" cy="1767205"/>
                          <a:chOff x="0" y="120770"/>
                          <a:chExt cx="5555160" cy="1767240"/>
                        </a:xfrm>
                      </wpg:grpSpPr>
                      <wps:wsp>
                        <wps:cNvPr id="1027" name="テキスト ボックス 88"/>
                        <wps:cNvSpPr txBox="1"/>
                        <wps:spPr>
                          <a:xfrm>
                            <a:off x="0" y="120770"/>
                            <a:ext cx="5555160" cy="1767240"/>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360" w:lineRule="auto"/>
                                <w:jc w:val="center"/>
                                <w:rPr>
                                  <w:rFonts w:hint="default" w:ascii="ＭＳ ゴシック" w:hAnsi="ＭＳ ゴシック" w:eastAsia="ＭＳ ゴシック"/>
                                  <w:color w:val="000000" w:themeColor="text1"/>
                                  <w:sz w:val="48"/>
                                </w:rPr>
                              </w:pPr>
                              <w:r>
                                <w:rPr>
                                  <w:rFonts w:hint="eastAsia" w:ascii="ＭＳ ゴシック" w:hAnsi="ＭＳ ゴシック" w:eastAsia="ＭＳ ゴシック"/>
                                  <w:color w:val="000000" w:themeColor="text1"/>
                                  <w:sz w:val="48"/>
                                </w:rPr>
                                <w:t>第６次南風原町障がい者計画・</w:t>
                              </w:r>
                            </w:p>
                            <w:p>
                              <w:pPr>
                                <w:pStyle w:val="0"/>
                                <w:spacing w:line="360" w:lineRule="auto"/>
                                <w:jc w:val="center"/>
                                <w:rPr>
                                  <w:rFonts w:hint="default" w:ascii="ＭＳ ゴシック" w:hAnsi="ＭＳ ゴシック" w:eastAsia="ＭＳ ゴシック"/>
                                  <w:color w:val="000000" w:themeColor="text1"/>
                                  <w:sz w:val="48"/>
                                </w:rPr>
                              </w:pPr>
                              <w:r>
                                <w:rPr>
                                  <w:rFonts w:hint="eastAsia" w:ascii="ＭＳ ゴシック" w:hAnsi="ＭＳ ゴシック" w:eastAsia="ＭＳ ゴシック"/>
                                  <w:color w:val="000000" w:themeColor="text1"/>
                                  <w:sz w:val="48"/>
                                </w:rPr>
                                <w:t>南風原町</w:t>
                              </w:r>
                              <w:r>
                                <w:rPr>
                                  <w:rFonts w:hint="default" w:ascii="ＭＳ ゴシック" w:hAnsi="ＭＳ ゴシック" w:eastAsia="ＭＳ ゴシック"/>
                                  <w:color w:val="000000" w:themeColor="text1"/>
                                  <w:sz w:val="48"/>
                                </w:rPr>
                                <w:t>第</w:t>
                              </w:r>
                              <w:r>
                                <w:rPr>
                                  <w:rFonts w:hint="eastAsia" w:ascii="ＭＳ ゴシック" w:hAnsi="ＭＳ ゴシック" w:eastAsia="ＭＳ ゴシック"/>
                                  <w:color w:val="000000" w:themeColor="text1"/>
                                  <w:sz w:val="48"/>
                                </w:rPr>
                                <w:t>７期障がい福祉計画・</w:t>
                              </w:r>
                            </w:p>
                            <w:p>
                              <w:pPr>
                                <w:pStyle w:val="0"/>
                                <w:spacing w:line="360" w:lineRule="auto"/>
                                <w:jc w:val="center"/>
                                <w:rPr>
                                  <w:rFonts w:hint="default" w:ascii="ＭＳ ゴシック" w:hAnsi="ＭＳ ゴシック" w:eastAsia="ＭＳ ゴシック"/>
                                </w:rPr>
                              </w:pPr>
                              <w:r>
                                <w:rPr>
                                  <w:rFonts w:hint="eastAsia" w:ascii="ＭＳ ゴシック" w:hAnsi="ＭＳ ゴシック" w:eastAsia="ＭＳ ゴシック"/>
                                  <w:color w:val="000000" w:themeColor="text1"/>
                                  <w:sz w:val="48"/>
                                </w:rPr>
                                <w:t>南風原町第３期障がい児福祉計画</w:t>
                              </w:r>
                            </w:p>
                          </w:txbxContent>
                        </wps:txbx>
                        <wps:bodyPr rot="0" vertOverflow="overflow" horzOverflow="overflow" wrap="square" lIns="36000" rIns="36000" numCol="1" spcCol="0" rtlCol="0" fromWordArt="0" anchor="ctr" anchorCtr="0" forceAA="0" compatLnSpc="1"/>
                      </wps:wsp>
                      <wps:wsp>
                        <wps:cNvPr id="1028" name="フローチャート: 照合 11"/>
                        <wps:cNvSpPr/>
                        <wps:spPr>
                          <a:xfrm>
                            <a:off x="60383" y="138023"/>
                            <a:ext cx="189783" cy="1708030"/>
                          </a:xfrm>
                          <a:prstGeom prst="flowChartCol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029" name="フローチャート: 照合 13"/>
                        <wps:cNvSpPr/>
                        <wps:spPr>
                          <a:xfrm>
                            <a:off x="5236063" y="138023"/>
                            <a:ext cx="190561" cy="1708185"/>
                          </a:xfrm>
                          <a:prstGeom prst="flowChartCol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24" style="mso-wrap-distance-right:9pt;mso-wrap-distance-bottom:0pt;margin-top:12.45pt;mso-position-vertical-relative:text;mso-position-horizontal:center;mso-position-horizontal-relative:text;position:absolute;height:139.15pt;mso-wrap-distance-top:0pt;width:437.4pt;mso-wrap-distance-left:9pt;z-index:78;" coordsize="5555160,1767240" coordorigin="0,120770" o:spid="_x0000_s1026" o:allowincell="t" o:allowoverlap="t">
                <v:shapetype id="_x0000_t202" coordsize="21600,21600" o:spt="202" path="m,l,21600r21600,l21600,xe">
                  <v:stroke joinstyle="miter"/>
                  <v:path gradientshapeok="t" o:connecttype="rect"/>
                </v:shapetype>
                <v:shape id="テキスト ボックス 88" style="height:1767240;width:5555160;top:120770;left:0;v-text-anchor:middle;position:absolute;" o:spid="_x0000_s1027" filled="f" stroked="f" strokeweight="1.5pt" o:spt="202" type="#_x0000_t202">
                  <v:fill/>
                  <v:textbox style="layout-flow:horizontal;" inset="0.99999999999999978mm,,0.99999999999999978mm,">
                    <w:txbxContent>
                      <w:p>
                        <w:pPr>
                          <w:pStyle w:val="0"/>
                          <w:spacing w:line="360" w:lineRule="auto"/>
                          <w:jc w:val="center"/>
                          <w:rPr>
                            <w:rFonts w:hint="default" w:ascii="ＭＳ ゴシック" w:hAnsi="ＭＳ ゴシック" w:eastAsia="ＭＳ ゴシック"/>
                            <w:color w:val="000000" w:themeColor="text1"/>
                            <w:sz w:val="48"/>
                          </w:rPr>
                        </w:pPr>
                        <w:r>
                          <w:rPr>
                            <w:rFonts w:hint="eastAsia" w:ascii="ＭＳ ゴシック" w:hAnsi="ＭＳ ゴシック" w:eastAsia="ＭＳ ゴシック"/>
                            <w:color w:val="000000" w:themeColor="text1"/>
                            <w:sz w:val="48"/>
                          </w:rPr>
                          <w:t>第６次南風原町障がい者計画・</w:t>
                        </w:r>
                      </w:p>
                      <w:p>
                        <w:pPr>
                          <w:pStyle w:val="0"/>
                          <w:spacing w:line="360" w:lineRule="auto"/>
                          <w:jc w:val="center"/>
                          <w:rPr>
                            <w:rFonts w:hint="default" w:ascii="ＭＳ ゴシック" w:hAnsi="ＭＳ ゴシック" w:eastAsia="ＭＳ ゴシック"/>
                            <w:color w:val="000000" w:themeColor="text1"/>
                            <w:sz w:val="48"/>
                          </w:rPr>
                        </w:pPr>
                        <w:r>
                          <w:rPr>
                            <w:rFonts w:hint="eastAsia" w:ascii="ＭＳ ゴシック" w:hAnsi="ＭＳ ゴシック" w:eastAsia="ＭＳ ゴシック"/>
                            <w:color w:val="000000" w:themeColor="text1"/>
                            <w:sz w:val="48"/>
                          </w:rPr>
                          <w:t>南風原町</w:t>
                        </w:r>
                        <w:r>
                          <w:rPr>
                            <w:rFonts w:hint="default" w:ascii="ＭＳ ゴシック" w:hAnsi="ＭＳ ゴシック" w:eastAsia="ＭＳ ゴシック"/>
                            <w:color w:val="000000" w:themeColor="text1"/>
                            <w:sz w:val="48"/>
                          </w:rPr>
                          <w:t>第</w:t>
                        </w:r>
                        <w:r>
                          <w:rPr>
                            <w:rFonts w:hint="eastAsia" w:ascii="ＭＳ ゴシック" w:hAnsi="ＭＳ ゴシック" w:eastAsia="ＭＳ ゴシック"/>
                            <w:color w:val="000000" w:themeColor="text1"/>
                            <w:sz w:val="48"/>
                          </w:rPr>
                          <w:t>７期障がい福祉計画・</w:t>
                        </w:r>
                      </w:p>
                      <w:p>
                        <w:pPr>
                          <w:pStyle w:val="0"/>
                          <w:spacing w:line="360" w:lineRule="auto"/>
                          <w:jc w:val="center"/>
                          <w:rPr>
                            <w:rFonts w:hint="default" w:ascii="ＭＳ ゴシック" w:hAnsi="ＭＳ ゴシック" w:eastAsia="ＭＳ ゴシック"/>
                          </w:rPr>
                        </w:pPr>
                        <w:r>
                          <w:rPr>
                            <w:rFonts w:hint="eastAsia" w:ascii="ＭＳ ゴシック" w:hAnsi="ＭＳ ゴシック" w:eastAsia="ＭＳ ゴシック"/>
                            <w:color w:val="000000" w:themeColor="text1"/>
                            <w:sz w:val="48"/>
                          </w:rPr>
                          <w:t>南風原町第３期障がい児福祉計画</w:t>
                        </w:r>
                      </w:p>
                    </w:txbxContent>
                  </v:textbox>
                  <v:imagedata o:title=""/>
                  <w10:wrap type="none" anchorx="text" anchory="text"/>
                </v:shape>
                <v:shapetype id="_x0000_t125" coordsize="21600,21600" o:spt="125" path="m21600,21600l,21600,21600,,,xe">
                  <v:stroke joinstyle="miter"/>
                  <v:path o:extrusionok="f" gradientshapeok="t" o:connecttype="custom" o:connectlocs="10800,0;10800,10800;10800,21600" textboxrect="5400,5400,16200,16200"/>
                </v:shapetype>
                <v:shape id="フローチャート: 照合 11" style="height:1708030;width:189783;top:138023;left:60383;position:absolute;" o:spid="_x0000_s1028" filled="t" fillcolor="#000000 [3213]" stroked="f" strokecolor="#42709c" strokeweight="1pt" o:spt="125" type="#_x0000_t125">
                  <v:fill/>
                  <v:stroke linestyle="single" miterlimit="8" endcap="flat" dashstyle="solid"/>
                  <v:textbox style="layout-flow:horizontal;"/>
                  <v:imagedata o:title=""/>
                  <w10:wrap type="none" anchorx="text" anchory="text"/>
                </v:shape>
                <v:shape id="フローチャート: 照合 13" style="height:1708185;width:190561;top:138023;left:5236063;position:absolute;" o:spid="_x0000_s1029" filled="t" fillcolor="#000000 [3213]" stroked="f" strokecolor="#42709c" strokeweight="1pt" o:spt="125" type="#_x0000_t125">
                  <v:fill/>
                  <v:stroke linestyle="single" miterlimit="8" endcap="flat" dashstyle="solid"/>
                  <v:textbox style="layout-flow:horizontal;"/>
                  <v:imagedata o:title=""/>
                  <w10:wrap type="none" anchorx="text" anchory="text"/>
                </v:shape>
                <w10:wrap type="none" anchorx="text" anchory="text"/>
              </v:group>
            </w:pict>
          </mc:Fallback>
        </mc:AlternateContent>
      </w: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spacing w:line="360" w:lineRule="auto"/>
        <w:jc w:val="center"/>
        <w:rPr>
          <w:rFonts w:hint="default" w:ascii="AR P明朝体U" w:hAnsi="AR P明朝体U" w:eastAsia="AR P明朝体U"/>
        </w:rPr>
      </w:pPr>
    </w:p>
    <w:p>
      <w:pPr>
        <w:pStyle w:val="0"/>
        <w:jc w:val="center"/>
        <w:rPr>
          <w:rFonts w:hint="default" w:ascii="ＭＳ ゴシック" w:hAnsi="ＭＳ ゴシック" w:eastAsia="ＭＳ ゴシック"/>
          <w:sz w:val="24"/>
        </w:rPr>
      </w:pPr>
    </w:p>
    <w:p>
      <w:pPr>
        <w:pStyle w:val="0"/>
        <w:spacing w:before="350" w:beforeLines="100" w:beforeAutospacing="0"/>
        <w:jc w:val="center"/>
        <w:rPr>
          <w:rFonts w:hint="default" w:ascii="ＭＳ ゴシック" w:hAnsi="ＭＳ ゴシック" w:eastAsia="ＭＳ ゴシック"/>
          <w:sz w:val="32"/>
        </w:rPr>
      </w:pPr>
      <w:r>
        <w:rPr>
          <w:rFonts w:hint="eastAsia" w:ascii="ＭＳ ゴシック" w:hAnsi="ＭＳ ゴシック" w:eastAsia="ＭＳ ゴシック"/>
          <w:sz w:val="32"/>
          <w:bdr w:val="single" w:color="auto" w:sz="4" w:space="0"/>
        </w:rPr>
        <w:t>　令和６年度～令和８年度　</w:t>
      </w:r>
    </w:p>
    <w:p>
      <w:pPr>
        <w:pStyle w:val="0"/>
        <w:rPr>
          <w:rFonts w:hint="default" w:ascii="ＭＳ ゴシック" w:hAnsi="ＭＳ ゴシック" w:eastAsia="ＭＳ ゴシック"/>
          <w:sz w:val="24"/>
        </w:rPr>
      </w:pPr>
      <w:r>
        <w:rPr>
          <w:rFonts w:hint="default" w:ascii="ＭＳ ゴシック" w:hAnsi="ＭＳ ゴシック" w:eastAsia="ＭＳ ゴシック"/>
          <w:sz w:val="24"/>
        </w:rPr>
        <mc:AlternateContent>
          <mc:Choice Requires="wps">
            <w:drawing>
              <wp:anchor distT="0" distB="0" distL="114300" distR="114300" simplePos="0" relativeHeight="82" behindDoc="0" locked="0" layoutInCell="1" hidden="0" allowOverlap="1">
                <wp:simplePos x="0" y="0"/>
                <wp:positionH relativeFrom="margin">
                  <wp:align>center</wp:align>
                </wp:positionH>
                <wp:positionV relativeFrom="paragraph">
                  <wp:posOffset>41275</wp:posOffset>
                </wp:positionV>
                <wp:extent cx="1464310" cy="568325"/>
                <wp:effectExtent l="0" t="0" r="635" b="635"/>
                <wp:wrapNone/>
                <wp:docPr id="1030" name="テキスト ボックス 128"/>
                <a:graphic xmlns:a="http://schemas.openxmlformats.org/drawingml/2006/main">
                  <a:graphicData uri="http://schemas.microsoft.com/office/word/2010/wordprocessingShape">
                    <wps:wsp>
                      <wps:cNvPr id="1030" name="テキスト ボックス 128"/>
                      <wps:cNvSpPr txBox="1"/>
                      <wps:spPr>
                        <a:xfrm>
                          <a:off x="0" y="0"/>
                          <a:ext cx="1464310" cy="568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color w:val="000000" w:themeColor="text1"/>
                                <w:sz w:val="40"/>
                              </w:rPr>
                              <w:t>（素案）</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28" style="mso-wrap-distance-right:9pt;mso-wrap-distance-bottom:0pt;margin-top:3.25pt;mso-position-vertical-relative:text;mso-position-horizontal:center;mso-position-horizontal-relative:margin;v-text-anchor:middle;position:absolute;height:44.75pt;mso-wrap-distance-top:0pt;width:115.3pt;mso-wrap-distance-left:9pt;z-index:82;" o:spid="_x0000_s1030" o:allowincell="t" o:allowoverlap="t" filled="t" fillcolor="#ffffff [3201]" stroked="f" strokeweight="0.5pt" o:spt="202" type="#_x0000_t202">
                <v:fill/>
                <v:textbox style="layout-flow:horizontal;">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color w:val="000000" w:themeColor="text1"/>
                          <w:sz w:val="40"/>
                        </w:rPr>
                        <w:t>（素案）</w:t>
                      </w:r>
                    </w:p>
                  </w:txbxContent>
                </v:textbox>
                <v:imagedata o:title=""/>
                <w10:wrap type="none" anchorx="margin" anchory="text"/>
              </v:shape>
            </w:pict>
          </mc:Fallback>
        </mc:AlternateContent>
      </w: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p>
    <w:p>
      <w:pPr>
        <w:pStyle w:val="0"/>
        <w:spacing w:line="0" w:lineRule="atLeast"/>
        <w:jc w:val="center"/>
        <w:rPr>
          <w:rFonts w:hint="default" w:ascii="ＭＳ ゴシック" w:hAnsi="ＭＳ ゴシック" w:eastAsia="ＭＳ ゴシック"/>
          <w:sz w:val="28"/>
        </w:rPr>
      </w:pPr>
      <w:r>
        <w:rPr>
          <w:rFonts w:hint="eastAsia" w:ascii="ＭＳ ゴシック" w:hAnsi="ＭＳ ゴシック" w:eastAsia="ＭＳ ゴシック"/>
          <w:kern w:val="0"/>
          <w:sz w:val="32"/>
        </w:rPr>
        <w:t>令和６年１月</w:t>
      </w:r>
    </w:p>
    <w:p>
      <w:pPr>
        <w:pStyle w:val="0"/>
        <w:spacing w:line="0" w:lineRule="atLeast"/>
        <w:jc w:val="center"/>
        <w:rPr>
          <w:rFonts w:hint="default" w:ascii="ＭＳ ゴシック" w:hAnsi="ＭＳ ゴシック" w:eastAsia="ＭＳ ゴシック"/>
          <w:sz w:val="32"/>
        </w:rPr>
      </w:pPr>
      <w:r>
        <w:rPr>
          <w:rFonts w:hint="eastAsia" w:ascii="ＭＳ ゴシック" w:hAnsi="ＭＳ ゴシック" w:eastAsia="ＭＳ ゴシック"/>
          <w:spacing w:val="164"/>
          <w:kern w:val="0"/>
          <w:sz w:val="32"/>
          <w:fitText w:val="2268" w:id="1"/>
        </w:rPr>
        <w:t>南風原</w:t>
      </w:r>
      <w:r>
        <w:rPr>
          <w:rFonts w:hint="eastAsia" w:ascii="ＭＳ ゴシック" w:hAnsi="ＭＳ ゴシック" w:eastAsia="ＭＳ ゴシック"/>
          <w:spacing w:val="2"/>
          <w:kern w:val="0"/>
          <w:sz w:val="32"/>
          <w:fitText w:val="2268" w:id="1"/>
        </w:rPr>
        <w:t>町</w:t>
      </w:r>
    </w:p>
    <w:p>
      <w:pPr>
        <w:pStyle w:val="0"/>
        <w:widowControl w:val="1"/>
        <w:jc w:val="left"/>
        <w:rPr>
          <w:rFonts w:hint="default" w:ascii="ＭＳ ゴシック" w:hAnsi="ＭＳ ゴシック" w:eastAsia="ＭＳ ゴシック"/>
          <w:sz w:val="24"/>
        </w:rPr>
      </w:pPr>
      <w:r>
        <w:rPr>
          <w:rFonts w:hint="default" w:ascii="ＭＳ ゴシック" w:hAnsi="ＭＳ ゴシック" w:eastAsia="ＭＳ ゴシック"/>
          <w:sz w:val="24"/>
        </w:rPr>
        <w:br w:type="page"/>
      </w:r>
    </w:p>
    <w:p>
      <w:pPr>
        <w:pStyle w:val="0"/>
        <w:widowControl w:val="1"/>
        <w:jc w:val="left"/>
        <w:rPr>
          <w:rFonts w:hint="default" w:ascii="ＭＳ ゴシック" w:hAnsi="ＭＳ ゴシック" w:eastAsia="ＭＳ ゴシック"/>
          <w:sz w:val="24"/>
        </w:rPr>
      </w:pPr>
      <w:r>
        <w:rPr>
          <w:rFonts w:hint="default" w:ascii="ＭＳ ゴシック" w:hAnsi="ＭＳ ゴシック" w:eastAsia="ＭＳ ゴシック"/>
          <w:sz w:val="24"/>
        </w:rPr>
        <w:br w:type="page"/>
      </w:r>
    </w:p>
    <w:p>
      <w:pPr>
        <w:pStyle w:val="0"/>
        <w:jc w:val="center"/>
        <w:outlineLvl w:val="0"/>
        <w:rPr>
          <w:rFonts w:hint="default" w:ascii="ＭＳ ゴシック" w:hAnsi="ＭＳ ゴシック" w:eastAsia="ＭＳ ゴシック"/>
          <w:sz w:val="24"/>
        </w:rPr>
      </w:pPr>
      <w:r>
        <w:rPr>
          <w:rFonts w:hint="eastAsia" w:ascii="ＭＳ ゴシック" w:hAnsi="ＭＳ ゴシック" w:eastAsia="ＭＳ ゴシック"/>
          <w:sz w:val="30"/>
        </w:rPr>
        <w:t>≫</w:t>
      </w:r>
      <w:r>
        <w:rPr>
          <w:rFonts w:hint="eastAsia" w:ascii="ＭＳ ゴシック" w:hAnsi="ＭＳ ゴシック" w:eastAsia="ＭＳ ゴシック"/>
          <w:sz w:val="30"/>
        </w:rPr>
        <w:t xml:space="preserve"> </w:t>
      </w:r>
      <w:r>
        <w:rPr>
          <w:rFonts w:hint="eastAsia" w:ascii="ＭＳ ゴシック" w:hAnsi="ＭＳ ゴシック" w:eastAsia="ＭＳ ゴシック"/>
          <w:sz w:val="30"/>
        </w:rPr>
        <w:t>目　　次</w:t>
      </w:r>
      <w:r>
        <w:rPr>
          <w:rFonts w:hint="eastAsia" w:ascii="ＭＳ ゴシック" w:hAnsi="ＭＳ ゴシック" w:eastAsia="ＭＳ ゴシック"/>
          <w:sz w:val="30"/>
        </w:rPr>
        <w:t xml:space="preserve"> </w:t>
      </w:r>
      <w:r>
        <w:rPr>
          <w:rFonts w:hint="eastAsia" w:ascii="ＭＳ ゴシック" w:hAnsi="ＭＳ ゴシック" w:eastAsia="ＭＳ ゴシック"/>
          <w:sz w:val="30"/>
        </w:rPr>
        <w:t>≪</w:t>
      </w:r>
    </w:p>
    <w:p>
      <w:pPr>
        <w:pStyle w:val="0"/>
        <w:rPr>
          <w:rFonts w:hint="default" w:ascii="ＭＳ ゴシック" w:hAnsi="ＭＳ ゴシック" w:eastAsia="ＭＳ ゴシック"/>
          <w:sz w:val="24"/>
        </w:rPr>
      </w:pPr>
    </w:p>
    <w:p>
      <w:pPr>
        <w:pStyle w:val="34"/>
        <w:spacing w:before="111" w:beforeLines="0" w:beforeAutospacing="0"/>
        <w:rPr>
          <w:rFonts w:hint="default" w:asciiTheme="minorHAnsi" w:hAnsiTheme="minorHAnsi" w:eastAsiaTheme="minorEastAsia"/>
          <w:sz w:val="21"/>
        </w:rPr>
      </w:pPr>
      <w:r>
        <w:rPr>
          <w:rFonts w:hint="default" w:ascii="Century" w:hAnsi="Century"/>
          <w:sz w:val="28"/>
        </w:rPr>
        <w:fldChar w:fldCharType="begin"/>
      </w:r>
      <w:r>
        <w:rPr>
          <w:rFonts w:hint="default" w:ascii="Century" w:hAnsi="Century"/>
          <w:sz w:val="28"/>
        </w:rPr>
        <w:instrText xml:space="preserve"> TOC \o "2-3" \h \z \t "見出し 1,1,_0_1_章,1,_0_9_目次のスペース用,9,_0_8_合紙タイトル（計画名）,8" </w:instrText>
      </w:r>
      <w:r>
        <w:rPr>
          <w:rFonts w:hint="default" w:ascii="Century" w:hAnsi="Century"/>
          <w:sz w:val="28"/>
        </w:rPr>
        <w:fldChar w:fldCharType="separate"/>
      </w:r>
      <w:r>
        <w:rPr>
          <w:rFonts w:hint="eastAsia"/>
        </w:rPr>
        <w:fldChar w:fldCharType="begin"/>
      </w:r>
      <w:r>
        <w:rPr>
          <w:rFonts w:hint="eastAsia"/>
        </w:rPr>
        <w:instrText xml:space="preserve"> HYPERLINK  \l "_Toc158300395"</w:instrText>
      </w:r>
      <w:r>
        <w:rPr>
          <w:rFonts w:hint="eastAsia"/>
        </w:rPr>
        <w:fldChar w:fldCharType="separate"/>
      </w:r>
      <w:r>
        <w:rPr>
          <w:rFonts w:hint="default"/>
        </w:rPr>
        <w:t>第１章　計画の策定にあたって</w:t>
      </w:r>
      <w:r>
        <w:rPr>
          <w:rFonts w:hint="default"/>
        </w:rPr>
        <w:tab/>
      </w:r>
      <w:r>
        <w:rPr>
          <w:rFonts w:hint="eastAsia"/>
        </w:rPr>
        <w:fldChar w:fldCharType="end"/>
      </w:r>
      <w:r>
        <w:rPr>
          <w:rFonts w:hint="eastAsia"/>
        </w:rPr>
        <w:fldChar w:fldCharType="begin"/>
      </w:r>
      <w:r>
        <w:rPr>
          <w:rFonts w:hint="default"/>
        </w:rPr>
        <w:instrText xml:space="preserve"> PAGEREF _Toc158300395 \h </w:instrText>
      </w:r>
      <w:r>
        <w:rPr>
          <w:rFonts w:hint="eastAsia"/>
        </w:rPr>
        <w:fldChar w:fldCharType="separate"/>
      </w:r>
      <w:r>
        <w:rPr>
          <w:rFonts w:hint="eastAsia"/>
        </w:rPr>
        <w:fldChar w:fldCharType="begin"/>
      </w:r>
      <w:r>
        <w:rPr>
          <w:rFonts w:hint="eastAsia"/>
        </w:rPr>
        <w:instrText xml:space="preserve"> HYPERLINK  \l "_Toc158300395"</w:instrText>
      </w:r>
      <w:r>
        <w:rPr>
          <w:rFonts w:hint="eastAsia"/>
        </w:rPr>
        <w:fldChar w:fldCharType="separate"/>
      </w:r>
      <w:r>
        <w:rPr>
          <w:rFonts w:hint="default"/>
        </w:rPr>
        <w:t>1</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"_Toc158300396"</w:instrText>
      </w:r>
      <w:r>
        <w:rPr>
          <w:rFonts w:hint="eastAsia"/>
        </w:rPr>
        <w:fldChar w:fldCharType="separate"/>
      </w:r>
      <w:r>
        <w:rPr>
          <w:rFonts w:hint="default"/>
        </w:rPr>
        <w:t>１．計画策定の背景・趣旨</w:t>
      </w:r>
      <w:r>
        <w:rPr>
          <w:rFonts w:hint="default"/>
        </w:rPr>
        <w:tab/>
      </w:r>
      <w:r>
        <w:rPr>
          <w:rFonts w:hint="eastAsia"/>
        </w:rPr>
        <w:fldChar w:fldCharType="end"/>
      </w:r>
      <w:r>
        <w:rPr>
          <w:rFonts w:hint="eastAsia"/>
        </w:rPr>
        <w:fldChar w:fldCharType="begin"/>
      </w:r>
      <w:r>
        <w:rPr>
          <w:rFonts w:hint="default"/>
        </w:rPr>
        <w:instrText xml:space="preserve"> PAGEREF _Toc158300396 \h </w:instrText>
      </w:r>
      <w:r>
        <w:rPr>
          <w:rFonts w:hint="eastAsia"/>
        </w:rPr>
        <w:fldChar w:fldCharType="separate"/>
      </w:r>
      <w:r>
        <w:rPr>
          <w:rFonts w:hint="eastAsia"/>
        </w:rPr>
        <w:fldChar w:fldCharType="begin"/>
      </w:r>
      <w:r>
        <w:rPr>
          <w:rFonts w:hint="eastAsia"/>
        </w:rPr>
        <w:instrText xml:space="preserve"> HYPERLINK  \l "_Toc158300396"</w:instrText>
      </w:r>
      <w:r>
        <w:rPr>
          <w:rFonts w:hint="eastAsia"/>
        </w:rPr>
        <w:fldChar w:fldCharType="separate"/>
      </w:r>
      <w:r>
        <w:rPr>
          <w:rFonts w:hint="default"/>
        </w:rPr>
        <w:t>1</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"_Toc158300397"</w:instrText>
      </w:r>
      <w:r>
        <w:rPr>
          <w:rFonts w:hint="eastAsia"/>
        </w:rPr>
        <w:fldChar w:fldCharType="separate"/>
      </w:r>
      <w:r>
        <w:rPr>
          <w:rFonts w:hint="default"/>
        </w:rPr>
        <w:t>２．計画の対象</w:t>
      </w:r>
      <w:r>
        <w:rPr>
          <w:rFonts w:hint="default"/>
        </w:rPr>
        <w:tab/>
      </w:r>
      <w:r>
        <w:rPr>
          <w:rFonts w:hint="eastAsia"/>
        </w:rPr>
        <w:fldChar w:fldCharType="end"/>
      </w:r>
      <w:r>
        <w:rPr>
          <w:rFonts w:hint="eastAsia"/>
        </w:rPr>
        <w:fldChar w:fldCharType="begin"/>
      </w:r>
      <w:r>
        <w:rPr>
          <w:rFonts w:hint="default"/>
        </w:rPr>
        <w:instrText xml:space="preserve"> PAGEREF _Toc158300397 \h </w:instrText>
      </w:r>
      <w:r>
        <w:rPr>
          <w:rFonts w:hint="eastAsia"/>
        </w:rPr>
        <w:fldChar w:fldCharType="separate"/>
      </w:r>
      <w:r>
        <w:rPr>
          <w:rFonts w:hint="eastAsia"/>
        </w:rPr>
        <w:fldChar w:fldCharType="begin"/>
      </w:r>
      <w:r>
        <w:rPr>
          <w:rFonts w:hint="eastAsia"/>
        </w:rPr>
        <w:instrText xml:space="preserve"> HYPERLINK  \l "_Toc158300397"</w:instrText>
      </w:r>
      <w:r>
        <w:rPr>
          <w:rFonts w:hint="eastAsia"/>
        </w:rPr>
        <w:fldChar w:fldCharType="separate"/>
      </w:r>
      <w:r>
        <w:rPr>
          <w:rFonts w:hint="default"/>
        </w:rPr>
        <w:t>1</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"_Toc158300398"</w:instrText>
      </w:r>
      <w:r>
        <w:rPr>
          <w:rFonts w:hint="eastAsia"/>
        </w:rPr>
        <w:fldChar w:fldCharType="separate"/>
      </w:r>
      <w:r>
        <w:rPr>
          <w:rFonts w:hint="default"/>
        </w:rPr>
        <w:t>３．障がい者計画・障がい福祉計画・障がい児福祉計画の法的根拠等について</w:t>
      </w:r>
      <w:r>
        <w:rPr>
          <w:rFonts w:hint="default"/>
        </w:rPr>
        <w:tab/>
      </w:r>
      <w:r>
        <w:rPr>
          <w:rFonts w:hint="eastAsia"/>
        </w:rPr>
        <w:fldChar w:fldCharType="end"/>
      </w:r>
      <w:r>
        <w:rPr>
          <w:rFonts w:hint="eastAsia"/>
        </w:rPr>
        <w:fldChar w:fldCharType="begin"/>
      </w:r>
      <w:r>
        <w:rPr>
          <w:rFonts w:hint="default"/>
        </w:rPr>
        <w:instrText xml:space="preserve"> PAGEREF _Toc158300398 \h </w:instrText>
      </w:r>
      <w:r>
        <w:rPr>
          <w:rFonts w:hint="eastAsia"/>
        </w:rPr>
        <w:fldChar w:fldCharType="separate"/>
      </w:r>
      <w:r>
        <w:rPr>
          <w:rFonts w:hint="eastAsia"/>
        </w:rPr>
        <w:fldChar w:fldCharType="begin"/>
      </w:r>
      <w:r>
        <w:rPr>
          <w:rFonts w:hint="eastAsia"/>
        </w:rPr>
        <w:instrText xml:space="preserve"> HYPERLINK  \l "_Toc158300398"</w:instrText>
      </w:r>
      <w:r>
        <w:rPr>
          <w:rFonts w:hint="eastAsia"/>
        </w:rPr>
        <w:fldChar w:fldCharType="separate"/>
      </w:r>
      <w:r>
        <w:rPr>
          <w:rFonts w:hint="default"/>
        </w:rPr>
        <w:t>2</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"_Toc158300399"</w:instrText>
      </w:r>
      <w:r>
        <w:rPr>
          <w:rFonts w:hint="eastAsia"/>
        </w:rPr>
        <w:fldChar w:fldCharType="separate"/>
      </w:r>
      <w:r>
        <w:rPr>
          <w:rFonts w:hint="default"/>
        </w:rPr>
        <w:t>４．計画の位置づけ</w:t>
      </w:r>
      <w:r>
        <w:rPr>
          <w:rFonts w:hint="default"/>
        </w:rPr>
        <w:tab/>
      </w:r>
      <w:r>
        <w:rPr>
          <w:rFonts w:hint="eastAsia"/>
        </w:rPr>
        <w:fldChar w:fldCharType="end"/>
      </w:r>
      <w:r>
        <w:rPr>
          <w:rFonts w:hint="eastAsia"/>
        </w:rPr>
        <w:fldChar w:fldCharType="begin"/>
      </w:r>
      <w:r>
        <w:rPr>
          <w:rFonts w:hint="default"/>
        </w:rPr>
        <w:instrText xml:space="preserve"> PAGEREF _Toc158300399 \h </w:instrText>
      </w:r>
      <w:r>
        <w:rPr>
          <w:rFonts w:hint="eastAsia"/>
        </w:rPr>
        <w:fldChar w:fldCharType="separate"/>
      </w:r>
      <w:r>
        <w:rPr>
          <w:rFonts w:hint="eastAsia"/>
        </w:rPr>
        <w:fldChar w:fldCharType="begin"/>
      </w:r>
      <w:r>
        <w:rPr>
          <w:rFonts w:hint="eastAsia"/>
        </w:rPr>
        <w:instrText xml:space="preserve"> HYPERLINK  \l "_Toc158300399"</w:instrText>
      </w:r>
      <w:r>
        <w:rPr>
          <w:rFonts w:hint="eastAsia"/>
        </w:rPr>
        <w:fldChar w:fldCharType="separate"/>
      </w:r>
      <w:r>
        <w:rPr>
          <w:rFonts w:hint="default"/>
        </w:rPr>
        <w:t>3</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"_Toc158300400"</w:instrText>
      </w:r>
      <w:r>
        <w:rPr>
          <w:rFonts w:hint="eastAsia"/>
        </w:rPr>
        <w:fldChar w:fldCharType="separate"/>
      </w:r>
      <w:r>
        <w:rPr>
          <w:rFonts w:hint="default"/>
        </w:rPr>
        <w:t>５．計画の期間</w:t>
      </w:r>
      <w:r>
        <w:rPr>
          <w:rFonts w:hint="default"/>
        </w:rPr>
        <w:tab/>
      </w:r>
      <w:r>
        <w:rPr>
          <w:rFonts w:hint="eastAsia"/>
        </w:rPr>
        <w:fldChar w:fldCharType="end"/>
      </w:r>
      <w:r>
        <w:rPr>
          <w:rFonts w:hint="eastAsia"/>
        </w:rPr>
        <w:fldChar w:fldCharType="begin"/>
      </w:r>
      <w:r>
        <w:rPr>
          <w:rFonts w:hint="default"/>
        </w:rPr>
        <w:instrText xml:space="preserve"> PAGEREF _Toc158300400 \h </w:instrText>
      </w:r>
      <w:r>
        <w:rPr>
          <w:rFonts w:hint="eastAsia"/>
        </w:rPr>
        <w:fldChar w:fldCharType="separate"/>
      </w:r>
      <w:r>
        <w:rPr>
          <w:rFonts w:hint="eastAsia"/>
        </w:rPr>
        <w:fldChar w:fldCharType="begin"/>
      </w:r>
      <w:r>
        <w:rPr>
          <w:rFonts w:hint="eastAsia"/>
        </w:rPr>
        <w:instrText xml:space="preserve"> HYPERLINK  \l "_Toc158300400"</w:instrText>
      </w:r>
      <w:r>
        <w:rPr>
          <w:rFonts w:hint="eastAsia"/>
        </w:rPr>
        <w:fldChar w:fldCharType="separate"/>
      </w:r>
      <w:r>
        <w:rPr>
          <w:rFonts w:hint="default"/>
        </w:rPr>
        <w:t>8</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"_Toc158300401"</w:instrText>
      </w:r>
      <w:r>
        <w:rPr>
          <w:rFonts w:hint="eastAsia"/>
        </w:rPr>
        <w:fldChar w:fldCharType="separate"/>
      </w:r>
      <w:r>
        <w:rPr>
          <w:rFonts w:hint="default"/>
        </w:rPr>
        <w:t>６．計画の策定体制</w:t>
      </w:r>
      <w:r>
        <w:rPr>
          <w:rFonts w:hint="default"/>
        </w:rPr>
        <w:tab/>
      </w:r>
      <w:r>
        <w:rPr>
          <w:rFonts w:hint="eastAsia"/>
        </w:rPr>
        <w:fldChar w:fldCharType="end"/>
      </w:r>
      <w:r>
        <w:rPr>
          <w:rFonts w:hint="eastAsia"/>
        </w:rPr>
        <w:fldChar w:fldCharType="begin"/>
      </w:r>
      <w:r>
        <w:rPr>
          <w:rFonts w:hint="default"/>
        </w:rPr>
        <w:instrText xml:space="preserve"> PAGEREF _Toc158300401 \h </w:instrText>
      </w:r>
      <w:r>
        <w:rPr>
          <w:rFonts w:hint="eastAsia"/>
        </w:rPr>
        <w:fldChar w:fldCharType="separate"/>
      </w:r>
      <w:r>
        <w:rPr>
          <w:rFonts w:hint="eastAsia"/>
        </w:rPr>
        <w:fldChar w:fldCharType="begin"/>
      </w:r>
      <w:r>
        <w:rPr>
          <w:rFonts w:hint="eastAsia"/>
        </w:rPr>
        <w:instrText xml:space="preserve"> HYPERLINK  \l "_Toc158300401"</w:instrText>
      </w:r>
      <w:r>
        <w:rPr>
          <w:rFonts w:hint="eastAsia"/>
        </w:rPr>
        <w:fldChar w:fldCharType="separate"/>
      </w:r>
      <w:r>
        <w:rPr>
          <w:rFonts w:hint="default"/>
        </w:rPr>
        <w:t>8</w:t>
      </w:r>
      <w:r>
        <w:rPr>
          <w:rFonts w:hint="eastAsia"/>
        </w:rPr>
        <w:fldChar w:fldCharType="end"/>
      </w:r>
      <w:r>
        <w:rPr>
          <w:rFonts w:hint="eastAsia"/>
        </w:rPr>
        <w:fldChar w:fldCharType="end"/>
      </w:r>
    </w:p>
    <w:p>
      <w:pPr>
        <w:pStyle w:val="34"/>
        <w:spacing w:before="111" w:beforeLines="0" w:beforeAutospacing="0"/>
        <w:rPr>
          <w:rFonts w:hint="default" w:asciiTheme="minorHAnsi" w:hAnsiTheme="minorHAnsi" w:eastAsiaTheme="minorEastAsia"/>
          <w:sz w:val="21"/>
        </w:rPr>
      </w:pPr>
      <w:r>
        <w:rPr>
          <w:rFonts w:hint="eastAsia"/>
        </w:rPr>
        <w:fldChar w:fldCharType="begin"/>
      </w:r>
      <w:r>
        <w:rPr>
          <w:rFonts w:hint="eastAsia"/>
        </w:rPr>
        <w:instrText xml:space="preserve"> HYPERLINK  \l "_Toc158300402"</w:instrText>
      </w:r>
      <w:r>
        <w:rPr>
          <w:rFonts w:hint="eastAsia"/>
        </w:rPr>
        <w:fldChar w:fldCharType="separate"/>
      </w:r>
      <w:r>
        <w:rPr>
          <w:rFonts w:hint="default"/>
        </w:rPr>
        <w:t>第２章　障害福祉を取巻く現状</w:t>
      </w:r>
      <w:r>
        <w:rPr>
          <w:rFonts w:hint="default"/>
        </w:rPr>
        <w:tab/>
      </w:r>
      <w:r>
        <w:rPr>
          <w:rFonts w:hint="eastAsia"/>
        </w:rPr>
        <w:fldChar w:fldCharType="end"/>
      </w:r>
      <w:r>
        <w:rPr>
          <w:rFonts w:hint="eastAsia"/>
        </w:rPr>
        <w:fldChar w:fldCharType="begin"/>
      </w:r>
      <w:r>
        <w:rPr>
          <w:rFonts w:hint="default"/>
        </w:rPr>
        <w:instrText xml:space="preserve"> PAGEREF _Toc158300402 \h </w:instrText>
      </w:r>
      <w:r>
        <w:rPr>
          <w:rFonts w:hint="eastAsia"/>
        </w:rPr>
        <w:fldChar w:fldCharType="separate"/>
      </w:r>
      <w:r>
        <w:rPr>
          <w:rFonts w:hint="eastAsia"/>
        </w:rPr>
        <w:fldChar w:fldCharType="begin"/>
      </w:r>
      <w:r>
        <w:rPr>
          <w:rFonts w:hint="eastAsia"/>
        </w:rPr>
        <w:instrText xml:space="preserve"> HYPERLINK  \l "_Toc158300402"</w:instrText>
      </w:r>
      <w:r>
        <w:rPr>
          <w:rFonts w:hint="eastAsia"/>
        </w:rPr>
        <w:fldChar w:fldCharType="separate"/>
      </w:r>
      <w:r>
        <w:rPr>
          <w:rFonts w:hint="default"/>
        </w:rPr>
        <w:t>9</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"_Toc158300403"</w:instrText>
      </w:r>
      <w:r>
        <w:rPr>
          <w:rFonts w:hint="eastAsia"/>
        </w:rPr>
        <w:fldChar w:fldCharType="separate"/>
      </w:r>
      <w:r>
        <w:rPr>
          <w:rFonts w:hint="default"/>
        </w:rPr>
        <w:t>１．障がい者の概況</w:t>
      </w:r>
      <w:r>
        <w:rPr>
          <w:rFonts w:hint="default"/>
        </w:rPr>
        <w:tab/>
      </w:r>
      <w:r>
        <w:rPr>
          <w:rFonts w:hint="eastAsia"/>
        </w:rPr>
        <w:fldChar w:fldCharType="end"/>
      </w:r>
      <w:r>
        <w:rPr>
          <w:rFonts w:hint="eastAsia"/>
        </w:rPr>
        <w:fldChar w:fldCharType="begin"/>
      </w:r>
      <w:r>
        <w:rPr>
          <w:rFonts w:hint="default"/>
        </w:rPr>
        <w:instrText xml:space="preserve"> PAGEREF _Toc158300403 \h </w:instrText>
      </w:r>
      <w:r>
        <w:rPr>
          <w:rFonts w:hint="eastAsia"/>
        </w:rPr>
        <w:fldChar w:fldCharType="separate"/>
      </w:r>
      <w:r>
        <w:rPr>
          <w:rFonts w:hint="eastAsia"/>
        </w:rPr>
        <w:fldChar w:fldCharType="begin"/>
      </w:r>
      <w:r>
        <w:rPr>
          <w:rFonts w:hint="eastAsia"/>
        </w:rPr>
        <w:instrText xml:space="preserve"> HYPERLINK  \l "_Toc158300403"</w:instrText>
      </w:r>
      <w:r>
        <w:rPr>
          <w:rFonts w:hint="eastAsia"/>
        </w:rPr>
        <w:fldChar w:fldCharType="separate"/>
      </w:r>
      <w:r>
        <w:rPr>
          <w:rFonts w:hint="default"/>
        </w:rPr>
        <w:t>9</w:t>
      </w:r>
      <w:r>
        <w:rPr>
          <w:rFonts w:hint="eastAsia"/>
        </w:rPr>
        <w:fldChar w:fldCharType="end"/>
      </w:r>
      <w:r>
        <w:rPr>
          <w:rFonts w:hint="eastAsia"/>
        </w:rPr>
        <w:fldChar w:fldCharType="end"/>
      </w:r>
    </w:p>
    <w:p>
      <w:pPr>
        <w:pStyle w:val="34"/>
        <w:spacing w:before="111" w:beforeLines="0" w:beforeAutospacing="0"/>
        <w:rPr>
          <w:rFonts w:hint="default" w:asciiTheme="minorHAnsi" w:hAnsiTheme="minorHAnsi" w:eastAsiaTheme="minorEastAsia"/>
          <w:sz w:val="21"/>
        </w:rPr>
      </w:pPr>
      <w:r>
        <w:rPr>
          <w:rFonts w:hint="eastAsia"/>
        </w:rPr>
        <w:fldChar w:fldCharType="begin"/>
      </w:r>
      <w:r>
        <w:rPr>
          <w:rFonts w:hint="eastAsia"/>
        </w:rPr>
        <w:instrText xml:space="preserve"> HYPERLINK  \l "_Toc158300404"</w:instrText>
      </w:r>
      <w:r>
        <w:rPr>
          <w:rFonts w:hint="eastAsia"/>
        </w:rPr>
        <w:fldChar w:fldCharType="separate"/>
      </w:r>
      <w:r>
        <w:rPr>
          <w:rFonts w:hint="default"/>
        </w:rPr>
        <w:t>第３章　計画の基本的な考え方</w:t>
      </w:r>
      <w:r>
        <w:rPr>
          <w:rFonts w:hint="default"/>
        </w:rPr>
        <w:tab/>
      </w:r>
      <w:r>
        <w:rPr>
          <w:rFonts w:hint="eastAsia"/>
        </w:rPr>
        <w:fldChar w:fldCharType="end"/>
      </w:r>
      <w:r>
        <w:rPr>
          <w:rFonts w:hint="eastAsia"/>
        </w:rPr>
        <w:fldChar w:fldCharType="begin"/>
      </w:r>
      <w:r>
        <w:rPr>
          <w:rFonts w:hint="default"/>
        </w:rPr>
        <w:instrText xml:space="preserve"> PAGEREF _Toc158300404 \h </w:instrText>
      </w:r>
      <w:r>
        <w:rPr>
          <w:rFonts w:hint="eastAsia"/>
        </w:rPr>
        <w:fldChar w:fldCharType="separate"/>
      </w:r>
      <w:r>
        <w:rPr>
          <w:rFonts w:hint="eastAsia"/>
        </w:rPr>
        <w:fldChar w:fldCharType="begin"/>
      </w:r>
      <w:r>
        <w:rPr>
          <w:rFonts w:hint="eastAsia"/>
        </w:rPr>
        <w:instrText xml:space="preserve"> HYPERLINK  \l "_Toc158300404"</w:instrText>
      </w:r>
      <w:r>
        <w:rPr>
          <w:rFonts w:hint="eastAsia"/>
        </w:rPr>
        <w:fldChar w:fldCharType="separate"/>
      </w:r>
      <w:r>
        <w:rPr>
          <w:rFonts w:hint="default"/>
        </w:rPr>
        <w:t>27</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"_Toc158300405"</w:instrText>
      </w:r>
      <w:r>
        <w:rPr>
          <w:rFonts w:hint="eastAsia"/>
        </w:rPr>
        <w:fldChar w:fldCharType="separate"/>
      </w:r>
      <w:r>
        <w:rPr>
          <w:rFonts w:hint="default"/>
        </w:rPr>
        <w:t>１．基本理念</w:t>
      </w:r>
      <w:r>
        <w:rPr>
          <w:rFonts w:hint="default"/>
        </w:rPr>
        <w:tab/>
      </w:r>
      <w:r>
        <w:rPr>
          <w:rFonts w:hint="eastAsia"/>
        </w:rPr>
        <w:fldChar w:fldCharType="end"/>
      </w:r>
      <w:r>
        <w:rPr>
          <w:rFonts w:hint="eastAsia"/>
        </w:rPr>
        <w:fldChar w:fldCharType="begin"/>
      </w:r>
      <w:r>
        <w:rPr>
          <w:rFonts w:hint="default"/>
        </w:rPr>
        <w:instrText xml:space="preserve"> PAGEREF _Toc158300405 \h </w:instrText>
      </w:r>
      <w:r>
        <w:rPr>
          <w:rFonts w:hint="eastAsia"/>
        </w:rPr>
        <w:fldChar w:fldCharType="separate"/>
      </w:r>
      <w:r>
        <w:rPr>
          <w:rFonts w:hint="eastAsia"/>
        </w:rPr>
        <w:fldChar w:fldCharType="begin"/>
      </w:r>
      <w:r>
        <w:rPr>
          <w:rFonts w:hint="eastAsia"/>
        </w:rPr>
        <w:instrText xml:space="preserve"> HYPERLINK  \l "_Toc158300405"</w:instrText>
      </w:r>
      <w:r>
        <w:rPr>
          <w:rFonts w:hint="eastAsia"/>
        </w:rPr>
        <w:fldChar w:fldCharType="separate"/>
      </w:r>
      <w:r>
        <w:rPr>
          <w:rFonts w:hint="default"/>
        </w:rPr>
        <w:t>27</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"_Toc158300406"</w:instrText>
      </w:r>
      <w:r>
        <w:rPr>
          <w:rFonts w:hint="eastAsia"/>
        </w:rPr>
        <w:fldChar w:fldCharType="separate"/>
      </w:r>
      <w:r>
        <w:rPr>
          <w:rFonts w:hint="default"/>
        </w:rPr>
        <w:t>２．基本目標</w:t>
      </w:r>
      <w:r>
        <w:rPr>
          <w:rFonts w:hint="default"/>
        </w:rPr>
        <w:tab/>
      </w:r>
      <w:r>
        <w:rPr>
          <w:rFonts w:hint="eastAsia"/>
        </w:rPr>
        <w:fldChar w:fldCharType="end"/>
      </w:r>
      <w:r>
        <w:rPr>
          <w:rFonts w:hint="eastAsia"/>
        </w:rPr>
        <w:fldChar w:fldCharType="begin"/>
      </w:r>
      <w:r>
        <w:rPr>
          <w:rFonts w:hint="default"/>
        </w:rPr>
        <w:instrText xml:space="preserve"> PAGEREF _Toc158300406 \h </w:instrText>
      </w:r>
      <w:r>
        <w:rPr>
          <w:rFonts w:hint="eastAsia"/>
        </w:rPr>
        <w:fldChar w:fldCharType="separate"/>
      </w:r>
      <w:r>
        <w:rPr>
          <w:rFonts w:hint="eastAsia"/>
        </w:rPr>
        <w:fldChar w:fldCharType="begin"/>
      </w:r>
      <w:r>
        <w:rPr>
          <w:rFonts w:hint="eastAsia"/>
        </w:rPr>
        <w:instrText xml:space="preserve"> HYPERLINK  \l "_Toc158300406"</w:instrText>
      </w:r>
      <w:r>
        <w:rPr>
          <w:rFonts w:hint="eastAsia"/>
        </w:rPr>
        <w:fldChar w:fldCharType="separate"/>
      </w:r>
      <w:r>
        <w:rPr>
          <w:rFonts w:hint="default"/>
        </w:rPr>
        <w:t>28</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"_Toc158300407"</w:instrText>
      </w:r>
      <w:r>
        <w:rPr>
          <w:rFonts w:hint="eastAsia"/>
        </w:rPr>
        <w:fldChar w:fldCharType="separate"/>
      </w:r>
      <w:r>
        <w:rPr>
          <w:rFonts w:hint="default"/>
        </w:rPr>
        <w:t>３．計画の基本的視点</w:t>
      </w:r>
      <w:r>
        <w:rPr>
          <w:rFonts w:hint="default"/>
        </w:rPr>
        <w:tab/>
      </w:r>
      <w:r>
        <w:rPr>
          <w:rFonts w:hint="eastAsia"/>
        </w:rPr>
        <w:fldChar w:fldCharType="end"/>
      </w:r>
      <w:r>
        <w:rPr>
          <w:rFonts w:hint="eastAsia"/>
        </w:rPr>
        <w:fldChar w:fldCharType="begin"/>
      </w:r>
      <w:r>
        <w:rPr>
          <w:rFonts w:hint="default"/>
        </w:rPr>
        <w:instrText xml:space="preserve"> PAGEREF _Toc158300407 \h </w:instrText>
      </w:r>
      <w:r>
        <w:rPr>
          <w:rFonts w:hint="eastAsia"/>
        </w:rPr>
        <w:fldChar w:fldCharType="separate"/>
      </w:r>
      <w:r>
        <w:rPr>
          <w:rFonts w:hint="eastAsia"/>
        </w:rPr>
        <w:fldChar w:fldCharType="begin"/>
      </w:r>
      <w:r>
        <w:rPr>
          <w:rFonts w:hint="eastAsia"/>
        </w:rPr>
        <w:instrText xml:space="preserve"> HYPERLINK  \l "_Toc158300407"</w:instrText>
      </w:r>
      <w:r>
        <w:rPr>
          <w:rFonts w:hint="eastAsia"/>
        </w:rPr>
        <w:fldChar w:fldCharType="separate"/>
      </w:r>
      <w:r>
        <w:rPr>
          <w:rFonts w:hint="default"/>
        </w:rPr>
        <w:t>29</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"_Toc158300408"</w:instrText>
      </w:r>
      <w:r>
        <w:rPr>
          <w:rFonts w:hint="eastAsia"/>
        </w:rPr>
        <w:fldChar w:fldCharType="separate"/>
      </w:r>
      <w:r>
        <w:rPr>
          <w:rFonts w:hint="default"/>
        </w:rPr>
        <w:t>４．施策の体系</w:t>
      </w:r>
      <w:r>
        <w:rPr>
          <w:rFonts w:hint="default"/>
        </w:rPr>
        <w:tab/>
      </w:r>
      <w:r>
        <w:rPr>
          <w:rFonts w:hint="eastAsia"/>
        </w:rPr>
        <w:fldChar w:fldCharType="end"/>
      </w:r>
      <w:r>
        <w:rPr>
          <w:rFonts w:hint="eastAsia"/>
        </w:rPr>
        <w:fldChar w:fldCharType="begin"/>
      </w:r>
      <w:r>
        <w:rPr>
          <w:rFonts w:hint="default"/>
        </w:rPr>
        <w:instrText xml:space="preserve"> PAGEREF _Toc158300408 \h </w:instrText>
      </w:r>
      <w:r>
        <w:rPr>
          <w:rFonts w:hint="eastAsia"/>
        </w:rPr>
        <w:fldChar w:fldCharType="separate"/>
      </w:r>
      <w:r>
        <w:rPr>
          <w:rFonts w:hint="eastAsia"/>
        </w:rPr>
        <w:fldChar w:fldCharType="begin"/>
      </w:r>
      <w:r>
        <w:rPr>
          <w:rFonts w:hint="eastAsia"/>
        </w:rPr>
        <w:instrText xml:space="preserve"> HYPERLINK  \l "_Toc158300408"</w:instrText>
      </w:r>
      <w:r>
        <w:rPr>
          <w:rFonts w:hint="eastAsia"/>
        </w:rPr>
        <w:fldChar w:fldCharType="separate"/>
      </w:r>
      <w:r>
        <w:rPr>
          <w:rFonts w:hint="default"/>
        </w:rPr>
        <w:t>31</w:t>
      </w:r>
      <w:r>
        <w:rPr>
          <w:rFonts w:hint="eastAsia"/>
        </w:rPr>
        <w:fldChar w:fldCharType="end"/>
      </w:r>
      <w:r>
        <w:rPr>
          <w:rFonts w:hint="eastAsia"/>
        </w:rPr>
        <w:fldChar w:fldCharType="end"/>
      </w:r>
    </w:p>
    <w:p>
      <w:pPr>
        <w:pStyle w:val="34"/>
        <w:spacing w:before="111" w:beforeLines="0" w:beforeAutospacing="0"/>
        <w:rPr>
          <w:rFonts w:hint="default" w:asciiTheme="minorHAnsi" w:hAnsiTheme="minorHAnsi" w:eastAsiaTheme="minorEastAsia"/>
          <w:sz w:val="21"/>
        </w:rPr>
      </w:pPr>
      <w:r>
        <w:rPr>
          <w:rFonts w:hint="eastAsia"/>
        </w:rPr>
        <w:fldChar w:fldCharType="begin"/>
      </w:r>
      <w:r>
        <w:rPr>
          <w:rFonts w:hint="eastAsia"/>
        </w:rPr>
        <w:instrText xml:space="preserve"> HYPERLINK  \l "_Toc158300409"</w:instrText>
      </w:r>
      <w:r>
        <w:rPr>
          <w:rFonts w:hint="eastAsia"/>
        </w:rPr>
        <w:fldChar w:fldCharType="separate"/>
      </w:r>
      <w:r>
        <w:rPr>
          <w:rFonts w:hint="default"/>
        </w:rPr>
        <w:t>第４章　第６次南風原町障がい者計画</w:t>
      </w:r>
      <w:r>
        <w:rPr>
          <w:rFonts w:hint="default"/>
        </w:rPr>
        <w:tab/>
      </w:r>
      <w:r>
        <w:rPr>
          <w:rFonts w:hint="eastAsia"/>
        </w:rPr>
        <w:fldChar w:fldCharType="end"/>
      </w:r>
      <w:r>
        <w:rPr>
          <w:rFonts w:hint="eastAsia"/>
        </w:rPr>
        <w:fldChar w:fldCharType="begin"/>
      </w:r>
      <w:r>
        <w:rPr>
          <w:rFonts w:hint="default"/>
        </w:rPr>
        <w:instrText xml:space="preserve"> PAGEREF _Toc158300409 \h </w:instrText>
      </w:r>
      <w:r>
        <w:rPr>
          <w:rFonts w:hint="eastAsia"/>
        </w:rPr>
        <w:fldChar w:fldCharType="separate"/>
      </w:r>
      <w:r>
        <w:rPr>
          <w:rFonts w:hint="eastAsia"/>
        </w:rPr>
        <w:fldChar w:fldCharType="begin"/>
      </w:r>
      <w:r>
        <w:rPr>
          <w:rFonts w:hint="eastAsia"/>
        </w:rPr>
        <w:instrText xml:space="preserve"> HYPERLINK  \l "_Toc158300409"</w:instrText>
      </w:r>
      <w:r>
        <w:rPr>
          <w:rFonts w:hint="eastAsia"/>
        </w:rPr>
        <w:fldChar w:fldCharType="separate"/>
      </w:r>
      <w:r>
        <w:rPr>
          <w:rFonts w:hint="default"/>
        </w:rPr>
        <w:t>33</w:t>
      </w:r>
      <w:r>
        <w:rPr>
          <w:rFonts w:hint="eastAsia"/>
        </w:rPr>
        <w:fldChar w:fldCharType="end"/>
      </w:r>
      <w:r>
        <w:rPr>
          <w:rFonts w:hint="eastAsia"/>
        </w:rPr>
        <w:fldChar w:fldCharType="end"/>
      </w:r>
    </w:p>
    <w:p>
      <w:pPr>
        <w:pStyle w:val="35"/>
        <w:spacing w:before="74" w:beforeLines="0" w:beforeAutospacing="0"/>
        <w:rPr>
          <w:rFonts w:hint="default" w:asciiTheme="minorHAnsi" w:hAnsiTheme="minorHAnsi" w:eastAsiaTheme="minorEastAsia"/>
          <w:sz w:val="21"/>
        </w:rPr>
      </w:pPr>
      <w:r>
        <w:rPr>
          <w:rFonts w:hint="eastAsia"/>
        </w:rPr>
        <w:fldChar w:fldCharType="begin"/>
      </w:r>
      <w:r>
        <w:rPr>
          <w:rFonts w:hint="eastAsia"/>
        </w:rPr>
        <w:instrText xml:space="preserve"> HYPERLINK  \l "_Toc158300410"</w:instrText>
      </w:r>
      <w:r>
        <w:rPr>
          <w:rFonts w:hint="eastAsia"/>
        </w:rPr>
        <w:fldChar w:fldCharType="separate"/>
      </w:r>
      <w:r>
        <w:rPr>
          <w:rFonts w:hint="default"/>
        </w:rPr>
        <w:t>基本目標１　安心して共に暮らせるまち</w:t>
      </w:r>
      <w:r>
        <w:rPr>
          <w:rFonts w:hint="default"/>
        </w:rPr>
        <w:tab/>
      </w:r>
      <w:r>
        <w:rPr>
          <w:rFonts w:hint="eastAsia"/>
        </w:rPr>
        <w:fldChar w:fldCharType="end"/>
      </w:r>
      <w:r>
        <w:rPr>
          <w:rFonts w:hint="eastAsia"/>
        </w:rPr>
        <w:fldChar w:fldCharType="begin"/>
      </w:r>
      <w:r>
        <w:rPr>
          <w:rFonts w:hint="default"/>
        </w:rPr>
        <w:instrText xml:space="preserve"> PAGEREF _Toc158300410 \h </w:instrText>
      </w:r>
      <w:r>
        <w:rPr>
          <w:rFonts w:hint="eastAsia"/>
        </w:rPr>
        <w:fldChar w:fldCharType="separate"/>
      </w:r>
      <w:r>
        <w:rPr>
          <w:rFonts w:hint="eastAsia"/>
        </w:rPr>
        <w:fldChar w:fldCharType="begin"/>
      </w:r>
      <w:r>
        <w:rPr>
          <w:rFonts w:hint="eastAsia"/>
        </w:rPr>
        <w:instrText xml:space="preserve"> HYPERLINK  \l "_Toc158300410"</w:instrText>
      </w:r>
      <w:r>
        <w:rPr>
          <w:rFonts w:hint="eastAsia"/>
        </w:rPr>
        <w:fldChar w:fldCharType="separate"/>
      </w:r>
      <w:r>
        <w:rPr>
          <w:rFonts w:hint="default"/>
        </w:rPr>
        <w:t>33</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"_Toc158300411"</w:instrText>
      </w:r>
      <w:r>
        <w:rPr>
          <w:rFonts w:hint="eastAsia"/>
        </w:rPr>
        <w:fldChar w:fldCharType="separate"/>
      </w:r>
      <w:r>
        <w:rPr>
          <w:rFonts w:hint="default"/>
        </w:rPr>
        <w:t>１．理解啓発・差別解消の推進</w:t>
      </w:r>
      <w:r>
        <w:rPr>
          <w:rFonts w:hint="default"/>
        </w:rPr>
        <w:tab/>
      </w:r>
      <w:r>
        <w:rPr>
          <w:rFonts w:hint="eastAsia"/>
        </w:rPr>
        <w:fldChar w:fldCharType="end"/>
      </w:r>
      <w:r>
        <w:rPr>
          <w:rFonts w:hint="eastAsia"/>
        </w:rPr>
        <w:fldChar w:fldCharType="begin"/>
      </w:r>
      <w:r>
        <w:rPr>
          <w:rFonts w:hint="default"/>
        </w:rPr>
        <w:instrText xml:space="preserve"> PAGEREF _Toc158300411 \h </w:instrText>
      </w:r>
      <w:r>
        <w:rPr>
          <w:rFonts w:hint="eastAsia"/>
        </w:rPr>
        <w:fldChar w:fldCharType="separate"/>
      </w:r>
      <w:r>
        <w:rPr>
          <w:rFonts w:hint="eastAsia"/>
        </w:rPr>
        <w:fldChar w:fldCharType="begin"/>
      </w:r>
      <w:r>
        <w:rPr>
          <w:rFonts w:hint="eastAsia"/>
        </w:rPr>
        <w:instrText xml:space="preserve"> HYPERLINK  \l "_Toc158300411"</w:instrText>
      </w:r>
      <w:r>
        <w:rPr>
          <w:rFonts w:hint="eastAsia"/>
        </w:rPr>
        <w:fldChar w:fldCharType="separate"/>
      </w:r>
      <w:r>
        <w:rPr>
          <w:rFonts w:hint="default"/>
        </w:rPr>
        <w:t>33</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"_Toc158300412"</w:instrText>
      </w:r>
      <w:r>
        <w:rPr>
          <w:rFonts w:hint="eastAsia"/>
        </w:rPr>
        <w:fldChar w:fldCharType="separate"/>
      </w:r>
      <w:r>
        <w:rPr>
          <w:rFonts w:hint="default"/>
        </w:rPr>
        <w:t>２．相談支援の充実・権利擁護の推進　</w:t>
      </w:r>
      <w:r>
        <w:rPr>
          <w:rFonts w:hint="default"/>
        </w:rPr>
        <w:tab/>
      </w:r>
      <w:r>
        <w:rPr>
          <w:rFonts w:hint="eastAsia"/>
        </w:rPr>
        <w:fldChar w:fldCharType="end"/>
      </w:r>
      <w:r>
        <w:rPr>
          <w:rFonts w:hint="eastAsia"/>
        </w:rPr>
        <w:fldChar w:fldCharType="begin"/>
      </w:r>
      <w:r>
        <w:rPr>
          <w:rFonts w:hint="default"/>
        </w:rPr>
        <w:instrText xml:space="preserve"> PAGEREF _Toc158300412 \h </w:instrText>
      </w:r>
      <w:r>
        <w:rPr>
          <w:rFonts w:hint="eastAsia"/>
        </w:rPr>
        <w:fldChar w:fldCharType="separate"/>
      </w:r>
      <w:r>
        <w:rPr>
          <w:rFonts w:hint="eastAsia"/>
        </w:rPr>
        <w:fldChar w:fldCharType="begin"/>
      </w:r>
      <w:r>
        <w:rPr>
          <w:rFonts w:hint="eastAsia"/>
        </w:rPr>
        <w:instrText xml:space="preserve"> HYPERLINK  \l "_Toc158300412"</w:instrText>
      </w:r>
      <w:r>
        <w:rPr>
          <w:rFonts w:hint="eastAsia"/>
        </w:rPr>
        <w:fldChar w:fldCharType="separate"/>
      </w:r>
      <w:r>
        <w:rPr>
          <w:rFonts w:hint="default"/>
        </w:rPr>
        <w:t>37</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"_Toc158300413"</w:instrText>
      </w:r>
      <w:r>
        <w:rPr>
          <w:rFonts w:hint="eastAsia"/>
        </w:rPr>
        <w:fldChar w:fldCharType="separate"/>
      </w:r>
      <w:r>
        <w:rPr>
          <w:rFonts w:hint="default"/>
        </w:rPr>
        <w:t>３．情報提供・意思疎通支援の充実　</w:t>
      </w:r>
      <w:r>
        <w:rPr>
          <w:rFonts w:hint="default"/>
        </w:rPr>
        <w:tab/>
      </w:r>
      <w:r>
        <w:rPr>
          <w:rFonts w:hint="eastAsia"/>
        </w:rPr>
        <w:fldChar w:fldCharType="end"/>
      </w:r>
      <w:r>
        <w:rPr>
          <w:rFonts w:hint="eastAsia"/>
        </w:rPr>
        <w:fldChar w:fldCharType="begin"/>
      </w:r>
      <w:r>
        <w:rPr>
          <w:rFonts w:hint="default"/>
        </w:rPr>
        <w:instrText xml:space="preserve"> PAGEREF _Toc158300413 \h </w:instrText>
      </w:r>
      <w:r>
        <w:rPr>
          <w:rFonts w:hint="eastAsia"/>
        </w:rPr>
        <w:fldChar w:fldCharType="separate"/>
      </w:r>
      <w:r>
        <w:rPr>
          <w:rFonts w:hint="eastAsia"/>
        </w:rPr>
        <w:fldChar w:fldCharType="begin"/>
      </w:r>
      <w:r>
        <w:rPr>
          <w:rFonts w:hint="eastAsia"/>
        </w:rPr>
        <w:instrText xml:space="preserve"> HYPERLINK  \l "_Toc158300413"</w:instrText>
      </w:r>
      <w:r>
        <w:rPr>
          <w:rFonts w:hint="eastAsia"/>
        </w:rPr>
        <w:fldChar w:fldCharType="separate"/>
      </w:r>
      <w:r>
        <w:rPr>
          <w:rFonts w:hint="default"/>
        </w:rPr>
        <w:t>43</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"_Toc158300414"</w:instrText>
      </w:r>
      <w:r>
        <w:rPr>
          <w:rFonts w:hint="eastAsia"/>
        </w:rPr>
        <w:fldChar w:fldCharType="separate"/>
      </w:r>
      <w:r>
        <w:rPr>
          <w:rFonts w:hint="default"/>
        </w:rPr>
        <w:t>４．保育・教育等の充実</w:t>
      </w:r>
      <w:r>
        <w:rPr>
          <w:rFonts w:hint="default"/>
        </w:rPr>
        <w:tab/>
      </w:r>
      <w:r>
        <w:rPr>
          <w:rFonts w:hint="eastAsia"/>
        </w:rPr>
        <w:fldChar w:fldCharType="end"/>
      </w:r>
      <w:r>
        <w:rPr>
          <w:rFonts w:hint="eastAsia"/>
        </w:rPr>
        <w:fldChar w:fldCharType="begin"/>
      </w:r>
      <w:r>
        <w:rPr>
          <w:rFonts w:hint="default"/>
        </w:rPr>
        <w:instrText xml:space="preserve"> PAGEREF _Toc158300414 \h </w:instrText>
      </w:r>
      <w:r>
        <w:rPr>
          <w:rFonts w:hint="eastAsia"/>
        </w:rPr>
        <w:fldChar w:fldCharType="separate"/>
      </w:r>
      <w:r>
        <w:rPr>
          <w:rFonts w:hint="eastAsia"/>
        </w:rPr>
        <w:fldChar w:fldCharType="begin"/>
      </w:r>
      <w:r>
        <w:rPr>
          <w:rFonts w:hint="eastAsia"/>
        </w:rPr>
        <w:instrText xml:space="preserve"> HYPERLINK  \l "_Toc158300414"</w:instrText>
      </w:r>
      <w:r>
        <w:rPr>
          <w:rFonts w:hint="eastAsia"/>
        </w:rPr>
        <w:fldChar w:fldCharType="separate"/>
      </w:r>
      <w:r>
        <w:rPr>
          <w:rFonts w:hint="default"/>
        </w:rPr>
        <w:t>48</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"_Toc158300415"</w:instrText>
      </w:r>
      <w:r>
        <w:rPr>
          <w:rFonts w:hint="eastAsia"/>
        </w:rPr>
        <w:fldChar w:fldCharType="separate"/>
      </w:r>
      <w:r>
        <w:rPr>
          <w:rFonts w:hint="default"/>
        </w:rPr>
        <w:t>５．防災・防犯対策の充実</w:t>
      </w:r>
      <w:r>
        <w:rPr>
          <w:rFonts w:hint="default"/>
        </w:rPr>
        <w:tab/>
      </w:r>
      <w:r>
        <w:rPr>
          <w:rFonts w:hint="eastAsia"/>
        </w:rPr>
        <w:fldChar w:fldCharType="end"/>
      </w:r>
      <w:r>
        <w:rPr>
          <w:rFonts w:hint="eastAsia"/>
        </w:rPr>
        <w:fldChar w:fldCharType="begin"/>
      </w:r>
      <w:r>
        <w:rPr>
          <w:rFonts w:hint="default"/>
        </w:rPr>
        <w:instrText xml:space="preserve"> PAGEREF _Toc158300415 \h </w:instrText>
      </w:r>
      <w:r>
        <w:rPr>
          <w:rFonts w:hint="eastAsia"/>
        </w:rPr>
        <w:fldChar w:fldCharType="separate"/>
      </w:r>
      <w:r>
        <w:rPr>
          <w:rFonts w:hint="eastAsia"/>
        </w:rPr>
        <w:fldChar w:fldCharType="begin"/>
      </w:r>
      <w:r>
        <w:rPr>
          <w:rFonts w:hint="eastAsia"/>
        </w:rPr>
        <w:instrText xml:space="preserve"> HYPERLINK  \l "_Toc158300415"</w:instrText>
      </w:r>
      <w:r>
        <w:rPr>
          <w:rFonts w:hint="eastAsia"/>
        </w:rPr>
        <w:fldChar w:fldCharType="separate"/>
      </w:r>
      <w:r>
        <w:rPr>
          <w:rFonts w:hint="default"/>
        </w:rPr>
        <w:t>52</w:t>
      </w:r>
      <w:r>
        <w:rPr>
          <w:rFonts w:hint="eastAsia"/>
        </w:rPr>
        <w:fldChar w:fldCharType="end"/>
      </w:r>
      <w:r>
        <w:rPr>
          <w:rFonts w:hint="eastAsia"/>
        </w:rPr>
        <w:fldChar w:fldCharType="end"/>
      </w:r>
    </w:p>
    <w:p>
      <w:pPr>
        <w:pStyle w:val="35"/>
        <w:spacing w:before="74" w:beforeLines="0" w:beforeAutospacing="0"/>
        <w:rPr>
          <w:rFonts w:hint="default" w:asciiTheme="minorHAnsi" w:hAnsiTheme="minorHAnsi" w:eastAsiaTheme="minorEastAsia"/>
          <w:sz w:val="21"/>
        </w:rPr>
      </w:pPr>
      <w:r>
        <w:rPr>
          <w:rFonts w:hint="eastAsia"/>
        </w:rPr>
        <w:fldChar w:fldCharType="begin"/>
      </w:r>
      <w:r>
        <w:rPr>
          <w:rFonts w:hint="eastAsia"/>
        </w:rPr>
        <w:instrText xml:space="preserve"> HYPERLINK  \l "_Toc158300416"</w:instrText>
      </w:r>
      <w:r>
        <w:rPr>
          <w:rFonts w:hint="eastAsia"/>
        </w:rPr>
        <w:fldChar w:fldCharType="separate"/>
      </w:r>
      <w:r>
        <w:rPr>
          <w:rFonts w:hint="default"/>
        </w:rPr>
        <w:t>基本目標２　健やかで自立を支えるまち</w:t>
      </w:r>
      <w:r>
        <w:rPr>
          <w:rFonts w:hint="default"/>
        </w:rPr>
        <w:tab/>
      </w:r>
      <w:r>
        <w:rPr>
          <w:rFonts w:hint="eastAsia"/>
        </w:rPr>
        <w:fldChar w:fldCharType="end"/>
      </w:r>
      <w:r>
        <w:rPr>
          <w:rFonts w:hint="eastAsia"/>
        </w:rPr>
        <w:fldChar w:fldCharType="begin"/>
      </w:r>
      <w:r>
        <w:rPr>
          <w:rFonts w:hint="default"/>
        </w:rPr>
        <w:instrText xml:space="preserve"> PAGEREF _Toc158300416 \h </w:instrText>
      </w:r>
      <w:r>
        <w:rPr>
          <w:rFonts w:hint="eastAsia"/>
        </w:rPr>
        <w:fldChar w:fldCharType="separate"/>
      </w:r>
      <w:r>
        <w:rPr>
          <w:rFonts w:hint="eastAsia"/>
        </w:rPr>
        <w:fldChar w:fldCharType="begin"/>
      </w:r>
      <w:r>
        <w:rPr>
          <w:rFonts w:hint="eastAsia"/>
        </w:rPr>
        <w:instrText xml:space="preserve"> HYPERLINK  \l "_Toc158300416"</w:instrText>
      </w:r>
      <w:r>
        <w:rPr>
          <w:rFonts w:hint="eastAsia"/>
        </w:rPr>
        <w:fldChar w:fldCharType="separate"/>
      </w:r>
      <w:r>
        <w:rPr>
          <w:rFonts w:hint="default"/>
        </w:rPr>
        <w:t>55</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"_Toc158300417"</w:instrText>
      </w:r>
      <w:r>
        <w:rPr>
          <w:rFonts w:hint="eastAsia"/>
        </w:rPr>
        <w:fldChar w:fldCharType="separate"/>
      </w:r>
      <w:r>
        <w:rPr>
          <w:rFonts w:hint="default"/>
        </w:rPr>
        <w:t>１．保健・医療の充実</w:t>
      </w:r>
      <w:r>
        <w:rPr>
          <w:rFonts w:hint="default"/>
        </w:rPr>
        <w:tab/>
      </w:r>
      <w:r>
        <w:rPr>
          <w:rFonts w:hint="eastAsia"/>
        </w:rPr>
        <w:fldChar w:fldCharType="end"/>
      </w:r>
      <w:r>
        <w:rPr>
          <w:rFonts w:hint="eastAsia"/>
        </w:rPr>
        <w:fldChar w:fldCharType="begin"/>
      </w:r>
      <w:r>
        <w:rPr>
          <w:rFonts w:hint="default"/>
        </w:rPr>
        <w:instrText xml:space="preserve"> PAGEREF _Toc158300417 \h </w:instrText>
      </w:r>
      <w:r>
        <w:rPr>
          <w:rFonts w:hint="eastAsia"/>
        </w:rPr>
        <w:fldChar w:fldCharType="separate"/>
      </w:r>
      <w:r>
        <w:rPr>
          <w:rFonts w:hint="eastAsia"/>
        </w:rPr>
        <w:fldChar w:fldCharType="begin"/>
      </w:r>
      <w:r>
        <w:rPr>
          <w:rFonts w:hint="eastAsia"/>
        </w:rPr>
        <w:instrText xml:space="preserve"> HYPERLINK  \l "_Toc158300417"</w:instrText>
      </w:r>
      <w:r>
        <w:rPr>
          <w:rFonts w:hint="eastAsia"/>
        </w:rPr>
        <w:fldChar w:fldCharType="separate"/>
      </w:r>
      <w:r>
        <w:rPr>
          <w:rFonts w:hint="default"/>
        </w:rPr>
        <w:t>55</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"_Toc158300418"</w:instrText>
      </w:r>
      <w:r>
        <w:rPr>
          <w:rFonts w:hint="eastAsia"/>
        </w:rPr>
        <w:fldChar w:fldCharType="separate"/>
      </w:r>
      <w:r>
        <w:rPr>
          <w:rFonts w:hint="default"/>
        </w:rPr>
        <w:t>２．自立生活支援の充実</w:t>
      </w:r>
      <w:r>
        <w:rPr>
          <w:rFonts w:hint="default"/>
        </w:rPr>
        <w:tab/>
      </w:r>
      <w:r>
        <w:rPr>
          <w:rFonts w:hint="eastAsia"/>
        </w:rPr>
        <w:fldChar w:fldCharType="end"/>
      </w:r>
      <w:r>
        <w:rPr>
          <w:rFonts w:hint="eastAsia"/>
        </w:rPr>
        <w:fldChar w:fldCharType="begin"/>
      </w:r>
      <w:r>
        <w:rPr>
          <w:rFonts w:hint="default"/>
        </w:rPr>
        <w:instrText xml:space="preserve"> PAGEREF _Toc158300418 \h </w:instrText>
      </w:r>
      <w:r>
        <w:rPr>
          <w:rFonts w:hint="eastAsia"/>
        </w:rPr>
        <w:fldChar w:fldCharType="separate"/>
      </w:r>
      <w:r>
        <w:rPr>
          <w:rFonts w:hint="eastAsia"/>
        </w:rPr>
        <w:fldChar w:fldCharType="begin"/>
      </w:r>
      <w:r>
        <w:rPr>
          <w:rFonts w:hint="eastAsia"/>
        </w:rPr>
        <w:instrText xml:space="preserve"> HYPERLINK  \l "_Toc158300418"</w:instrText>
      </w:r>
      <w:r>
        <w:rPr>
          <w:rFonts w:hint="eastAsia"/>
        </w:rPr>
        <w:fldChar w:fldCharType="separate"/>
      </w:r>
      <w:r>
        <w:rPr>
          <w:rFonts w:hint="default"/>
        </w:rPr>
        <w:t>62</w:t>
      </w:r>
      <w:r>
        <w:rPr>
          <w:rFonts w:hint="eastAsia"/>
        </w:rPr>
        <w:fldChar w:fldCharType="end"/>
      </w:r>
      <w:r>
        <w:rPr>
          <w:rFonts w:hint="eastAsia"/>
        </w:rPr>
        <w:fldChar w:fldCharType="end"/>
      </w:r>
    </w:p>
    <w:p>
      <w:pPr>
        <w:pStyle w:val="35"/>
        <w:spacing w:before="74" w:beforeLines="0" w:beforeAutospacing="0"/>
        <w:rPr>
          <w:rFonts w:hint="default" w:asciiTheme="minorHAnsi" w:hAnsiTheme="minorHAnsi" w:eastAsiaTheme="minorEastAsia"/>
          <w:sz w:val="21"/>
        </w:rPr>
      </w:pPr>
      <w:r>
        <w:rPr>
          <w:rFonts w:hint="eastAsia"/>
        </w:rPr>
        <w:fldChar w:fldCharType="begin"/>
      </w:r>
      <w:r>
        <w:rPr>
          <w:rFonts w:hint="eastAsia"/>
        </w:rPr>
        <w:instrText xml:space="preserve"> HYPERLINK  \l "_Toc158300419"</w:instrText>
      </w:r>
      <w:r>
        <w:rPr>
          <w:rFonts w:hint="eastAsia"/>
        </w:rPr>
        <w:fldChar w:fldCharType="separate"/>
      </w:r>
      <w:r>
        <w:rPr>
          <w:rFonts w:hint="default"/>
        </w:rPr>
        <w:t>基本目標３　住み良い環境と生きがいの持てるまち</w:t>
      </w:r>
      <w:r>
        <w:rPr>
          <w:rFonts w:hint="default"/>
        </w:rPr>
        <w:tab/>
      </w:r>
      <w:r>
        <w:rPr>
          <w:rFonts w:hint="eastAsia"/>
        </w:rPr>
        <w:fldChar w:fldCharType="end"/>
      </w:r>
      <w:r>
        <w:rPr>
          <w:rFonts w:hint="eastAsia"/>
        </w:rPr>
        <w:fldChar w:fldCharType="begin"/>
      </w:r>
      <w:r>
        <w:rPr>
          <w:rFonts w:hint="default"/>
        </w:rPr>
        <w:instrText xml:space="preserve"> PAGEREF _Toc158300419 \h </w:instrText>
      </w:r>
      <w:r>
        <w:rPr>
          <w:rFonts w:hint="eastAsia"/>
        </w:rPr>
        <w:fldChar w:fldCharType="separate"/>
      </w:r>
      <w:r>
        <w:rPr>
          <w:rFonts w:hint="eastAsia"/>
        </w:rPr>
        <w:fldChar w:fldCharType="begin"/>
      </w:r>
      <w:r>
        <w:rPr>
          <w:rFonts w:hint="eastAsia"/>
        </w:rPr>
        <w:instrText xml:space="preserve"> HYPERLINK  \l "_Toc158300419"</w:instrText>
      </w:r>
      <w:r>
        <w:rPr>
          <w:rFonts w:hint="eastAsia"/>
        </w:rPr>
        <w:fldChar w:fldCharType="separate"/>
      </w:r>
      <w:r>
        <w:rPr>
          <w:rFonts w:hint="default"/>
        </w:rPr>
        <w:t>68</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"_Toc158300420"</w:instrText>
      </w:r>
      <w:r>
        <w:rPr>
          <w:rFonts w:hint="eastAsia"/>
        </w:rPr>
        <w:fldChar w:fldCharType="separate"/>
      </w:r>
      <w:r>
        <w:rPr>
          <w:rFonts w:hint="default"/>
        </w:rPr>
        <w:t>１．生活環境の整備推進</w:t>
      </w:r>
      <w:r>
        <w:rPr>
          <w:rFonts w:hint="default"/>
        </w:rPr>
        <w:tab/>
      </w:r>
      <w:r>
        <w:rPr>
          <w:rFonts w:hint="eastAsia"/>
        </w:rPr>
        <w:fldChar w:fldCharType="end"/>
      </w:r>
      <w:r>
        <w:rPr>
          <w:rFonts w:hint="eastAsia"/>
        </w:rPr>
        <w:fldChar w:fldCharType="begin"/>
      </w:r>
      <w:r>
        <w:rPr>
          <w:rFonts w:hint="default"/>
        </w:rPr>
        <w:instrText xml:space="preserve"> PAGEREF _Toc158300420 \h </w:instrText>
      </w:r>
      <w:r>
        <w:rPr>
          <w:rFonts w:hint="eastAsia"/>
        </w:rPr>
        <w:fldChar w:fldCharType="separate"/>
      </w:r>
      <w:r>
        <w:rPr>
          <w:rFonts w:hint="eastAsia"/>
        </w:rPr>
        <w:fldChar w:fldCharType="begin"/>
      </w:r>
      <w:r>
        <w:rPr>
          <w:rFonts w:hint="eastAsia"/>
        </w:rPr>
        <w:instrText xml:space="preserve"> HYPERLINK  \l "_Toc158300420"</w:instrText>
      </w:r>
      <w:r>
        <w:rPr>
          <w:rFonts w:hint="eastAsia"/>
        </w:rPr>
        <w:fldChar w:fldCharType="separate"/>
      </w:r>
      <w:r>
        <w:rPr>
          <w:rFonts w:hint="default"/>
        </w:rPr>
        <w:t>68</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"_Toc158300421"</w:instrText>
      </w:r>
      <w:r>
        <w:rPr>
          <w:rFonts w:hint="eastAsia"/>
        </w:rPr>
        <w:fldChar w:fldCharType="separate"/>
      </w:r>
      <w:r>
        <w:rPr>
          <w:rFonts w:hint="default"/>
        </w:rPr>
        <w:t>２．社会参加・生きがい活動の推進</w:t>
      </w:r>
      <w:r>
        <w:rPr>
          <w:rFonts w:hint="default"/>
        </w:rPr>
        <w:tab/>
      </w:r>
      <w:r>
        <w:rPr>
          <w:rFonts w:hint="eastAsia"/>
        </w:rPr>
        <w:fldChar w:fldCharType="end"/>
      </w:r>
      <w:r>
        <w:rPr>
          <w:rFonts w:hint="eastAsia"/>
        </w:rPr>
        <w:fldChar w:fldCharType="begin"/>
      </w:r>
      <w:r>
        <w:rPr>
          <w:rFonts w:hint="default"/>
        </w:rPr>
        <w:instrText xml:space="preserve"> PAGEREF _Toc158300421 \h </w:instrText>
      </w:r>
      <w:r>
        <w:rPr>
          <w:rFonts w:hint="eastAsia"/>
        </w:rPr>
        <w:fldChar w:fldCharType="separate"/>
      </w:r>
      <w:r>
        <w:rPr>
          <w:rFonts w:hint="eastAsia"/>
        </w:rPr>
        <w:fldChar w:fldCharType="begin"/>
      </w:r>
      <w:r>
        <w:rPr>
          <w:rFonts w:hint="eastAsia"/>
        </w:rPr>
        <w:instrText xml:space="preserve"> HYPERLINK  \l "_Toc158300421"</w:instrText>
      </w:r>
      <w:r>
        <w:rPr>
          <w:rFonts w:hint="eastAsia"/>
        </w:rPr>
        <w:fldChar w:fldCharType="separate"/>
      </w:r>
      <w:r>
        <w:rPr>
          <w:rFonts w:hint="default"/>
        </w:rPr>
        <w:t>71</w:t>
      </w:r>
      <w:r>
        <w:rPr>
          <w:rFonts w:hint="eastAsia"/>
        </w:rPr>
        <w:fldChar w:fldCharType="end"/>
      </w:r>
      <w:r>
        <w:rPr>
          <w:rFonts w:hint="eastAsia"/>
        </w:rPr>
        <w:fldChar w:fldCharType="end"/>
      </w:r>
    </w:p>
    <w:p>
      <w:pPr>
        <w:pStyle w:val="34"/>
        <w:spacing w:before="111" w:beforeLines="0" w:beforeAutospacing="0"/>
        <w:rPr>
          <w:rFonts w:hint="default" w:asciiTheme="minorHAnsi" w:hAnsiTheme="minorHAnsi" w:eastAsiaTheme="minorEastAsia"/>
          <w:sz w:val="21"/>
        </w:rPr>
      </w:pPr>
      <w:r>
        <w:rPr>
          <w:rFonts w:hint="eastAsia"/>
        </w:rPr>
        <w:fldChar w:fldCharType="begin"/>
      </w:r>
      <w:r>
        <w:rPr>
          <w:rFonts w:hint="eastAsia"/>
        </w:rPr>
        <w:instrText xml:space="preserve"> HYPERLINK  \l "_Toc158300422"</w:instrText>
      </w:r>
      <w:r>
        <w:rPr>
          <w:rFonts w:hint="eastAsia"/>
        </w:rPr>
        <w:fldChar w:fldCharType="separate"/>
      </w:r>
      <w:r>
        <w:rPr>
          <w:rFonts w:hint="default"/>
        </w:rPr>
        <w:t>第５章　第７期障がい福祉計画</w:t>
      </w:r>
      <w:r>
        <w:rPr>
          <w:rFonts w:hint="default"/>
        </w:rPr>
        <w:tab/>
      </w:r>
      <w:r>
        <w:rPr>
          <w:rFonts w:hint="eastAsia"/>
        </w:rPr>
        <w:fldChar w:fldCharType="end"/>
      </w:r>
      <w:r>
        <w:rPr>
          <w:rFonts w:hint="eastAsia"/>
        </w:rPr>
        <w:fldChar w:fldCharType="begin"/>
      </w:r>
      <w:r>
        <w:rPr>
          <w:rFonts w:hint="default"/>
        </w:rPr>
        <w:instrText xml:space="preserve"> PAGEREF _Toc158300422 \h </w:instrText>
      </w:r>
      <w:r>
        <w:rPr>
          <w:rFonts w:hint="eastAsia"/>
        </w:rPr>
        <w:fldChar w:fldCharType="separate"/>
      </w:r>
      <w:r>
        <w:rPr>
          <w:rFonts w:hint="eastAsia"/>
        </w:rPr>
        <w:fldChar w:fldCharType="begin"/>
      </w:r>
      <w:r>
        <w:rPr>
          <w:rFonts w:hint="eastAsia"/>
        </w:rPr>
        <w:instrText xml:space="preserve"> HYPERLINK  \l "_Toc158300422"</w:instrText>
      </w:r>
      <w:r>
        <w:rPr>
          <w:rFonts w:hint="eastAsia"/>
        </w:rPr>
        <w:fldChar w:fldCharType="separate"/>
      </w:r>
      <w:r>
        <w:rPr>
          <w:rFonts w:hint="default"/>
        </w:rPr>
        <w:t>75</w:t>
      </w:r>
      <w:r>
        <w:rPr>
          <w:rFonts w:hint="eastAsia"/>
        </w:rPr>
        <w:fldChar w:fldCharType="end"/>
      </w:r>
      <w:r>
        <w:rPr>
          <w:rFonts w:hint="eastAsia"/>
        </w:rPr>
        <w:fldChar w:fldCharType="end"/>
      </w:r>
    </w:p>
    <w:p>
      <w:pPr>
        <w:pStyle w:val="35"/>
        <w:spacing w:before="74" w:beforeLines="0" w:beforeAutospacing="0"/>
        <w:rPr>
          <w:rFonts w:hint="default" w:asciiTheme="minorHAnsi" w:hAnsiTheme="minorHAnsi" w:eastAsiaTheme="minorEastAsia"/>
          <w:sz w:val="21"/>
        </w:rPr>
      </w:pPr>
      <w:r>
        <w:rPr>
          <w:rFonts w:hint="eastAsia"/>
        </w:rPr>
        <w:fldChar w:fldCharType="begin"/>
      </w:r>
      <w:r>
        <w:rPr>
          <w:rFonts w:hint="eastAsia"/>
        </w:rPr>
        <w:instrText xml:space="preserve"> HYPERLINK  \l "_Toc158300423"</w:instrText>
      </w:r>
      <w:r>
        <w:rPr>
          <w:rFonts w:hint="eastAsia"/>
        </w:rPr>
        <w:fldChar w:fldCharType="separate"/>
      </w:r>
      <w:r>
        <w:rPr>
          <w:rFonts w:hint="default"/>
        </w:rPr>
        <w:t>１．成果目標</w:t>
      </w:r>
      <w:r>
        <w:rPr>
          <w:rFonts w:hint="default"/>
        </w:rPr>
        <w:tab/>
      </w:r>
      <w:r>
        <w:rPr>
          <w:rFonts w:hint="eastAsia"/>
        </w:rPr>
        <w:fldChar w:fldCharType="end"/>
      </w:r>
      <w:r>
        <w:rPr>
          <w:rFonts w:hint="eastAsia"/>
        </w:rPr>
        <w:fldChar w:fldCharType="begin"/>
      </w:r>
      <w:r>
        <w:rPr>
          <w:rFonts w:hint="default"/>
        </w:rPr>
        <w:instrText xml:space="preserve"> PAGEREF _Toc158300423 \h </w:instrText>
      </w:r>
      <w:r>
        <w:rPr>
          <w:rFonts w:hint="eastAsia"/>
        </w:rPr>
        <w:fldChar w:fldCharType="separate"/>
      </w:r>
      <w:r>
        <w:rPr>
          <w:rFonts w:hint="eastAsia"/>
        </w:rPr>
        <w:fldChar w:fldCharType="begin"/>
      </w:r>
      <w:r>
        <w:rPr>
          <w:rFonts w:hint="eastAsia"/>
        </w:rPr>
        <w:instrText xml:space="preserve"> HYPERLINK  \l "_Toc158300423"</w:instrText>
      </w:r>
      <w:r>
        <w:rPr>
          <w:rFonts w:hint="eastAsia"/>
        </w:rPr>
        <w:fldChar w:fldCharType="separate"/>
      </w:r>
      <w:r>
        <w:rPr>
          <w:rFonts w:hint="default"/>
        </w:rPr>
        <w:t>75</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"_Toc158300424"</w:instrText>
      </w:r>
      <w:r>
        <w:rPr>
          <w:rFonts w:hint="eastAsia"/>
        </w:rPr>
        <w:fldChar w:fldCharType="separate"/>
      </w:r>
      <w:r>
        <w:rPr>
          <w:rFonts w:hint="default"/>
        </w:rPr>
        <w:t>(</w:t>
      </w:r>
      <w:r>
        <w:rPr>
          <w:rFonts w:hint="default"/>
        </w:rPr>
        <w:t>１</w:t>
      </w:r>
      <w:r>
        <w:rPr>
          <w:rFonts w:hint="default"/>
        </w:rPr>
        <w:t>)</w:t>
      </w:r>
      <w:r>
        <w:rPr>
          <w:rFonts w:hint="default"/>
        </w:rPr>
        <w:t>福祉施設の入所者の地域生活への移行</w:t>
      </w:r>
      <w:r>
        <w:rPr>
          <w:rFonts w:hint="default"/>
        </w:rPr>
        <w:tab/>
      </w:r>
      <w:r>
        <w:rPr>
          <w:rFonts w:hint="eastAsia"/>
        </w:rPr>
        <w:fldChar w:fldCharType="end"/>
      </w:r>
      <w:r>
        <w:rPr>
          <w:rFonts w:hint="eastAsia"/>
        </w:rPr>
        <w:fldChar w:fldCharType="begin"/>
      </w:r>
      <w:r>
        <w:rPr>
          <w:rFonts w:hint="default"/>
        </w:rPr>
        <w:instrText xml:space="preserve"> PAGEREF _Toc158300424 \h </w:instrText>
      </w:r>
      <w:r>
        <w:rPr>
          <w:rFonts w:hint="eastAsia"/>
        </w:rPr>
        <w:fldChar w:fldCharType="separate"/>
      </w:r>
      <w:r>
        <w:rPr>
          <w:rFonts w:hint="eastAsia"/>
        </w:rPr>
        <w:fldChar w:fldCharType="begin"/>
      </w:r>
      <w:r>
        <w:rPr>
          <w:rFonts w:hint="eastAsia"/>
        </w:rPr>
        <w:instrText xml:space="preserve"> HYPERLINK  \l "_Toc158300424"</w:instrText>
      </w:r>
      <w:r>
        <w:rPr>
          <w:rFonts w:hint="eastAsia"/>
        </w:rPr>
        <w:fldChar w:fldCharType="separate"/>
      </w:r>
      <w:r>
        <w:rPr>
          <w:rFonts w:hint="default"/>
        </w:rPr>
        <w:t>75</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"_Toc158300425"</w:instrText>
      </w:r>
      <w:r>
        <w:rPr>
          <w:rFonts w:hint="eastAsia"/>
        </w:rPr>
        <w:fldChar w:fldCharType="separate"/>
      </w:r>
      <w:r>
        <w:rPr>
          <w:rFonts w:hint="default"/>
        </w:rPr>
        <w:t>(</w:t>
      </w:r>
      <w:r>
        <w:rPr>
          <w:rFonts w:hint="default"/>
        </w:rPr>
        <w:t>２</w:t>
      </w:r>
      <w:r>
        <w:rPr>
          <w:rFonts w:hint="default"/>
        </w:rPr>
        <w:t>)</w:t>
      </w:r>
      <w:r>
        <w:rPr>
          <w:rFonts w:hint="default"/>
        </w:rPr>
        <w:t>精神障害にも対応した地域包括ケアシステムの構築</w:t>
      </w:r>
      <w:r>
        <w:rPr>
          <w:rFonts w:hint="default"/>
        </w:rPr>
        <w:tab/>
      </w:r>
      <w:r>
        <w:rPr>
          <w:rFonts w:hint="eastAsia"/>
        </w:rPr>
        <w:fldChar w:fldCharType="end"/>
      </w:r>
      <w:r>
        <w:rPr>
          <w:rFonts w:hint="eastAsia"/>
        </w:rPr>
        <w:fldChar w:fldCharType="begin"/>
      </w:r>
      <w:r>
        <w:rPr>
          <w:rFonts w:hint="default"/>
        </w:rPr>
        <w:instrText xml:space="preserve"> PAGEREF _Toc158300425 \h </w:instrText>
      </w:r>
      <w:r>
        <w:rPr>
          <w:rFonts w:hint="eastAsia"/>
        </w:rPr>
        <w:fldChar w:fldCharType="separate"/>
      </w:r>
      <w:r>
        <w:rPr>
          <w:rFonts w:hint="eastAsia"/>
        </w:rPr>
        <w:fldChar w:fldCharType="begin"/>
      </w:r>
      <w:r>
        <w:rPr>
          <w:rFonts w:hint="eastAsia"/>
        </w:rPr>
        <w:instrText xml:space="preserve"> HYPERLINK  \l "_Toc158300425"</w:instrText>
      </w:r>
      <w:r>
        <w:rPr>
          <w:rFonts w:hint="eastAsia"/>
        </w:rPr>
        <w:fldChar w:fldCharType="separate"/>
      </w:r>
      <w:r>
        <w:rPr>
          <w:rFonts w:hint="default"/>
        </w:rPr>
        <w:t>76</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"_Toc158300426"</w:instrText>
      </w:r>
      <w:r>
        <w:rPr>
          <w:rFonts w:hint="eastAsia"/>
        </w:rPr>
        <w:fldChar w:fldCharType="separate"/>
      </w:r>
      <w:r>
        <w:rPr>
          <w:rFonts w:hint="default"/>
        </w:rPr>
        <w:t>(</w:t>
      </w:r>
      <w:r>
        <w:rPr>
          <w:rFonts w:hint="default"/>
        </w:rPr>
        <w:t>３</w:t>
      </w:r>
      <w:r>
        <w:rPr>
          <w:rFonts w:hint="default"/>
        </w:rPr>
        <w:t>)</w:t>
      </w:r>
      <w:r>
        <w:rPr>
          <w:rFonts w:hint="default"/>
        </w:rPr>
        <w:t>地域生活支援の充実</w:t>
      </w:r>
      <w:r>
        <w:rPr>
          <w:rFonts w:hint="default"/>
        </w:rPr>
        <w:tab/>
      </w:r>
      <w:r>
        <w:rPr>
          <w:rFonts w:hint="eastAsia"/>
        </w:rPr>
        <w:fldChar w:fldCharType="end"/>
      </w:r>
      <w:r>
        <w:rPr>
          <w:rFonts w:hint="eastAsia"/>
        </w:rPr>
        <w:fldChar w:fldCharType="begin"/>
      </w:r>
      <w:r>
        <w:rPr>
          <w:rFonts w:hint="default"/>
        </w:rPr>
        <w:instrText xml:space="preserve"> PAGEREF _Toc158300426 \h </w:instrText>
      </w:r>
      <w:r>
        <w:rPr>
          <w:rFonts w:hint="eastAsia"/>
        </w:rPr>
        <w:fldChar w:fldCharType="separate"/>
      </w:r>
      <w:r>
        <w:rPr>
          <w:rFonts w:hint="eastAsia"/>
        </w:rPr>
        <w:fldChar w:fldCharType="begin"/>
      </w:r>
      <w:r>
        <w:rPr>
          <w:rFonts w:hint="eastAsia"/>
        </w:rPr>
        <w:instrText xml:space="preserve"> HYPERLINK  \l "_Toc158300426"</w:instrText>
      </w:r>
      <w:r>
        <w:rPr>
          <w:rFonts w:hint="eastAsia"/>
        </w:rPr>
        <w:fldChar w:fldCharType="separate"/>
      </w:r>
      <w:r>
        <w:rPr>
          <w:rFonts w:hint="default"/>
        </w:rPr>
        <w:t>76</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"_Toc158300427"</w:instrText>
      </w:r>
      <w:r>
        <w:rPr>
          <w:rFonts w:hint="eastAsia"/>
        </w:rPr>
        <w:fldChar w:fldCharType="separate"/>
      </w:r>
      <w:r>
        <w:rPr>
          <w:rFonts w:hint="default"/>
        </w:rPr>
        <w:t>(</w:t>
      </w:r>
      <w:r>
        <w:rPr>
          <w:rFonts w:hint="default"/>
        </w:rPr>
        <w:t>４</w:t>
      </w:r>
      <w:r>
        <w:rPr>
          <w:rFonts w:hint="default"/>
        </w:rPr>
        <w:t>)</w:t>
      </w:r>
      <w:r>
        <w:rPr>
          <w:rFonts w:hint="default"/>
        </w:rPr>
        <w:t>福祉施設から一般就労への移行等</w:t>
      </w:r>
      <w:r>
        <w:rPr>
          <w:rFonts w:hint="default"/>
        </w:rPr>
        <w:tab/>
      </w:r>
      <w:r>
        <w:rPr>
          <w:rFonts w:hint="eastAsia"/>
        </w:rPr>
        <w:fldChar w:fldCharType="end"/>
      </w:r>
      <w:r>
        <w:rPr>
          <w:rFonts w:hint="eastAsia"/>
        </w:rPr>
        <w:fldChar w:fldCharType="begin"/>
      </w:r>
      <w:r>
        <w:rPr>
          <w:rFonts w:hint="default"/>
        </w:rPr>
        <w:instrText xml:space="preserve"> PAGEREF _Toc158300427 \h </w:instrText>
      </w:r>
      <w:r>
        <w:rPr>
          <w:rFonts w:hint="eastAsia"/>
        </w:rPr>
        <w:fldChar w:fldCharType="separate"/>
      </w:r>
      <w:r>
        <w:rPr>
          <w:rFonts w:hint="eastAsia"/>
        </w:rPr>
        <w:fldChar w:fldCharType="begin"/>
      </w:r>
      <w:r>
        <w:rPr>
          <w:rFonts w:hint="eastAsia"/>
        </w:rPr>
        <w:instrText xml:space="preserve"> HYPERLINK  \l "_Toc158300427"</w:instrText>
      </w:r>
      <w:r>
        <w:rPr>
          <w:rFonts w:hint="eastAsia"/>
        </w:rPr>
        <w:fldChar w:fldCharType="separate"/>
      </w:r>
      <w:r>
        <w:rPr>
          <w:rFonts w:hint="default"/>
        </w:rPr>
        <w:t>77</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"_Toc158300428"</w:instrText>
      </w:r>
      <w:r>
        <w:rPr>
          <w:rFonts w:hint="eastAsia"/>
        </w:rPr>
        <w:fldChar w:fldCharType="separate"/>
      </w:r>
      <w:r>
        <w:rPr>
          <w:rFonts w:hint="default"/>
        </w:rPr>
        <w:t>(</w:t>
      </w:r>
      <w:r>
        <w:rPr>
          <w:rFonts w:hint="default"/>
        </w:rPr>
        <w:t>５</w:t>
      </w:r>
      <w:r>
        <w:rPr>
          <w:rFonts w:hint="default"/>
        </w:rPr>
        <w:t>)</w:t>
      </w:r>
      <w:r>
        <w:rPr>
          <w:rFonts w:hint="default"/>
        </w:rPr>
        <w:t>相談支援体制の充実・強化等</w:t>
      </w:r>
      <w:r>
        <w:rPr>
          <w:rFonts w:hint="default"/>
        </w:rPr>
        <w:tab/>
      </w:r>
      <w:r>
        <w:rPr>
          <w:rFonts w:hint="eastAsia"/>
        </w:rPr>
        <w:fldChar w:fldCharType="end"/>
      </w:r>
      <w:r>
        <w:rPr>
          <w:rFonts w:hint="eastAsia"/>
        </w:rPr>
        <w:fldChar w:fldCharType="begin"/>
      </w:r>
      <w:r>
        <w:rPr>
          <w:rFonts w:hint="default"/>
        </w:rPr>
        <w:instrText xml:space="preserve"> PAGEREF _Toc158300428 \h </w:instrText>
      </w:r>
      <w:r>
        <w:rPr>
          <w:rFonts w:hint="eastAsia"/>
        </w:rPr>
        <w:fldChar w:fldCharType="separate"/>
      </w:r>
      <w:r>
        <w:rPr>
          <w:rFonts w:hint="eastAsia"/>
        </w:rPr>
        <w:fldChar w:fldCharType="begin"/>
      </w:r>
      <w:r>
        <w:rPr>
          <w:rFonts w:hint="eastAsia"/>
        </w:rPr>
        <w:instrText xml:space="preserve"> HYPERLINK  \l "_Toc158300428"</w:instrText>
      </w:r>
      <w:r>
        <w:rPr>
          <w:rFonts w:hint="eastAsia"/>
        </w:rPr>
        <w:fldChar w:fldCharType="separate"/>
      </w:r>
      <w:r>
        <w:rPr>
          <w:rFonts w:hint="default"/>
        </w:rPr>
        <w:t>79</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"_Toc158300429"</w:instrText>
      </w:r>
      <w:r>
        <w:rPr>
          <w:rFonts w:hint="eastAsia"/>
        </w:rPr>
        <w:fldChar w:fldCharType="separate"/>
      </w:r>
      <w:r>
        <w:rPr>
          <w:rFonts w:hint="default"/>
        </w:rPr>
        <w:t>(</w:t>
      </w:r>
      <w:r>
        <w:rPr>
          <w:rFonts w:hint="default"/>
        </w:rPr>
        <w:t>６</w:t>
      </w:r>
      <w:r>
        <w:rPr>
          <w:rFonts w:hint="default"/>
        </w:rPr>
        <w:t>)</w:t>
      </w:r>
      <w:r>
        <w:rPr>
          <w:rFonts w:hint="default"/>
        </w:rPr>
        <w:t>障害福祉サービスの質を向上させるための取組</w:t>
      </w:r>
      <w:r>
        <w:rPr>
          <w:rFonts w:hint="default"/>
        </w:rPr>
        <w:tab/>
      </w:r>
      <w:r>
        <w:rPr>
          <w:rFonts w:hint="eastAsia"/>
        </w:rPr>
        <w:fldChar w:fldCharType="end"/>
      </w:r>
      <w:r>
        <w:rPr>
          <w:rFonts w:hint="eastAsia"/>
        </w:rPr>
        <w:fldChar w:fldCharType="begin"/>
      </w:r>
      <w:r>
        <w:rPr>
          <w:rFonts w:hint="default"/>
        </w:rPr>
        <w:instrText xml:space="preserve"> PAGEREF _Toc158300429 \h </w:instrText>
      </w:r>
      <w:r>
        <w:rPr>
          <w:rFonts w:hint="eastAsia"/>
        </w:rPr>
        <w:fldChar w:fldCharType="separate"/>
      </w:r>
      <w:r>
        <w:rPr>
          <w:rFonts w:hint="eastAsia"/>
        </w:rPr>
        <w:fldChar w:fldCharType="begin"/>
      </w:r>
      <w:r>
        <w:rPr>
          <w:rFonts w:hint="eastAsia"/>
        </w:rPr>
        <w:instrText xml:space="preserve"> HYPERLINK  \l "_Toc158300429"</w:instrText>
      </w:r>
      <w:r>
        <w:rPr>
          <w:rFonts w:hint="eastAsia"/>
        </w:rPr>
        <w:fldChar w:fldCharType="separate"/>
      </w:r>
      <w:r>
        <w:rPr>
          <w:rFonts w:hint="default"/>
        </w:rPr>
        <w:t>80</w:t>
      </w:r>
      <w:r>
        <w:rPr>
          <w:rFonts w:hint="eastAsia"/>
        </w:rPr>
        <w:fldChar w:fldCharType="end"/>
      </w:r>
      <w:r>
        <w:rPr>
          <w:rFonts w:hint="eastAsia"/>
        </w:rPr>
        <w:fldChar w:fldCharType="end"/>
      </w:r>
    </w:p>
    <w:p>
      <w:pPr>
        <w:pStyle w:val="35"/>
        <w:spacing w:before="74" w:beforeLines="0" w:beforeAutospacing="0"/>
        <w:rPr>
          <w:rFonts w:hint="default" w:asciiTheme="minorHAnsi" w:hAnsiTheme="minorHAnsi" w:eastAsiaTheme="minorEastAsia"/>
          <w:sz w:val="21"/>
        </w:rPr>
      </w:pPr>
      <w:r>
        <w:rPr>
          <w:rFonts w:hint="eastAsia"/>
        </w:rPr>
        <w:fldChar w:fldCharType="begin"/>
      </w:r>
      <w:r>
        <w:rPr>
          <w:rFonts w:hint="eastAsia"/>
        </w:rPr>
        <w:instrText xml:space="preserve"> HYPERLINK  \l "_Toc158300430"</w:instrText>
      </w:r>
      <w:r>
        <w:rPr>
          <w:rFonts w:hint="eastAsia"/>
        </w:rPr>
        <w:fldChar w:fldCharType="separate"/>
      </w:r>
      <w:r>
        <w:rPr>
          <w:rFonts w:hint="default"/>
        </w:rPr>
        <w:t>２．第７期のサービス別見込量</w:t>
      </w:r>
      <w:r>
        <w:rPr>
          <w:rFonts w:hint="default"/>
        </w:rPr>
        <w:tab/>
      </w:r>
      <w:r>
        <w:rPr>
          <w:rFonts w:hint="eastAsia"/>
        </w:rPr>
        <w:fldChar w:fldCharType="end"/>
      </w:r>
      <w:r>
        <w:rPr>
          <w:rFonts w:hint="eastAsia"/>
        </w:rPr>
        <w:fldChar w:fldCharType="begin"/>
      </w:r>
      <w:r>
        <w:rPr>
          <w:rFonts w:hint="default"/>
        </w:rPr>
        <w:instrText xml:space="preserve"> PAGEREF _Toc158300430 \h </w:instrText>
      </w:r>
      <w:r>
        <w:rPr>
          <w:rFonts w:hint="eastAsia"/>
        </w:rPr>
        <w:fldChar w:fldCharType="separate"/>
      </w:r>
      <w:r>
        <w:rPr>
          <w:rFonts w:hint="eastAsia"/>
        </w:rPr>
        <w:fldChar w:fldCharType="begin"/>
      </w:r>
      <w:r>
        <w:rPr>
          <w:rFonts w:hint="eastAsia"/>
        </w:rPr>
        <w:instrText xml:space="preserve"> HYPERLINK  \l "_Toc158300430"</w:instrText>
      </w:r>
      <w:r>
        <w:rPr>
          <w:rFonts w:hint="eastAsia"/>
        </w:rPr>
        <w:fldChar w:fldCharType="separate"/>
      </w:r>
      <w:r>
        <w:rPr>
          <w:rFonts w:hint="default"/>
        </w:rPr>
        <w:t>81</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"_Toc158300431"</w:instrText>
      </w:r>
      <w:r>
        <w:rPr>
          <w:rFonts w:hint="eastAsia"/>
        </w:rPr>
        <w:fldChar w:fldCharType="separate"/>
      </w:r>
      <w:r>
        <w:rPr>
          <w:rFonts w:hint="default"/>
        </w:rPr>
        <w:t>(</w:t>
      </w:r>
      <w:r>
        <w:rPr>
          <w:rFonts w:hint="default"/>
        </w:rPr>
        <w:t>１</w:t>
      </w:r>
      <w:r>
        <w:rPr>
          <w:rFonts w:hint="default"/>
        </w:rPr>
        <w:t>)</w:t>
      </w:r>
      <w:r>
        <w:rPr>
          <w:rFonts w:hint="default"/>
        </w:rPr>
        <w:t>障害福祉サービス</w:t>
      </w:r>
      <w:r>
        <w:rPr>
          <w:rFonts w:hint="default"/>
        </w:rPr>
        <w:tab/>
      </w:r>
      <w:r>
        <w:rPr>
          <w:rFonts w:hint="eastAsia"/>
        </w:rPr>
        <w:fldChar w:fldCharType="end"/>
      </w:r>
      <w:r>
        <w:rPr>
          <w:rFonts w:hint="eastAsia"/>
        </w:rPr>
        <w:fldChar w:fldCharType="begin"/>
      </w:r>
      <w:r>
        <w:rPr>
          <w:rFonts w:hint="default"/>
        </w:rPr>
        <w:instrText xml:space="preserve"> PAGEREF _Toc158300431 \h </w:instrText>
      </w:r>
      <w:r>
        <w:rPr>
          <w:rFonts w:hint="eastAsia"/>
        </w:rPr>
        <w:fldChar w:fldCharType="separate"/>
      </w:r>
      <w:r>
        <w:rPr>
          <w:rFonts w:hint="eastAsia"/>
        </w:rPr>
        <w:fldChar w:fldCharType="begin"/>
      </w:r>
      <w:r>
        <w:rPr>
          <w:rFonts w:hint="eastAsia"/>
        </w:rPr>
        <w:instrText xml:space="preserve"> HYPERLINK  \l "_Toc158300431"</w:instrText>
      </w:r>
      <w:r>
        <w:rPr>
          <w:rFonts w:hint="eastAsia"/>
        </w:rPr>
        <w:fldChar w:fldCharType="separate"/>
      </w:r>
      <w:r>
        <w:rPr>
          <w:rFonts w:hint="default"/>
        </w:rPr>
        <w:t>81</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"_Toc158300432"</w:instrText>
      </w:r>
      <w:r>
        <w:rPr>
          <w:rFonts w:hint="eastAsia"/>
        </w:rPr>
        <w:fldChar w:fldCharType="separate"/>
      </w:r>
      <w:r>
        <w:rPr>
          <w:rFonts w:hint="default"/>
        </w:rPr>
        <w:t>(</w:t>
      </w:r>
      <w:r>
        <w:rPr>
          <w:rFonts w:hint="default"/>
        </w:rPr>
        <w:t>２</w:t>
      </w:r>
      <w:r>
        <w:rPr>
          <w:rFonts w:hint="default"/>
        </w:rPr>
        <w:t>)</w:t>
      </w:r>
      <w:r>
        <w:rPr>
          <w:rFonts w:hint="default"/>
        </w:rPr>
        <w:t>地域生活支援事業（市町村事業）</w:t>
      </w:r>
      <w:r>
        <w:rPr>
          <w:rFonts w:hint="default"/>
        </w:rPr>
        <w:tab/>
      </w:r>
      <w:r>
        <w:rPr>
          <w:rFonts w:hint="eastAsia"/>
        </w:rPr>
        <w:fldChar w:fldCharType="end"/>
      </w:r>
      <w:r>
        <w:rPr>
          <w:rFonts w:hint="eastAsia"/>
        </w:rPr>
        <w:fldChar w:fldCharType="begin"/>
      </w:r>
      <w:r>
        <w:rPr>
          <w:rFonts w:hint="default"/>
        </w:rPr>
        <w:instrText xml:space="preserve"> PAGEREF _Toc158300432 \h </w:instrText>
      </w:r>
      <w:r>
        <w:rPr>
          <w:rFonts w:hint="eastAsia"/>
        </w:rPr>
        <w:fldChar w:fldCharType="separate"/>
      </w:r>
      <w:r>
        <w:rPr>
          <w:rFonts w:hint="eastAsia"/>
        </w:rPr>
        <w:fldChar w:fldCharType="begin"/>
      </w:r>
      <w:r>
        <w:rPr>
          <w:rFonts w:hint="eastAsia"/>
        </w:rPr>
        <w:instrText xml:space="preserve"> HYPERLINK  \l "_Toc158300432"</w:instrText>
      </w:r>
      <w:r>
        <w:rPr>
          <w:rFonts w:hint="eastAsia"/>
        </w:rPr>
        <w:fldChar w:fldCharType="separate"/>
      </w:r>
      <w:r>
        <w:rPr>
          <w:rFonts w:hint="default"/>
        </w:rPr>
        <w:t>106</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"_Toc158300433"</w:instrText>
      </w:r>
      <w:r>
        <w:rPr>
          <w:rFonts w:hint="eastAsia"/>
        </w:rPr>
        <w:fldChar w:fldCharType="separate"/>
      </w:r>
      <w:r>
        <w:rPr>
          <w:rFonts w:hint="default"/>
        </w:rPr>
        <w:t>(</w:t>
      </w:r>
      <w:r>
        <w:rPr>
          <w:rFonts w:hint="default"/>
        </w:rPr>
        <w:t>３</w:t>
      </w:r>
      <w:r>
        <w:rPr>
          <w:rFonts w:hint="default"/>
        </w:rPr>
        <w:t>)</w:t>
      </w:r>
      <w:r>
        <w:rPr>
          <w:rFonts w:hint="default"/>
        </w:rPr>
        <w:t>地域生活支援促進事業（市町村事業）</w:t>
      </w:r>
      <w:r>
        <w:rPr>
          <w:rFonts w:hint="default"/>
        </w:rPr>
        <w:tab/>
      </w:r>
      <w:r>
        <w:rPr>
          <w:rFonts w:hint="eastAsia"/>
        </w:rPr>
        <w:fldChar w:fldCharType="end"/>
      </w:r>
      <w:r>
        <w:rPr>
          <w:rFonts w:hint="eastAsia"/>
        </w:rPr>
        <w:fldChar w:fldCharType="begin"/>
      </w:r>
      <w:r>
        <w:rPr>
          <w:rFonts w:hint="default"/>
        </w:rPr>
        <w:instrText xml:space="preserve"> PAGEREF _Toc158300433 \h </w:instrText>
      </w:r>
      <w:r>
        <w:rPr>
          <w:rFonts w:hint="eastAsia"/>
        </w:rPr>
        <w:fldChar w:fldCharType="separate"/>
      </w:r>
      <w:r>
        <w:rPr>
          <w:rFonts w:hint="eastAsia"/>
        </w:rPr>
        <w:fldChar w:fldCharType="begin"/>
      </w:r>
      <w:r>
        <w:rPr>
          <w:rFonts w:hint="eastAsia"/>
        </w:rPr>
        <w:instrText xml:space="preserve"> HYPERLINK  \l "_Toc158300433"</w:instrText>
      </w:r>
      <w:r>
        <w:rPr>
          <w:rFonts w:hint="eastAsia"/>
        </w:rPr>
        <w:fldChar w:fldCharType="separate"/>
      </w:r>
      <w:r>
        <w:rPr>
          <w:rFonts w:hint="default"/>
        </w:rPr>
        <w:t>122</w:t>
      </w:r>
      <w:r>
        <w:rPr>
          <w:rFonts w:hint="eastAsia"/>
        </w:rPr>
        <w:fldChar w:fldCharType="end"/>
      </w:r>
      <w:r>
        <w:rPr>
          <w:rFonts w:hint="eastAsia"/>
        </w:rPr>
        <w:fldChar w:fldCharType="end"/>
      </w:r>
    </w:p>
    <w:p>
      <w:pPr>
        <w:pStyle w:val="34"/>
        <w:spacing w:before="111" w:beforeLines="0" w:beforeAutospacing="0"/>
        <w:rPr>
          <w:rFonts w:hint="default" w:asciiTheme="minorHAnsi" w:hAnsiTheme="minorHAnsi" w:eastAsiaTheme="minorEastAsia"/>
          <w:sz w:val="21"/>
        </w:rPr>
      </w:pPr>
      <w:r>
        <w:rPr>
          <w:rFonts w:hint="eastAsia"/>
        </w:rPr>
        <w:fldChar w:fldCharType="begin"/>
      </w:r>
      <w:r>
        <w:rPr>
          <w:rFonts w:hint="eastAsia"/>
        </w:rPr>
        <w:instrText xml:space="preserve"> HYPERLINK  \l "_Toc158300434"</w:instrText>
      </w:r>
      <w:r>
        <w:rPr>
          <w:rFonts w:hint="eastAsia"/>
        </w:rPr>
        <w:fldChar w:fldCharType="separate"/>
      </w:r>
      <w:r>
        <w:rPr>
          <w:rFonts w:hint="default"/>
        </w:rPr>
        <w:t>第６章　第３期障がい児福祉計画</w:t>
      </w:r>
      <w:r>
        <w:rPr>
          <w:rFonts w:hint="default"/>
        </w:rPr>
        <w:tab/>
      </w:r>
      <w:r>
        <w:rPr>
          <w:rFonts w:hint="eastAsia"/>
        </w:rPr>
        <w:fldChar w:fldCharType="end"/>
      </w:r>
      <w:r>
        <w:rPr>
          <w:rFonts w:hint="eastAsia"/>
        </w:rPr>
        <w:fldChar w:fldCharType="begin"/>
      </w:r>
      <w:r>
        <w:rPr>
          <w:rFonts w:hint="default"/>
        </w:rPr>
        <w:instrText xml:space="preserve"> PAGEREF _Toc158300434 \h </w:instrText>
      </w:r>
      <w:r>
        <w:rPr>
          <w:rFonts w:hint="eastAsia"/>
        </w:rPr>
        <w:fldChar w:fldCharType="separate"/>
      </w:r>
      <w:r>
        <w:rPr>
          <w:rFonts w:hint="eastAsia"/>
        </w:rPr>
        <w:fldChar w:fldCharType="begin"/>
      </w:r>
      <w:r>
        <w:rPr>
          <w:rFonts w:hint="eastAsia"/>
        </w:rPr>
        <w:instrText xml:space="preserve"> HYPERLINK  \l "_Toc158300434"</w:instrText>
      </w:r>
      <w:r>
        <w:rPr>
          <w:rFonts w:hint="eastAsia"/>
        </w:rPr>
        <w:fldChar w:fldCharType="separate"/>
      </w:r>
      <w:r>
        <w:rPr>
          <w:rFonts w:hint="default"/>
        </w:rPr>
        <w:t>129</w:t>
      </w:r>
      <w:r>
        <w:rPr>
          <w:rFonts w:hint="eastAsia"/>
        </w:rPr>
        <w:fldChar w:fldCharType="end"/>
      </w:r>
      <w:r>
        <w:rPr>
          <w:rFonts w:hint="eastAsia"/>
        </w:rPr>
        <w:fldChar w:fldCharType="end"/>
      </w:r>
    </w:p>
    <w:p>
      <w:pPr>
        <w:pStyle w:val="35"/>
        <w:spacing w:before="74" w:beforeLines="0" w:beforeAutospacing="0"/>
        <w:rPr>
          <w:rFonts w:hint="default" w:asciiTheme="minorHAnsi" w:hAnsiTheme="minorHAnsi" w:eastAsiaTheme="minorEastAsia"/>
          <w:sz w:val="21"/>
        </w:rPr>
      </w:pPr>
      <w:r>
        <w:rPr>
          <w:rFonts w:hint="eastAsia"/>
        </w:rPr>
        <w:fldChar w:fldCharType="begin"/>
      </w:r>
      <w:r>
        <w:rPr>
          <w:rFonts w:hint="eastAsia"/>
        </w:rPr>
        <w:instrText xml:space="preserve"> HYPERLINK  \l "_Toc158300435"</w:instrText>
      </w:r>
      <w:r>
        <w:rPr>
          <w:rFonts w:hint="eastAsia"/>
        </w:rPr>
        <w:fldChar w:fldCharType="separate"/>
      </w:r>
      <w:r>
        <w:rPr>
          <w:rFonts w:hint="default"/>
        </w:rPr>
        <w:t>１．成果目標</w:t>
      </w:r>
      <w:r>
        <w:rPr>
          <w:rFonts w:hint="default"/>
        </w:rPr>
        <w:tab/>
      </w:r>
      <w:r>
        <w:rPr>
          <w:rFonts w:hint="eastAsia"/>
        </w:rPr>
        <w:fldChar w:fldCharType="end"/>
      </w:r>
      <w:r>
        <w:rPr>
          <w:rFonts w:hint="eastAsia"/>
        </w:rPr>
        <w:fldChar w:fldCharType="begin"/>
      </w:r>
      <w:r>
        <w:rPr>
          <w:rFonts w:hint="default"/>
        </w:rPr>
        <w:instrText xml:space="preserve"> PAGEREF _Toc158300435 \h </w:instrText>
      </w:r>
      <w:r>
        <w:rPr>
          <w:rFonts w:hint="eastAsia"/>
        </w:rPr>
        <w:fldChar w:fldCharType="separate"/>
      </w:r>
      <w:r>
        <w:rPr>
          <w:rFonts w:hint="eastAsia"/>
        </w:rPr>
        <w:fldChar w:fldCharType="begin"/>
      </w:r>
      <w:r>
        <w:rPr>
          <w:rFonts w:hint="eastAsia"/>
        </w:rPr>
        <w:instrText xml:space="preserve"> HYPERLINK  \l "_Toc158300435"</w:instrText>
      </w:r>
      <w:r>
        <w:rPr>
          <w:rFonts w:hint="eastAsia"/>
        </w:rPr>
        <w:fldChar w:fldCharType="separate"/>
      </w:r>
      <w:r>
        <w:rPr>
          <w:rFonts w:hint="default"/>
        </w:rPr>
        <w:t>129</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"_Toc158300436"</w:instrText>
      </w:r>
      <w:r>
        <w:rPr>
          <w:rFonts w:hint="eastAsia"/>
        </w:rPr>
        <w:fldChar w:fldCharType="separate"/>
      </w:r>
      <w:r>
        <w:rPr>
          <w:rFonts w:hint="default"/>
        </w:rPr>
        <w:t>(</w:t>
      </w:r>
      <w:r>
        <w:rPr>
          <w:rFonts w:hint="default"/>
        </w:rPr>
        <w:t>１</w:t>
      </w:r>
      <w:r>
        <w:rPr>
          <w:rFonts w:hint="default"/>
        </w:rPr>
        <w:t>)</w:t>
      </w:r>
      <w:r>
        <w:rPr>
          <w:rFonts w:hint="default"/>
        </w:rPr>
        <w:t>障がい児福祉計画に係る障がい児の子ども・子育て支援等の提供体制の整備</w:t>
      </w:r>
      <w:r>
        <w:rPr>
          <w:rFonts w:hint="default"/>
        </w:rPr>
        <w:tab/>
      </w:r>
      <w:r>
        <w:rPr>
          <w:rFonts w:hint="eastAsia"/>
        </w:rPr>
        <w:fldChar w:fldCharType="end"/>
      </w:r>
      <w:r>
        <w:rPr>
          <w:rFonts w:hint="eastAsia"/>
        </w:rPr>
        <w:fldChar w:fldCharType="begin"/>
      </w:r>
      <w:r>
        <w:rPr>
          <w:rFonts w:hint="default"/>
        </w:rPr>
        <w:instrText xml:space="preserve"> PAGEREF _Toc158300436 \h </w:instrText>
      </w:r>
      <w:r>
        <w:rPr>
          <w:rFonts w:hint="eastAsia"/>
        </w:rPr>
        <w:fldChar w:fldCharType="separate"/>
      </w:r>
      <w:r>
        <w:rPr>
          <w:rFonts w:hint="eastAsia"/>
        </w:rPr>
        <w:fldChar w:fldCharType="begin"/>
      </w:r>
      <w:r>
        <w:rPr>
          <w:rFonts w:hint="eastAsia"/>
        </w:rPr>
        <w:instrText xml:space="preserve"> HYPERLINK  \l "_Toc158300436"</w:instrText>
      </w:r>
      <w:r>
        <w:rPr>
          <w:rFonts w:hint="eastAsia"/>
        </w:rPr>
        <w:fldChar w:fldCharType="separate"/>
      </w:r>
      <w:r>
        <w:rPr>
          <w:rFonts w:hint="default"/>
        </w:rPr>
        <w:t>129</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"_Toc158300437"</w:instrText>
      </w:r>
      <w:r>
        <w:rPr>
          <w:rFonts w:hint="eastAsia"/>
        </w:rPr>
        <w:fldChar w:fldCharType="separate"/>
      </w:r>
      <w:r>
        <w:rPr>
          <w:rFonts w:hint="default"/>
        </w:rPr>
        <w:t>(</w:t>
      </w:r>
      <w:r>
        <w:rPr>
          <w:rFonts w:hint="default"/>
        </w:rPr>
        <w:t>２</w:t>
      </w:r>
      <w:r>
        <w:rPr>
          <w:rFonts w:hint="default"/>
        </w:rPr>
        <w:t>)</w:t>
      </w:r>
      <w:r>
        <w:rPr>
          <w:rFonts w:hint="default"/>
        </w:rPr>
        <w:t>障がい児支援の提供体制の整備等</w:t>
      </w:r>
      <w:r>
        <w:rPr>
          <w:rFonts w:hint="default"/>
        </w:rPr>
        <w:tab/>
      </w:r>
      <w:r>
        <w:rPr>
          <w:rFonts w:hint="eastAsia"/>
        </w:rPr>
        <w:fldChar w:fldCharType="end"/>
      </w:r>
      <w:r>
        <w:rPr>
          <w:rFonts w:hint="eastAsia"/>
        </w:rPr>
        <w:fldChar w:fldCharType="begin"/>
      </w:r>
      <w:r>
        <w:rPr>
          <w:rFonts w:hint="default"/>
        </w:rPr>
        <w:instrText xml:space="preserve"> PAGEREF _Toc158300437 \h </w:instrText>
      </w:r>
      <w:r>
        <w:rPr>
          <w:rFonts w:hint="eastAsia"/>
        </w:rPr>
        <w:fldChar w:fldCharType="separate"/>
      </w:r>
      <w:r>
        <w:rPr>
          <w:rFonts w:hint="eastAsia"/>
        </w:rPr>
        <w:fldChar w:fldCharType="begin"/>
      </w:r>
      <w:r>
        <w:rPr>
          <w:rFonts w:hint="eastAsia"/>
        </w:rPr>
        <w:instrText xml:space="preserve"> HYPERLINK  \l "_Toc158300437"</w:instrText>
      </w:r>
      <w:r>
        <w:rPr>
          <w:rFonts w:hint="eastAsia"/>
        </w:rPr>
        <w:fldChar w:fldCharType="separate"/>
      </w:r>
      <w:r>
        <w:rPr>
          <w:rFonts w:hint="default"/>
        </w:rPr>
        <w:t>129</w:t>
      </w:r>
      <w:r>
        <w:rPr>
          <w:rFonts w:hint="eastAsia"/>
        </w:rPr>
        <w:fldChar w:fldCharType="end"/>
      </w:r>
      <w:r>
        <w:rPr>
          <w:rFonts w:hint="eastAsia"/>
        </w:rPr>
        <w:fldChar w:fldCharType="end"/>
      </w:r>
    </w:p>
    <w:p>
      <w:pPr>
        <w:pStyle w:val="35"/>
        <w:spacing w:before="74" w:beforeLines="0" w:beforeAutospacing="0"/>
        <w:rPr>
          <w:rFonts w:hint="default" w:asciiTheme="minorHAnsi" w:hAnsiTheme="minorHAnsi" w:eastAsiaTheme="minorEastAsia"/>
          <w:sz w:val="21"/>
        </w:rPr>
      </w:pPr>
      <w:r>
        <w:rPr>
          <w:rFonts w:hint="eastAsia"/>
        </w:rPr>
        <w:fldChar w:fldCharType="begin"/>
      </w:r>
      <w:r>
        <w:rPr>
          <w:rFonts w:hint="eastAsia"/>
        </w:rPr>
        <w:instrText xml:space="preserve"> HYPERLINK  \l "_Toc158300438"</w:instrText>
      </w:r>
      <w:r>
        <w:rPr>
          <w:rFonts w:hint="eastAsia"/>
        </w:rPr>
        <w:fldChar w:fldCharType="separate"/>
      </w:r>
      <w:r>
        <w:rPr>
          <w:rFonts w:hint="default"/>
        </w:rPr>
        <w:t>２．第３期のサービス別見込量</w:t>
      </w:r>
      <w:r>
        <w:rPr>
          <w:rFonts w:hint="default"/>
        </w:rPr>
        <w:tab/>
      </w:r>
      <w:r>
        <w:rPr>
          <w:rFonts w:hint="eastAsia"/>
        </w:rPr>
        <w:fldChar w:fldCharType="end"/>
      </w:r>
      <w:r>
        <w:rPr>
          <w:rFonts w:hint="eastAsia"/>
        </w:rPr>
        <w:fldChar w:fldCharType="begin"/>
      </w:r>
      <w:r>
        <w:rPr>
          <w:rFonts w:hint="default"/>
        </w:rPr>
        <w:instrText xml:space="preserve"> PAGEREF _Toc158300438 \h </w:instrText>
      </w:r>
      <w:r>
        <w:rPr>
          <w:rFonts w:hint="eastAsia"/>
        </w:rPr>
        <w:fldChar w:fldCharType="separate"/>
      </w:r>
      <w:r>
        <w:rPr>
          <w:rFonts w:hint="eastAsia"/>
        </w:rPr>
        <w:fldChar w:fldCharType="begin"/>
      </w:r>
      <w:r>
        <w:rPr>
          <w:rFonts w:hint="eastAsia"/>
        </w:rPr>
        <w:instrText xml:space="preserve"> HYPERLINK  \l "_Toc158300438"</w:instrText>
      </w:r>
      <w:r>
        <w:rPr>
          <w:rFonts w:hint="eastAsia"/>
        </w:rPr>
        <w:fldChar w:fldCharType="separate"/>
      </w:r>
      <w:r>
        <w:rPr>
          <w:rFonts w:hint="default"/>
        </w:rPr>
        <w:t>131</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"_Toc158300439"</w:instrText>
      </w:r>
      <w:r>
        <w:rPr>
          <w:rFonts w:hint="eastAsia"/>
        </w:rPr>
        <w:fldChar w:fldCharType="separate"/>
      </w:r>
      <w:r>
        <w:rPr>
          <w:rFonts w:hint="default"/>
        </w:rPr>
        <w:t>(</w:t>
      </w:r>
      <w:r>
        <w:rPr>
          <w:rFonts w:hint="default"/>
        </w:rPr>
        <w:t>１</w:t>
      </w:r>
      <w:r>
        <w:rPr>
          <w:rFonts w:hint="default"/>
        </w:rPr>
        <w:t>)</w:t>
      </w:r>
      <w:r>
        <w:rPr>
          <w:rFonts w:hint="default"/>
        </w:rPr>
        <w:t>障害児通所支援</w:t>
      </w:r>
      <w:r>
        <w:rPr>
          <w:rFonts w:hint="default"/>
        </w:rPr>
        <w:tab/>
      </w:r>
      <w:r>
        <w:rPr>
          <w:rFonts w:hint="eastAsia"/>
        </w:rPr>
        <w:fldChar w:fldCharType="end"/>
      </w:r>
      <w:r>
        <w:rPr>
          <w:rFonts w:hint="eastAsia"/>
        </w:rPr>
        <w:fldChar w:fldCharType="begin"/>
      </w:r>
      <w:r>
        <w:rPr>
          <w:rFonts w:hint="default"/>
        </w:rPr>
        <w:instrText xml:space="preserve"> PAGEREF _Toc158300439 \h </w:instrText>
      </w:r>
      <w:r>
        <w:rPr>
          <w:rFonts w:hint="eastAsia"/>
        </w:rPr>
        <w:fldChar w:fldCharType="separate"/>
      </w:r>
      <w:r>
        <w:rPr>
          <w:rFonts w:hint="eastAsia"/>
        </w:rPr>
        <w:fldChar w:fldCharType="begin"/>
      </w:r>
      <w:r>
        <w:rPr>
          <w:rFonts w:hint="eastAsia"/>
        </w:rPr>
        <w:instrText xml:space="preserve"> HYPERLINK  \l "_Toc158300439"</w:instrText>
      </w:r>
      <w:r>
        <w:rPr>
          <w:rFonts w:hint="eastAsia"/>
        </w:rPr>
        <w:fldChar w:fldCharType="separate"/>
      </w:r>
      <w:r>
        <w:rPr>
          <w:rFonts w:hint="default"/>
        </w:rPr>
        <w:t>131</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"_Toc158300440"</w:instrText>
      </w:r>
      <w:r>
        <w:rPr>
          <w:rFonts w:hint="eastAsia"/>
        </w:rPr>
        <w:fldChar w:fldCharType="separate"/>
      </w:r>
      <w:r>
        <w:rPr>
          <w:rFonts w:hint="default"/>
        </w:rPr>
        <w:t>(</w:t>
      </w:r>
      <w:r>
        <w:rPr>
          <w:rFonts w:hint="default"/>
        </w:rPr>
        <w:t>２</w:t>
      </w:r>
      <w:r>
        <w:rPr>
          <w:rFonts w:hint="default"/>
        </w:rPr>
        <w:t>)</w:t>
      </w:r>
      <w:r>
        <w:rPr>
          <w:rFonts w:hint="default"/>
        </w:rPr>
        <w:t>障害児通所支援のサービス見込量確保のための方策</w:t>
      </w:r>
      <w:r>
        <w:rPr>
          <w:rFonts w:hint="default"/>
        </w:rPr>
        <w:tab/>
      </w:r>
      <w:r>
        <w:rPr>
          <w:rFonts w:hint="eastAsia"/>
        </w:rPr>
        <w:fldChar w:fldCharType="end"/>
      </w:r>
      <w:r>
        <w:rPr>
          <w:rFonts w:hint="eastAsia"/>
        </w:rPr>
        <w:fldChar w:fldCharType="begin"/>
      </w:r>
      <w:r>
        <w:rPr>
          <w:rFonts w:hint="default"/>
        </w:rPr>
        <w:instrText xml:space="preserve"> PAGEREF _Toc158300440 \h </w:instrText>
      </w:r>
      <w:r>
        <w:rPr>
          <w:rFonts w:hint="eastAsia"/>
        </w:rPr>
        <w:fldChar w:fldCharType="separate"/>
      </w:r>
      <w:r>
        <w:rPr>
          <w:rFonts w:hint="eastAsia"/>
        </w:rPr>
        <w:fldChar w:fldCharType="begin"/>
      </w:r>
      <w:r>
        <w:rPr>
          <w:rFonts w:hint="eastAsia"/>
        </w:rPr>
        <w:instrText xml:space="preserve"> HYPERLINK  \l "_Toc158300440"</w:instrText>
      </w:r>
      <w:r>
        <w:rPr>
          <w:rFonts w:hint="eastAsia"/>
        </w:rPr>
        <w:fldChar w:fldCharType="separate"/>
      </w:r>
      <w:r>
        <w:rPr>
          <w:rFonts w:hint="default"/>
        </w:rPr>
        <w:t>137</w:t>
      </w:r>
      <w:r>
        <w:rPr>
          <w:rFonts w:hint="eastAsia"/>
        </w:rPr>
        <w:fldChar w:fldCharType="end"/>
      </w:r>
      <w:r>
        <w:rPr>
          <w:rFonts w:hint="eastAsia"/>
        </w:rPr>
        <w:fldChar w:fldCharType="end"/>
      </w:r>
    </w:p>
    <w:p>
      <w:pPr>
        <w:pStyle w:val="34"/>
        <w:spacing w:before="111" w:beforeLines="0" w:beforeAutospacing="0"/>
        <w:rPr>
          <w:rFonts w:hint="default" w:asciiTheme="minorHAnsi" w:hAnsiTheme="minorHAnsi" w:eastAsiaTheme="minorEastAsia"/>
          <w:sz w:val="21"/>
        </w:rPr>
      </w:pPr>
      <w:r>
        <w:rPr>
          <w:rFonts w:hint="eastAsia"/>
        </w:rPr>
        <w:fldChar w:fldCharType="begin"/>
      </w:r>
      <w:r>
        <w:rPr>
          <w:rFonts w:hint="eastAsia"/>
        </w:rPr>
        <w:instrText xml:space="preserve"> HYPERLINK  \l "_Toc158300441"</w:instrText>
      </w:r>
      <w:r>
        <w:rPr>
          <w:rFonts w:hint="eastAsia"/>
        </w:rPr>
        <w:fldChar w:fldCharType="separate"/>
      </w:r>
      <w:r>
        <w:rPr>
          <w:rFonts w:hint="default"/>
        </w:rPr>
        <w:t>第７章　計画の推進に向けて</w:t>
      </w:r>
      <w:r>
        <w:rPr>
          <w:rFonts w:hint="default"/>
        </w:rPr>
        <w:tab/>
      </w:r>
      <w:r>
        <w:rPr>
          <w:rFonts w:hint="eastAsia"/>
        </w:rPr>
        <w:fldChar w:fldCharType="end"/>
      </w:r>
      <w:r>
        <w:rPr>
          <w:rFonts w:hint="eastAsia"/>
        </w:rPr>
        <w:fldChar w:fldCharType="begin"/>
      </w:r>
      <w:r>
        <w:rPr>
          <w:rFonts w:hint="default"/>
        </w:rPr>
        <w:instrText xml:space="preserve"> PAGEREF _Toc158300441 \h </w:instrText>
      </w:r>
      <w:r>
        <w:rPr>
          <w:rFonts w:hint="eastAsia"/>
        </w:rPr>
        <w:fldChar w:fldCharType="separate"/>
      </w:r>
      <w:r>
        <w:rPr>
          <w:rFonts w:hint="eastAsia"/>
        </w:rPr>
        <w:fldChar w:fldCharType="begin"/>
      </w:r>
      <w:r>
        <w:rPr>
          <w:rFonts w:hint="eastAsia"/>
        </w:rPr>
        <w:instrText xml:space="preserve"> HYPERLINK  \l "_Toc158300441"</w:instrText>
      </w:r>
      <w:r>
        <w:rPr>
          <w:rFonts w:hint="eastAsia"/>
        </w:rPr>
        <w:fldChar w:fldCharType="separate"/>
      </w:r>
      <w:r>
        <w:rPr>
          <w:rFonts w:hint="default"/>
        </w:rPr>
        <w:t>139</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"_Toc158300442"</w:instrText>
      </w:r>
      <w:r>
        <w:rPr>
          <w:rFonts w:hint="eastAsia"/>
        </w:rPr>
        <w:fldChar w:fldCharType="separate"/>
      </w:r>
      <w:r>
        <w:rPr>
          <w:rFonts w:hint="default"/>
        </w:rPr>
        <w:t>１．庁内計画推進体制の整備</w:t>
      </w:r>
      <w:r>
        <w:rPr>
          <w:rFonts w:hint="default"/>
        </w:rPr>
        <w:tab/>
      </w:r>
      <w:r>
        <w:rPr>
          <w:rFonts w:hint="eastAsia"/>
        </w:rPr>
        <w:fldChar w:fldCharType="end"/>
      </w:r>
      <w:r>
        <w:rPr>
          <w:rFonts w:hint="eastAsia"/>
        </w:rPr>
        <w:fldChar w:fldCharType="begin"/>
      </w:r>
      <w:r>
        <w:rPr>
          <w:rFonts w:hint="default"/>
        </w:rPr>
        <w:instrText xml:space="preserve"> PAGEREF _Toc158300442 \h </w:instrText>
      </w:r>
      <w:r>
        <w:rPr>
          <w:rFonts w:hint="eastAsia"/>
        </w:rPr>
        <w:fldChar w:fldCharType="separate"/>
      </w:r>
      <w:r>
        <w:rPr>
          <w:rFonts w:hint="eastAsia"/>
        </w:rPr>
        <w:fldChar w:fldCharType="begin"/>
      </w:r>
      <w:r>
        <w:rPr>
          <w:rFonts w:hint="eastAsia"/>
        </w:rPr>
        <w:instrText xml:space="preserve"> HYPERLINK  \l "_Toc158300442"</w:instrText>
      </w:r>
      <w:r>
        <w:rPr>
          <w:rFonts w:hint="eastAsia"/>
        </w:rPr>
        <w:fldChar w:fldCharType="separate"/>
      </w:r>
      <w:r>
        <w:rPr>
          <w:rFonts w:hint="default"/>
        </w:rPr>
        <w:t>139</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"_Toc158300443"</w:instrText>
      </w:r>
      <w:r>
        <w:rPr>
          <w:rFonts w:hint="eastAsia"/>
        </w:rPr>
        <w:fldChar w:fldCharType="separate"/>
      </w:r>
      <w:r>
        <w:rPr>
          <w:rFonts w:hint="default"/>
        </w:rPr>
        <w:t>２．地域及び関係機関等との連携</w:t>
      </w:r>
      <w:r>
        <w:rPr>
          <w:rFonts w:hint="default"/>
        </w:rPr>
        <w:tab/>
      </w:r>
      <w:r>
        <w:rPr>
          <w:rFonts w:hint="eastAsia"/>
        </w:rPr>
        <w:fldChar w:fldCharType="end"/>
      </w:r>
      <w:r>
        <w:rPr>
          <w:rFonts w:hint="eastAsia"/>
        </w:rPr>
        <w:fldChar w:fldCharType="begin"/>
      </w:r>
      <w:r>
        <w:rPr>
          <w:rFonts w:hint="default"/>
        </w:rPr>
        <w:instrText xml:space="preserve"> PAGEREF _Toc158300443 \h </w:instrText>
      </w:r>
      <w:r>
        <w:rPr>
          <w:rFonts w:hint="eastAsia"/>
        </w:rPr>
        <w:fldChar w:fldCharType="separate"/>
      </w:r>
      <w:r>
        <w:rPr>
          <w:rFonts w:hint="eastAsia"/>
        </w:rPr>
        <w:fldChar w:fldCharType="begin"/>
      </w:r>
      <w:r>
        <w:rPr>
          <w:rFonts w:hint="eastAsia"/>
        </w:rPr>
        <w:instrText xml:space="preserve"> HYPERLINK  \l "_Toc158300443"</w:instrText>
      </w:r>
      <w:r>
        <w:rPr>
          <w:rFonts w:hint="eastAsia"/>
        </w:rPr>
        <w:fldChar w:fldCharType="separate"/>
      </w:r>
      <w:r>
        <w:rPr>
          <w:rFonts w:hint="default"/>
        </w:rPr>
        <w:t>139</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"_Toc158300444"</w:instrText>
      </w:r>
      <w:r>
        <w:rPr>
          <w:rFonts w:hint="eastAsia"/>
        </w:rPr>
        <w:fldChar w:fldCharType="separate"/>
      </w:r>
      <w:r>
        <w:rPr>
          <w:rFonts w:hint="default"/>
        </w:rPr>
        <w:t>３．人材の確保</w:t>
      </w:r>
      <w:r>
        <w:rPr>
          <w:rFonts w:hint="default"/>
        </w:rPr>
        <w:tab/>
      </w:r>
      <w:r>
        <w:rPr>
          <w:rFonts w:hint="eastAsia"/>
        </w:rPr>
        <w:fldChar w:fldCharType="end"/>
      </w:r>
      <w:r>
        <w:rPr>
          <w:rFonts w:hint="eastAsia"/>
        </w:rPr>
        <w:fldChar w:fldCharType="begin"/>
      </w:r>
      <w:r>
        <w:rPr>
          <w:rFonts w:hint="default"/>
        </w:rPr>
        <w:instrText xml:space="preserve"> PAGEREF _Toc158300444 \h </w:instrText>
      </w:r>
      <w:r>
        <w:rPr>
          <w:rFonts w:hint="eastAsia"/>
        </w:rPr>
        <w:fldChar w:fldCharType="separate"/>
      </w:r>
      <w:r>
        <w:rPr>
          <w:rFonts w:hint="eastAsia"/>
        </w:rPr>
        <w:fldChar w:fldCharType="begin"/>
      </w:r>
      <w:r>
        <w:rPr>
          <w:rFonts w:hint="eastAsia"/>
        </w:rPr>
        <w:instrText xml:space="preserve"> HYPERLINK  \l "_Toc158300444"</w:instrText>
      </w:r>
      <w:r>
        <w:rPr>
          <w:rFonts w:hint="eastAsia"/>
        </w:rPr>
        <w:fldChar w:fldCharType="separate"/>
      </w:r>
      <w:r>
        <w:rPr>
          <w:rFonts w:hint="default"/>
        </w:rPr>
        <w:t>139</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"_Toc158300445"</w:instrText>
      </w:r>
      <w:r>
        <w:rPr>
          <w:rFonts w:hint="eastAsia"/>
        </w:rPr>
        <w:fldChar w:fldCharType="separate"/>
      </w:r>
      <w:r>
        <w:rPr>
          <w:rFonts w:hint="default"/>
        </w:rPr>
        <w:t>４．計画の周知</w:t>
      </w:r>
      <w:r>
        <w:rPr>
          <w:rFonts w:hint="default"/>
        </w:rPr>
        <w:tab/>
      </w:r>
      <w:r>
        <w:rPr>
          <w:rFonts w:hint="eastAsia"/>
        </w:rPr>
        <w:fldChar w:fldCharType="end"/>
      </w:r>
      <w:r>
        <w:rPr>
          <w:rFonts w:hint="eastAsia"/>
        </w:rPr>
        <w:fldChar w:fldCharType="begin"/>
      </w:r>
      <w:r>
        <w:rPr>
          <w:rFonts w:hint="default"/>
        </w:rPr>
        <w:instrText xml:space="preserve"> PAGEREF _Toc158300445 \h </w:instrText>
      </w:r>
      <w:r>
        <w:rPr>
          <w:rFonts w:hint="eastAsia"/>
        </w:rPr>
        <w:fldChar w:fldCharType="separate"/>
      </w:r>
      <w:r>
        <w:rPr>
          <w:rFonts w:hint="eastAsia"/>
        </w:rPr>
        <w:fldChar w:fldCharType="begin"/>
      </w:r>
      <w:r>
        <w:rPr>
          <w:rFonts w:hint="eastAsia"/>
        </w:rPr>
        <w:instrText xml:space="preserve"> HYPERLINK  \l "_Toc158300445"</w:instrText>
      </w:r>
      <w:r>
        <w:rPr>
          <w:rFonts w:hint="eastAsia"/>
        </w:rPr>
        <w:fldChar w:fldCharType="separate"/>
      </w:r>
      <w:r>
        <w:rPr>
          <w:rFonts w:hint="default"/>
        </w:rPr>
        <w:t>139</w:t>
      </w:r>
      <w:r>
        <w:rPr>
          <w:rFonts w:hint="eastAsia"/>
        </w:rPr>
        <w:fldChar w:fldCharType="end"/>
      </w:r>
      <w:r>
        <w:rPr>
          <w:rFonts w:hint="eastAsia"/>
        </w:rPr>
        <w:fldChar w:fldCharType="end"/>
      </w:r>
    </w:p>
    <w:p>
      <w:pPr>
        <w:pStyle w:val="36"/>
        <w:ind w:left="448"/>
        <w:rPr>
          <w:rFonts w:hint="default" w:asciiTheme="minorHAnsi" w:hAnsiTheme="minorHAnsi" w:eastAsiaTheme="minorEastAsia"/>
          <w:sz w:val="21"/>
        </w:rPr>
      </w:pPr>
      <w:r>
        <w:rPr>
          <w:rFonts w:hint="eastAsia"/>
        </w:rPr>
        <w:fldChar w:fldCharType="begin"/>
      </w:r>
      <w:r>
        <w:rPr>
          <w:rFonts w:hint="eastAsia"/>
        </w:rPr>
        <w:instrText xml:space="preserve"> HYPERLINK  \l "_Toc158300446"</w:instrText>
      </w:r>
      <w:r>
        <w:rPr>
          <w:rFonts w:hint="eastAsia"/>
        </w:rPr>
        <w:fldChar w:fldCharType="separate"/>
      </w:r>
      <w:r>
        <w:rPr>
          <w:rFonts w:hint="default"/>
        </w:rPr>
        <w:t>５．計画の点検・評価</w:t>
      </w:r>
      <w:r>
        <w:rPr>
          <w:rFonts w:hint="default"/>
        </w:rPr>
        <w:tab/>
      </w:r>
      <w:r>
        <w:rPr>
          <w:rFonts w:hint="eastAsia"/>
        </w:rPr>
        <w:fldChar w:fldCharType="end"/>
      </w:r>
      <w:r>
        <w:rPr>
          <w:rFonts w:hint="eastAsia"/>
        </w:rPr>
        <w:fldChar w:fldCharType="begin"/>
      </w:r>
      <w:r>
        <w:rPr>
          <w:rFonts w:hint="default"/>
        </w:rPr>
        <w:instrText xml:space="preserve"> PAGEREF _Toc158300446 \h </w:instrText>
      </w:r>
      <w:r>
        <w:rPr>
          <w:rFonts w:hint="eastAsia"/>
        </w:rPr>
        <w:fldChar w:fldCharType="separate"/>
      </w:r>
      <w:r>
        <w:rPr>
          <w:rFonts w:hint="eastAsia"/>
        </w:rPr>
        <w:fldChar w:fldCharType="begin"/>
      </w:r>
      <w:r>
        <w:rPr>
          <w:rFonts w:hint="eastAsia"/>
        </w:rPr>
        <w:instrText xml:space="preserve"> HYPERLINK  \l "_Toc158300446"</w:instrText>
      </w:r>
      <w:r>
        <w:rPr>
          <w:rFonts w:hint="eastAsia"/>
        </w:rPr>
        <w:fldChar w:fldCharType="separate"/>
      </w:r>
      <w:r>
        <w:rPr>
          <w:rFonts w:hint="default"/>
        </w:rPr>
        <w:t>140</w:t>
      </w:r>
      <w:r>
        <w:rPr>
          <w:rFonts w:hint="eastAsia"/>
        </w:rPr>
        <w:fldChar w:fldCharType="end"/>
      </w:r>
      <w:r>
        <w:rPr>
          <w:rFonts w:hint="eastAsia"/>
        </w:rPr>
        <w:fldChar w:fldCharType="end"/>
      </w:r>
    </w:p>
    <w:p>
      <w:pPr>
        <w:pStyle w:val="0"/>
        <w:rPr>
          <w:rFonts w:hint="default" w:ascii="ＭＳ ゴシック" w:hAnsi="ＭＳ ゴシック" w:eastAsia="ＭＳ ゴシック"/>
          <w:sz w:val="24"/>
        </w:rPr>
      </w:pPr>
      <w:r>
        <w:rPr>
          <w:rFonts w:hint="default" w:ascii="Century" w:hAnsi="Century" w:eastAsia="ＭＳ ゴシック"/>
          <w:sz w:val="28"/>
        </w:rPr>
        <w:fldChar w:fldCharType="end"/>
      </w:r>
    </w:p>
    <w:p>
      <w:pPr>
        <w:pStyle w:val="0"/>
        <w:widowControl w:val="1"/>
        <w:jc w:val="left"/>
        <w:rPr>
          <w:rFonts w:hint="default" w:ascii="ＭＳ ゴシック" w:hAnsi="ＭＳ ゴシック" w:eastAsia="ＭＳ ゴシック"/>
          <w:sz w:val="24"/>
        </w:rPr>
      </w:pPr>
    </w:p>
    <w:p>
      <w:pPr>
        <w:pStyle w:val="0"/>
        <w:widowControl w:val="1"/>
        <w:jc w:val="left"/>
        <w:rPr>
          <w:rFonts w:hint="default" w:ascii="ＭＳ ゴシック" w:hAnsi="ＭＳ ゴシック" w:eastAsia="ＭＳ ゴシック"/>
          <w:sz w:val="24"/>
        </w:rPr>
      </w:pPr>
    </w:p>
    <w:p>
      <w:pPr>
        <w:pStyle w:val="0"/>
        <w:rPr>
          <w:rFonts w:hint="default" w:ascii="ＭＳ ゴシック" w:hAnsi="ＭＳ ゴシック" w:eastAsia="ＭＳ ゴシック"/>
          <w:sz w:val="24"/>
        </w:rPr>
      </w:pPr>
      <w:r>
        <w:rPr>
          <w:rFonts w:hint="default"/>
          <w:sz w:val="20"/>
        </w:rPr>
        <mc:AlternateContent>
          <mc:Choice Requires="wps">
            <w:drawing>
              <wp:anchor distT="0" distB="0" distL="114300" distR="114300" simplePos="0" relativeHeight="83" behindDoc="0" locked="1" layoutInCell="1" hidden="0" allowOverlap="1">
                <wp:simplePos x="0" y="0"/>
                <wp:positionH relativeFrom="column">
                  <wp:posOffset>1714500</wp:posOffset>
                </wp:positionH>
                <wp:positionV relativeFrom="page">
                  <wp:align>bottom</wp:align>
                </wp:positionV>
                <wp:extent cx="2723515" cy="2276475"/>
                <wp:effectExtent l="635" t="635" r="29845" b="10795"/>
                <wp:wrapNone/>
                <wp:docPr id="1031" name="正方形/長方形 49"/>
                <a:graphic xmlns:a="http://schemas.openxmlformats.org/drawingml/2006/main">
                  <a:graphicData uri="http://schemas.microsoft.com/office/word/2010/wordprocessingShape">
                    <wps:wsp>
                      <wps:cNvPr id="1031" name="正方形/長方形 49"/>
                      <wps:cNvSpPr/>
                      <wps:spPr>
                        <a:xfrm>
                          <a:off x="0" y="0"/>
                          <a:ext cx="2723515" cy="2276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9" style="mso-wrap-distance-right:9pt;mso-wrap-distance-bottom:0pt;mso-position-vertical:bottom;mso-position-vertical-relative:page;mso-position-horizontal-relative:text;position:absolute;height:179.25pt;mso-wrap-distance-top:0pt;width:214.45pt;mso-wrap-distance-left:9pt;margin-left:135pt;z-index:83;" o:spid="_x0000_s1031"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page"/>
                <w10:anchorlock/>
              </v:rect>
            </w:pict>
          </mc:Fallback>
        </mc:AlternateContent>
      </w:r>
    </w:p>
    <w:p>
      <w:pPr>
        <w:pStyle w:val="0"/>
        <w:widowControl w:val="1"/>
        <w:jc w:val="left"/>
        <w:rPr>
          <w:rFonts w:hint="default" w:ascii="ＭＳ ゴシック" w:hAnsi="ＭＳ ゴシック" w:eastAsia="ＭＳ ゴシック"/>
          <w:sz w:val="24"/>
        </w:rPr>
      </w:pPr>
    </w:p>
    <w:p>
      <w:pPr>
        <w:pStyle w:val="0"/>
        <w:widowControl w:val="1"/>
        <w:jc w:val="left"/>
        <w:rPr>
          <w:rFonts w:hint="default" w:ascii="ＭＳ ゴシック" w:hAnsi="ＭＳ ゴシック" w:eastAsia="ＭＳ ゴシック"/>
          <w:sz w:val="24"/>
        </w:rPr>
      </w:pPr>
    </w:p>
    <w:p>
      <w:pPr>
        <w:pStyle w:val="0"/>
        <w:widowControl w:val="1"/>
        <w:jc w:val="left"/>
        <w:rPr>
          <w:rFonts w:hint="default" w:ascii="ＭＳ ゴシック" w:hAnsi="ＭＳ ゴシック" w:eastAsia="ＭＳ ゴシック"/>
          <w:sz w:val="24"/>
        </w:rPr>
      </w:pPr>
    </w:p>
    <w:p>
      <w:pPr>
        <w:pStyle w:val="0"/>
        <w:widowControl w:val="1"/>
        <w:jc w:val="left"/>
        <w:rPr>
          <w:rFonts w:hint="default" w:ascii="ＭＳ ゴシック" w:hAnsi="ＭＳ ゴシック" w:eastAsia="ＭＳ ゴシック"/>
          <w:sz w:val="24"/>
        </w:rPr>
      </w:pPr>
    </w:p>
    <w:p>
      <w:pPr>
        <w:pStyle w:val="0"/>
        <w:widowControl w:val="1"/>
        <w:jc w:val="left"/>
        <w:rPr>
          <w:rFonts w:hint="default" w:ascii="ＭＳ ゴシック" w:hAnsi="ＭＳ ゴシック" w:eastAsia="ＭＳ ゴシック"/>
          <w:sz w:val="24"/>
        </w:rPr>
      </w:pPr>
    </w:p>
    <w:p>
      <w:pPr>
        <w:pStyle w:val="0"/>
        <w:widowControl w:val="1"/>
        <w:jc w:val="left"/>
        <w:rPr>
          <w:rFonts w:hint="default" w:ascii="ＭＳ ゴシック" w:hAnsi="ＭＳ ゴシック" w:eastAsia="ＭＳ ゴシック"/>
          <w:sz w:val="24"/>
        </w:rPr>
      </w:pPr>
    </w:p>
    <w:p>
      <w:pPr>
        <w:pStyle w:val="0"/>
        <w:widowControl w:val="1"/>
        <w:jc w:val="left"/>
        <w:rPr>
          <w:rFonts w:hint="default" w:ascii="ＭＳ ゴシック" w:hAnsi="ＭＳ ゴシック" w:eastAsia="ＭＳ ゴシック"/>
          <w:sz w:val="24"/>
        </w:rPr>
      </w:pPr>
    </w:p>
    <w:p>
      <w:pPr>
        <w:pStyle w:val="0"/>
        <w:widowControl w:val="1"/>
        <w:jc w:val="left"/>
        <w:rPr>
          <w:rFonts w:hint="default" w:ascii="ＭＳ ゴシック" w:hAnsi="ＭＳ ゴシック" w:eastAsia="ＭＳ ゴシック"/>
          <w:sz w:val="24"/>
        </w:rPr>
      </w:pPr>
    </w:p>
    <w:p>
      <w:pPr>
        <w:pStyle w:val="0"/>
        <w:rPr>
          <w:rFonts w:hint="default"/>
        </w:rPr>
      </w:pPr>
    </w:p>
    <w:p>
      <w:pPr>
        <w:rPr>
          <w:rFonts w:hint="default" w:ascii="ＭＳ ゴシック" w:hAnsi="ＭＳ ゴシック" w:eastAsia="ＭＳ ゴシック"/>
          <w:sz w:val="24"/>
        </w:rPr>
        <w:sectPr>
          <w:footerReference r:id="rId6" w:type="default"/>
          <w:pgSz w:w="11906" w:h="16838"/>
          <w:pgMar w:top="1134" w:right="1134" w:bottom="1418" w:left="1134" w:header="567" w:footer="227" w:gutter="0"/>
          <w:cols w:space="720"/>
          <w:textDirection w:val="lrTb"/>
          <w:docGrid w:type="linesAndChars" w:linePitch="370" w:charSpace="847"/>
        </w:sectPr>
      </w:pPr>
    </w:p>
    <w:p>
      <w:pPr>
        <w:pStyle w:val="24"/>
        <w:rPr>
          <w:rFonts w:hint="default"/>
        </w:rPr>
      </w:pPr>
      <w:bookmarkStart w:id="0" w:name="_Toc158300395"/>
      <w:bookmarkStart w:id="1" w:name="_Toc322503965"/>
      <w:bookmarkStart w:id="2" w:name="_Toc416340574"/>
      <w:bookmarkStart w:id="3" w:name="_Toc505592274"/>
      <w:bookmarkStart w:id="4" w:name="_Toc505592288"/>
      <w:r>
        <w:rPr>
          <w:rFonts w:hint="eastAsia"/>
        </w:rPr>
        <w:t>第１章　計画の策定にあたって</w:t>
      </w:r>
      <w:bookmarkEnd w:id="0"/>
      <w:bookmarkEnd w:id="1"/>
      <w:bookmarkEnd w:id="3"/>
    </w:p>
    <w:p>
      <w:pPr>
        <w:pStyle w:val="23"/>
        <w:rPr>
          <w:rFonts w:hint="default"/>
        </w:rPr>
      </w:pPr>
      <w:bookmarkStart w:id="5" w:name="_Toc158300396"/>
      <w:bookmarkStart w:id="6" w:name="_Toc505592275"/>
      <w:r>
        <w:rPr>
          <w:rFonts w:hint="eastAsia"/>
        </w:rPr>
        <w:t>１．計画策定の背景・趣旨</w:t>
      </w:r>
      <w:bookmarkEnd w:id="5"/>
      <w:bookmarkEnd w:id="6"/>
    </w:p>
    <w:p>
      <w:pPr>
        <w:pStyle w:val="19"/>
        <w:rPr>
          <w:rFonts w:hint="default"/>
        </w:rPr>
      </w:pPr>
      <w:r>
        <w:rPr>
          <w:rFonts w:hint="eastAsia"/>
        </w:rPr>
        <w:t>本町では、令和３年３月に「第５次南風原町障がい者計画」を策定し、｢“ちむぐくるの支えあい”～ともにつくり、ともにあゆむ、自立と社会参加のまち　南風原～｣を基本理念として、障がいの有無に関わらず誰もが共に暮らせる共生社会の実現を目指し、地域での障がい者の暮らしを支援するためのサービスの充実のほか、保健・医療、教育、就労、障がいを理由とする差別の解消など、障がい者に係る施策を総合的に推進してきました。また、同時に、「第６期障がい福祉計画」及び「第２期障がい児福祉計画」を、第５次障がい者計画と一体的に策定しました。</w:t>
      </w:r>
    </w:p>
    <w:p>
      <w:pPr>
        <w:pStyle w:val="19"/>
        <w:rPr>
          <w:rFonts w:hint="default"/>
        </w:rPr>
      </w:pPr>
      <w:r>
        <w:rPr>
          <w:rFonts w:hint="eastAsia"/>
        </w:rPr>
        <w:t>「第６期障がい福祉計画」及び「第２期障がい児福祉計画」では、国の基本指針に基づく成果目標</w:t>
      </w:r>
      <w:r>
        <w:rPr>
          <w:rFonts w:hint="eastAsia"/>
        </w:rPr>
        <w:t>(</w:t>
      </w:r>
      <w:r>
        <w:rPr>
          <w:rFonts w:hint="eastAsia"/>
        </w:rPr>
        <w:t>福祉施設入所者の地域生活への移行、福祉施設から一般就労への移行、児童発達支援センターの設置等の数値目標や実施方法等</w:t>
      </w:r>
      <w:r>
        <w:rPr>
          <w:rFonts w:hint="eastAsia"/>
        </w:rPr>
        <w:t>)</w:t>
      </w:r>
      <w:r>
        <w:rPr>
          <w:rFonts w:hint="eastAsia"/>
        </w:rPr>
        <w:t>を定めるほか、サービス等の見込量の設定と見込量確保のための方策を定め、その達成に向けて取り組んできました。</w:t>
      </w:r>
    </w:p>
    <w:p>
      <w:pPr>
        <w:pStyle w:val="19"/>
        <w:rPr>
          <w:rFonts w:hint="default"/>
        </w:rPr>
      </w:pPr>
      <w:r>
        <w:rPr>
          <w:rFonts w:hint="eastAsia"/>
        </w:rPr>
        <w:t>令和５年度は３つの計画の最終年度となっています。これまでの計画の進捗状況や新たな課題等を整理するとともに、国の基本計画、基本指針及び近年の制度改革を踏まえながら、障がい者が希望する地域生活の実現に向けた取り組みや、障がいのある子や発達が気になる子の健やかな育成に向けた発達支援等の充実等を図るなど、障がい児者に係る施策を総合的かつ計画的に推進するために「第６次南風原町障がい者計画」、「第７期障がい福祉計画」及び「第３障がい児福祉計画」を一体的に策定します。</w:t>
      </w:r>
    </w:p>
    <w:p>
      <w:pPr>
        <w:pStyle w:val="19"/>
        <w:rPr>
          <w:rFonts w:hint="default"/>
        </w:rPr>
      </w:pPr>
    </w:p>
    <w:p>
      <w:pPr>
        <w:pStyle w:val="23"/>
        <w:rPr>
          <w:rFonts w:hint="default"/>
        </w:rPr>
      </w:pPr>
      <w:bookmarkStart w:id="7" w:name="_Toc158300397"/>
      <w:bookmarkStart w:id="8" w:name="_Toc322503969"/>
      <w:bookmarkStart w:id="9" w:name="_Toc505592276"/>
      <w:bookmarkStart w:id="10" w:name="_Toc505592277"/>
      <w:r>
        <w:rPr>
          <w:rFonts w:hint="eastAsia"/>
        </w:rPr>
        <w:t>２．計画の対象</w:t>
      </w:r>
      <w:bookmarkEnd w:id="7"/>
      <w:bookmarkEnd w:id="9"/>
    </w:p>
    <w:p>
      <w:pPr>
        <w:pStyle w:val="19"/>
        <w:rPr>
          <w:rFonts w:hint="default"/>
        </w:rPr>
      </w:pPr>
      <w:r>
        <w:rPr>
          <w:rFonts w:hint="eastAsia"/>
        </w:rPr>
        <w:t>計画の対象となるのは身体障がい、知的障がい、精神障がい</w:t>
      </w:r>
      <w:r>
        <w:rPr>
          <w:rFonts w:hint="default"/>
        </w:rPr>
        <w:t>(</w:t>
      </w:r>
      <w:r>
        <w:rPr>
          <w:rFonts w:hint="eastAsia"/>
        </w:rPr>
        <w:t>発達障がいを含む</w:t>
      </w:r>
      <w:r>
        <w:rPr>
          <w:rFonts w:hint="default"/>
        </w:rPr>
        <w:t>)</w:t>
      </w:r>
      <w:r>
        <w:rPr>
          <w:rFonts w:hint="eastAsia"/>
        </w:rPr>
        <w:t>、難病患者その他の心身の機能の障がいがある人であって、障がい及び</w:t>
      </w:r>
      <w:r>
        <w:rPr>
          <w:rFonts w:hint="eastAsia"/>
          <w:vertAlign w:val="superscript"/>
        </w:rPr>
        <w:t>※</w:t>
      </w:r>
      <w:r>
        <w:rPr>
          <w:rFonts w:hint="eastAsia"/>
        </w:rPr>
        <w:t>社会的障壁により継続的に日常生活又は社会生活に相当な制限を受ける状態にある人を対象とします。</w:t>
      </w:r>
    </w:p>
    <w:p>
      <w:pPr>
        <w:pStyle w:val="19"/>
        <w:rPr>
          <w:rFonts w:hint="default"/>
        </w:rPr>
      </w:pPr>
    </w:p>
    <w:p>
      <w:pPr>
        <w:pStyle w:val="19"/>
        <w:rPr>
          <w:rFonts w:hint="default"/>
        </w:rPr>
      </w:pPr>
    </w:p>
    <w:p>
      <w:pPr>
        <w:pStyle w:val="19"/>
        <w:rPr>
          <w:rFonts w:hint="default"/>
        </w:rPr>
      </w:pPr>
    </w:p>
    <w:p>
      <w:pPr>
        <w:pStyle w:val="19"/>
        <w:rPr>
          <w:rFonts w:hint="default"/>
        </w:rPr>
      </w:pPr>
    </w:p>
    <w:p>
      <w:pPr>
        <w:pStyle w:val="19"/>
        <w:rPr>
          <w:rFonts w:hint="default"/>
        </w:rPr>
      </w:pPr>
    </w:p>
    <w:p>
      <w:pPr>
        <w:pStyle w:val="19"/>
        <w:rPr>
          <w:rFonts w:hint="default"/>
        </w:rPr>
      </w:pPr>
    </w:p>
    <w:p>
      <w:pPr>
        <w:pStyle w:val="19"/>
        <w:rPr>
          <w:rFonts w:hint="default"/>
        </w:rPr>
      </w:pPr>
    </w:p>
    <w:p>
      <w:pPr>
        <w:pStyle w:val="19"/>
        <w:rPr>
          <w:rFonts w:hint="default"/>
        </w:rPr>
      </w:pPr>
    </w:p>
    <w:p>
      <w:pPr>
        <w:pStyle w:val="19"/>
        <w:rPr>
          <w:rFonts w:hint="default"/>
        </w:rPr>
      </w:pPr>
    </w:p>
    <w:p>
      <w:pPr>
        <w:pStyle w:val="19"/>
        <w:spacing w:line="240" w:lineRule="exact"/>
        <w:rPr>
          <w:rFonts w:hint="default"/>
        </w:rPr>
      </w:pPr>
    </w:p>
    <w:p>
      <w:pPr>
        <w:pStyle w:val="19"/>
        <w:spacing w:line="0" w:lineRule="atLeast"/>
        <w:ind w:firstLine="104"/>
        <w:rPr>
          <w:rFonts w:hint="default"/>
          <w:sz w:val="10"/>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86"/>
              <w:spacing w:before="74" w:beforeLines="0" w:beforeAutospacing="0"/>
              <w:rPr>
                <w:rFonts w:hint="default"/>
                <w:color w:val="auto"/>
              </w:rPr>
            </w:pPr>
            <w:r>
              <w:rPr>
                <w:rFonts w:hint="eastAsia"/>
                <w:color w:val="auto"/>
              </w:rPr>
              <w:t>※</w:t>
            </w:r>
            <w:r>
              <w:rPr>
                <w:rFonts w:hint="eastAsia"/>
                <w:color w:val="auto"/>
              </w:rPr>
              <w:t xml:space="preserve"> </w:t>
            </w:r>
            <w:r>
              <w:rPr>
                <w:rFonts w:hint="eastAsia"/>
                <w:color w:val="auto"/>
              </w:rPr>
              <w:t>社会的障壁</w:t>
            </w:r>
          </w:p>
          <w:p>
            <w:pPr>
              <w:pStyle w:val="85"/>
              <w:ind w:left="448" w:firstLine="204"/>
              <w:rPr>
                <w:rFonts w:hint="default"/>
                <w:color w:val="auto"/>
              </w:rPr>
            </w:pPr>
            <w:r>
              <w:rPr>
                <w:rFonts w:hint="eastAsia"/>
                <w:color w:val="auto"/>
              </w:rPr>
              <w:t>障がいのある人を暮らしにくく、生きにくくする原因となる社会にあるもの全部を指す。</w:t>
            </w:r>
          </w:p>
          <w:p>
            <w:pPr>
              <w:pStyle w:val="85"/>
              <w:ind w:left="448" w:firstLine="204"/>
              <w:rPr>
                <w:rFonts w:hint="default"/>
                <w:color w:val="auto"/>
              </w:rPr>
            </w:pPr>
            <w:r>
              <w:rPr>
                <w:rFonts w:hint="eastAsia"/>
                <w:color w:val="auto"/>
              </w:rPr>
              <w:t>たとえば、ことがら</w:t>
            </w:r>
            <w:r>
              <w:rPr>
                <w:rFonts w:hint="eastAsia"/>
                <w:color w:val="auto"/>
              </w:rPr>
              <w:t>(</w:t>
            </w:r>
            <w:r>
              <w:rPr>
                <w:rFonts w:hint="eastAsia"/>
                <w:color w:val="auto"/>
              </w:rPr>
              <w:t>早口でわかりにくいなど</w:t>
            </w:r>
            <w:r>
              <w:rPr>
                <w:rFonts w:hint="eastAsia"/>
                <w:color w:val="auto"/>
              </w:rPr>
              <w:t>)</w:t>
            </w:r>
            <w:r>
              <w:rPr>
                <w:rFonts w:hint="eastAsia"/>
                <w:color w:val="auto"/>
              </w:rPr>
              <w:t>、物</w:t>
            </w:r>
            <w:r>
              <w:rPr>
                <w:rFonts w:hint="eastAsia"/>
                <w:color w:val="auto"/>
              </w:rPr>
              <w:t>(</w:t>
            </w:r>
            <w:r>
              <w:rPr>
                <w:rFonts w:hint="eastAsia"/>
                <w:color w:val="auto"/>
              </w:rPr>
              <w:t>段差があるなど</w:t>
            </w:r>
            <w:r>
              <w:rPr>
                <w:rFonts w:hint="eastAsia"/>
                <w:color w:val="auto"/>
              </w:rPr>
              <w:t>)</w:t>
            </w:r>
            <w:r>
              <w:rPr>
                <w:rFonts w:hint="eastAsia"/>
                <w:color w:val="auto"/>
              </w:rPr>
              <w:t>、制度</w:t>
            </w:r>
            <w:r>
              <w:rPr>
                <w:rFonts w:hint="eastAsia"/>
                <w:color w:val="auto"/>
              </w:rPr>
              <w:t>(</w:t>
            </w:r>
            <w:r>
              <w:rPr>
                <w:rFonts w:hint="eastAsia"/>
                <w:color w:val="auto"/>
              </w:rPr>
              <w:t>納得していないのに入院させられるなど</w:t>
            </w:r>
            <w:r>
              <w:rPr>
                <w:rFonts w:hint="eastAsia"/>
                <w:color w:val="auto"/>
              </w:rPr>
              <w:t>)</w:t>
            </w:r>
            <w:r>
              <w:rPr>
                <w:rFonts w:hint="eastAsia"/>
                <w:color w:val="auto"/>
              </w:rPr>
              <w:t>、習慣</w:t>
            </w:r>
            <w:r>
              <w:rPr>
                <w:rFonts w:hint="eastAsia"/>
                <w:color w:val="auto"/>
              </w:rPr>
              <w:t>(</w:t>
            </w:r>
            <w:r>
              <w:rPr>
                <w:rFonts w:hint="eastAsia"/>
                <w:color w:val="auto"/>
              </w:rPr>
              <w:t>障がいのある人が子ども扱いされるなど</w:t>
            </w:r>
            <w:r>
              <w:rPr>
                <w:rFonts w:hint="eastAsia"/>
                <w:color w:val="auto"/>
              </w:rPr>
              <w:t>)</w:t>
            </w:r>
            <w:r>
              <w:rPr>
                <w:rFonts w:hint="eastAsia"/>
                <w:color w:val="auto"/>
              </w:rPr>
              <w:t>などがあります。</w:t>
            </w:r>
          </w:p>
        </w:tc>
      </w:tr>
    </w:tbl>
    <w:p>
      <w:pPr>
        <w:pStyle w:val="23"/>
        <w:rPr>
          <w:rFonts w:hint="default"/>
        </w:rPr>
      </w:pPr>
      <w:bookmarkStart w:id="11" w:name="_Toc158300398"/>
      <w:r>
        <w:rPr>
          <w:rFonts w:hint="eastAsia"/>
        </w:rPr>
        <w:t>３．障がい者計画・障がい福祉計画・障がい児福祉計画の法的根拠等について</w:t>
      </w:r>
      <w:bookmarkEnd w:id="11"/>
    </w:p>
    <w:p>
      <w:pPr>
        <w:pStyle w:val="19"/>
        <w:ind w:firstLine="224"/>
        <w:rPr>
          <w:rFonts w:hint="default" w:ascii="ＭＳ ゴシック" w:hAnsi="ＭＳ ゴシック" w:eastAsia="ＭＳ ゴシック"/>
          <w:sz w:val="22"/>
        </w:rPr>
      </w:pPr>
      <w:r>
        <w:rPr>
          <w:rFonts w:hint="eastAsia" w:ascii="ＭＳ ゴシック" w:hAnsi="ＭＳ ゴシック" w:eastAsia="ＭＳ ゴシック"/>
          <w:sz w:val="22"/>
        </w:rPr>
        <w:t>■障がい者計画</w:t>
      </w:r>
    </w:p>
    <w:tbl>
      <w:tblPr>
        <w:tblStyle w:val="11"/>
        <w:tblW w:w="8924" w:type="dxa"/>
        <w:tblInd w:w="704" w:type="dxa"/>
        <w:tblBorders>
          <w:top w:val="single" w:color="auto" w:sz="4" w:space="0"/>
          <w:left w:val="single" w:color="auto" w:sz="4" w:space="0"/>
          <w:bottom w:val="single" w:color="auto" w:sz="4" w:space="0"/>
          <w:right w:val="single" w:color="auto" w:sz="4" w:space="0"/>
          <w:insideH w:val="dashed" w:color="auto" w:sz="4" w:space="0"/>
          <w:insideV w:val="dashed" w:color="auto" w:sz="4" w:space="0"/>
        </w:tblBorders>
        <w:tblLayout w:type="fixed"/>
        <w:tblLook w:firstRow="1" w:lastRow="0" w:firstColumn="1" w:lastColumn="0" w:noHBand="0" w:noVBand="1" w:val="04A0"/>
      </w:tblPr>
      <w:tblGrid>
        <w:gridCol w:w="1134"/>
        <w:gridCol w:w="7790"/>
      </w:tblGrid>
      <w:tr>
        <w:trPr>
          <w:cantSplit/>
        </w:trPr>
        <w:tc>
          <w:tcPr>
            <w:tcW w:w="1134" w:type="dxa"/>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根拠法令</w:t>
            </w:r>
          </w:p>
        </w:tc>
        <w:tc>
          <w:tcPr>
            <w:tcW w:w="7790" w:type="dxa"/>
            <w:vAlign w:val="top"/>
          </w:tcPr>
          <w:p>
            <w:pPr>
              <w:pStyle w:val="0"/>
              <w:widowControl w:val="1"/>
              <w:jc w:val="left"/>
              <w:rPr>
                <w:rFonts w:hint="default"/>
                <w:sz w:val="21"/>
              </w:rPr>
            </w:pPr>
            <w:r>
              <w:rPr>
                <w:rFonts w:hint="eastAsia"/>
                <w:sz w:val="21"/>
              </w:rPr>
              <w:t>障害者基本法（第</w:t>
            </w:r>
            <w:r>
              <w:rPr>
                <w:rFonts w:hint="eastAsia"/>
                <w:sz w:val="21"/>
              </w:rPr>
              <w:t>11</w:t>
            </w:r>
            <w:r>
              <w:rPr>
                <w:rFonts w:hint="eastAsia"/>
                <w:sz w:val="21"/>
              </w:rPr>
              <w:t>条第</w:t>
            </w:r>
            <w:r>
              <w:rPr>
                <w:rFonts w:hint="eastAsia"/>
                <w:sz w:val="21"/>
              </w:rPr>
              <w:t>3</w:t>
            </w:r>
            <w:r>
              <w:rPr>
                <w:rFonts w:hint="eastAsia"/>
                <w:sz w:val="21"/>
              </w:rPr>
              <w:t>項）</w:t>
            </w:r>
          </w:p>
        </w:tc>
      </w:tr>
      <w:tr>
        <w:trPr>
          <w:cantSplit/>
          <w:trHeight w:val="1551" w:hRule="atLeast"/>
        </w:trPr>
        <w:tc>
          <w:tcPr>
            <w:tcW w:w="1134" w:type="dxa"/>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概要</w:t>
            </w:r>
          </w:p>
        </w:tc>
        <w:tc>
          <w:tcPr>
            <w:tcW w:w="7790" w:type="dxa"/>
            <w:vAlign w:val="top"/>
          </w:tcPr>
          <w:p>
            <w:pPr>
              <w:pStyle w:val="0"/>
              <w:spacing w:before="70" w:beforeLines="20" w:beforeAutospacing="0" w:line="0" w:lineRule="atLeast"/>
              <w:ind w:left="214" w:hanging="214" w:hangingChars="100"/>
              <w:rPr>
                <w:rFonts w:hint="default"/>
                <w:sz w:val="21"/>
              </w:rPr>
            </w:pPr>
            <w:r>
              <w:rPr>
                <w:rFonts w:hint="eastAsia"/>
                <w:sz w:val="21"/>
              </w:rPr>
              <w:t>・障がい者の自立生活及び社会参加の支援等の施策を、総合的かつ計画的に推進するための基本的な計画。</w:t>
            </w:r>
          </w:p>
          <w:p>
            <w:pPr>
              <w:pStyle w:val="0"/>
              <w:spacing w:before="111" w:beforeLines="0" w:beforeAutospacing="0" w:after="105" w:afterLines="30" w:afterAutospacing="0" w:line="0" w:lineRule="atLeast"/>
              <w:ind w:left="214" w:hanging="214" w:hangingChars="100"/>
              <w:rPr>
                <w:rFonts w:hint="default"/>
                <w:sz w:val="21"/>
              </w:rPr>
            </w:pPr>
            <w:r>
              <w:rPr>
                <w:rFonts w:hint="eastAsia"/>
                <w:sz w:val="21"/>
              </w:rPr>
              <w:t>・単にサービスの提供に関するだけの計画ではなく、障がいのある人もない人もともに暮らせる地域づくりのために、多様な分野で障がい者・障がい児に配慮した取り組みを推進する。</w:t>
            </w:r>
          </w:p>
        </w:tc>
      </w:tr>
      <w:tr>
        <w:trPr>
          <w:cantSplit/>
        </w:trPr>
        <w:tc>
          <w:tcPr>
            <w:tcW w:w="1134" w:type="dxa"/>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策定方針</w:t>
            </w:r>
          </w:p>
        </w:tc>
        <w:tc>
          <w:tcPr>
            <w:tcW w:w="7790" w:type="dxa"/>
            <w:vAlign w:val="top"/>
          </w:tcPr>
          <w:p>
            <w:pPr>
              <w:pStyle w:val="0"/>
              <w:widowControl w:val="1"/>
              <w:jc w:val="left"/>
              <w:rPr>
                <w:rFonts w:hint="default"/>
                <w:sz w:val="21"/>
              </w:rPr>
            </w:pPr>
            <w:r>
              <w:rPr>
                <w:rFonts w:hint="eastAsia"/>
                <w:sz w:val="21"/>
              </w:rPr>
              <w:t>国や都道府県の「障害者基本計画」を基本とする。</w:t>
            </w:r>
          </w:p>
        </w:tc>
      </w:tr>
    </w:tbl>
    <w:p>
      <w:pPr>
        <w:pStyle w:val="19"/>
        <w:ind w:firstLine="144"/>
        <w:rPr>
          <w:rFonts w:hint="default"/>
          <w:sz w:val="14"/>
        </w:rPr>
      </w:pPr>
    </w:p>
    <w:p>
      <w:pPr>
        <w:pStyle w:val="19"/>
        <w:ind w:firstLine="224"/>
        <w:rPr>
          <w:rFonts w:hint="default" w:ascii="ＭＳ ゴシック" w:hAnsi="ＭＳ ゴシック" w:eastAsia="ＭＳ ゴシック"/>
          <w:sz w:val="22"/>
        </w:rPr>
      </w:pPr>
      <w:r>
        <w:rPr>
          <w:rFonts w:hint="eastAsia" w:ascii="ＭＳ ゴシック" w:hAnsi="ＭＳ ゴシック" w:eastAsia="ＭＳ ゴシック"/>
          <w:sz w:val="22"/>
        </w:rPr>
        <w:t>■障がい福祉計画</w:t>
      </w:r>
    </w:p>
    <w:tbl>
      <w:tblPr>
        <w:tblStyle w:val="11"/>
        <w:tblW w:w="8924" w:type="dxa"/>
        <w:tblInd w:w="704" w:type="dxa"/>
        <w:tblLayout w:type="fixed"/>
        <w:tblLook w:firstRow="1" w:lastRow="0" w:firstColumn="1" w:lastColumn="0" w:noHBand="0" w:noVBand="1" w:val="04A0"/>
      </w:tblPr>
      <w:tblGrid>
        <w:gridCol w:w="1134"/>
        <w:gridCol w:w="7790"/>
      </w:tblGrid>
      <w:tr>
        <w:trPr/>
        <w:tc>
          <w:tcPr>
            <w:tcW w:w="1134" w:type="dxa"/>
            <w:tcBorders>
              <w:top w:val="single" w:color="auto" w:sz="4" w:space="0"/>
              <w:left w:val="single" w:color="auto" w:sz="4" w:space="0"/>
              <w:bottom w:val="dashed" w:color="auto" w:sz="4" w:space="0"/>
              <w:right w:val="dashed" w:color="auto" w:sz="4" w:space="0"/>
              <w:tl2br w:val="none" w:color="auto" w:sz="0" w:space="0"/>
              <w:tr2bl w:val="none" w:color="auto" w:sz="0" w:space="0"/>
            </w:tcBorders>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根拠法令</w:t>
            </w:r>
          </w:p>
        </w:tc>
        <w:tc>
          <w:tcPr>
            <w:tcW w:w="7790" w:type="dxa"/>
            <w:tcBorders>
              <w:top w:val="single" w:color="auto" w:sz="4" w:space="0"/>
              <w:left w:val="dashed" w:color="auto" w:sz="4" w:space="0"/>
              <w:bottom w:val="dashed" w:color="auto" w:sz="4" w:space="0"/>
              <w:right w:val="single" w:color="auto" w:sz="4" w:space="0"/>
              <w:tl2br w:val="none" w:color="auto" w:sz="0" w:space="0"/>
              <w:tr2bl w:val="none" w:color="auto" w:sz="0" w:space="0"/>
            </w:tcBorders>
            <w:vAlign w:val="top"/>
          </w:tcPr>
          <w:p>
            <w:pPr>
              <w:pStyle w:val="0"/>
              <w:widowControl w:val="1"/>
              <w:jc w:val="left"/>
              <w:rPr>
                <w:rFonts w:hint="default"/>
                <w:sz w:val="21"/>
              </w:rPr>
            </w:pPr>
            <w:r>
              <w:rPr>
                <w:rFonts w:hint="eastAsia"/>
                <w:sz w:val="21"/>
              </w:rPr>
              <w:t>障害者総合支援法（第</w:t>
            </w:r>
            <w:r>
              <w:rPr>
                <w:rFonts w:hint="eastAsia"/>
                <w:sz w:val="21"/>
              </w:rPr>
              <w:t>88</w:t>
            </w:r>
            <w:r>
              <w:rPr>
                <w:rFonts w:hint="eastAsia"/>
                <w:sz w:val="21"/>
              </w:rPr>
              <w:t>条第</w:t>
            </w:r>
            <w:r>
              <w:rPr>
                <w:rFonts w:hint="eastAsia"/>
                <w:sz w:val="21"/>
              </w:rPr>
              <w:t>1</w:t>
            </w:r>
            <w:r>
              <w:rPr>
                <w:rFonts w:hint="eastAsia"/>
                <w:sz w:val="21"/>
              </w:rPr>
              <w:t>項）</w:t>
            </w:r>
          </w:p>
        </w:tc>
      </w:tr>
      <w:tr>
        <w:trPr/>
        <w:tc>
          <w:tcPr>
            <w:tcW w:w="1134" w:type="dxa"/>
            <w:tcBorders>
              <w:top w:val="dashed" w:color="auto" w:sz="4" w:space="0"/>
              <w:left w:val="single" w:color="auto" w:sz="4" w:space="0"/>
              <w:bottom w:val="dashed" w:color="auto" w:sz="4" w:space="0"/>
              <w:right w:val="dashed" w:color="auto" w:sz="4" w:space="0"/>
              <w:tl2br w:val="none" w:color="auto" w:sz="0" w:space="0"/>
              <w:tr2bl w:val="none" w:color="auto" w:sz="0" w:space="0"/>
            </w:tcBorders>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概要</w:t>
            </w:r>
          </w:p>
        </w:tc>
        <w:tc>
          <w:tcPr>
            <w:tcW w:w="7790" w:type="dxa"/>
            <w:tcBorders>
              <w:top w:val="dashed" w:color="auto" w:sz="4" w:space="0"/>
              <w:left w:val="dashed" w:color="auto" w:sz="4" w:space="0"/>
              <w:bottom w:val="dashed" w:color="auto" w:sz="4" w:space="0"/>
              <w:right w:val="single" w:color="auto" w:sz="4" w:space="0"/>
              <w:tl2br w:val="none" w:color="auto" w:sz="0" w:space="0"/>
              <w:tr2bl w:val="none" w:color="auto" w:sz="0" w:space="0"/>
            </w:tcBorders>
            <w:vAlign w:val="top"/>
          </w:tcPr>
          <w:p>
            <w:pPr>
              <w:pStyle w:val="0"/>
              <w:spacing w:line="0" w:lineRule="atLeast"/>
              <w:ind w:left="214" w:hanging="214" w:hangingChars="100"/>
              <w:rPr>
                <w:rFonts w:hint="default"/>
                <w:sz w:val="21"/>
              </w:rPr>
            </w:pPr>
            <w:r>
              <w:rPr>
                <w:rFonts w:hint="eastAsia"/>
                <w:sz w:val="21"/>
              </w:rPr>
              <w:t>・計画期間における成果目標を設定するとともに、目標達成のための方策を定める。</w:t>
            </w:r>
            <w:r>
              <w:rPr>
                <w:rFonts w:hint="eastAsia"/>
                <w:sz w:val="21"/>
              </w:rPr>
              <w:t>(</w:t>
            </w:r>
            <w:r>
              <w:rPr>
                <w:rFonts w:hint="eastAsia"/>
                <w:sz w:val="21"/>
              </w:rPr>
              <w:t>成果目標については</w:t>
            </w:r>
            <w:r>
              <w:rPr>
                <w:rFonts w:hint="eastAsia"/>
                <w:sz w:val="21"/>
              </w:rPr>
              <w:t>6P</w:t>
            </w:r>
            <w:r>
              <w:rPr>
                <w:rFonts w:hint="eastAsia"/>
                <w:sz w:val="21"/>
              </w:rPr>
              <w:t>参照</w:t>
            </w:r>
            <w:r>
              <w:rPr>
                <w:rFonts w:hint="eastAsia"/>
                <w:sz w:val="21"/>
              </w:rPr>
              <w:t>)</w:t>
            </w:r>
          </w:p>
          <w:p>
            <w:pPr>
              <w:pStyle w:val="0"/>
              <w:spacing w:line="0" w:lineRule="atLeast"/>
              <w:ind w:left="214" w:hanging="214" w:hangingChars="100"/>
              <w:rPr>
                <w:rFonts w:hint="default"/>
                <w:sz w:val="21"/>
              </w:rPr>
            </w:pPr>
            <w:r>
              <w:rPr>
                <w:rFonts w:hint="eastAsia"/>
                <w:sz w:val="21"/>
              </w:rPr>
              <w:t>・障害福祉サービス及び地域生活支援事業ごとに、計画期間の各年度における見込量</w:t>
            </w:r>
            <w:r>
              <w:rPr>
                <w:rFonts w:hint="eastAsia"/>
                <w:sz w:val="21"/>
              </w:rPr>
              <w:t>(</w:t>
            </w:r>
            <w:r>
              <w:rPr>
                <w:rFonts w:hint="eastAsia"/>
                <w:sz w:val="21"/>
              </w:rPr>
              <w:t>利用量</w:t>
            </w:r>
            <w:r>
              <w:rPr>
                <w:rFonts w:hint="eastAsia"/>
                <w:sz w:val="21"/>
              </w:rPr>
              <w:t>)</w:t>
            </w:r>
            <w:r>
              <w:rPr>
                <w:rFonts w:hint="eastAsia"/>
                <w:sz w:val="21"/>
              </w:rPr>
              <w:t>を設定するとともに、見込量を確保するための方策を定める。</w:t>
            </w:r>
          </w:p>
        </w:tc>
      </w:tr>
      <w:tr>
        <w:trPr/>
        <w:tc>
          <w:tcPr>
            <w:tcW w:w="1134" w:type="dxa"/>
            <w:tcBorders>
              <w:top w:val="dashed" w:color="auto" w:sz="4" w:space="0"/>
              <w:left w:val="single" w:color="auto" w:sz="4" w:space="0"/>
              <w:bottom w:val="single" w:color="auto" w:sz="4" w:space="0"/>
              <w:right w:val="dashed" w:color="auto" w:sz="4" w:space="0"/>
              <w:tl2br w:val="none" w:color="auto" w:sz="0" w:space="0"/>
              <w:tr2bl w:val="none" w:color="auto" w:sz="0" w:space="0"/>
            </w:tcBorders>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策定指針</w:t>
            </w:r>
          </w:p>
        </w:tc>
        <w:tc>
          <w:tcPr>
            <w:tcW w:w="7790" w:type="dxa"/>
            <w:tcBorders>
              <w:top w:val="dashed" w:color="auto" w:sz="4" w:space="0"/>
              <w:left w:val="dashed" w:color="auto" w:sz="4" w:space="0"/>
              <w:bottom w:val="single" w:color="auto" w:sz="4" w:space="0"/>
              <w:right w:val="single" w:color="auto" w:sz="4" w:space="0"/>
              <w:tl2br w:val="none" w:color="auto" w:sz="0" w:space="0"/>
              <w:tr2bl w:val="none" w:color="auto" w:sz="0" w:space="0"/>
            </w:tcBorders>
            <w:vAlign w:val="top"/>
          </w:tcPr>
          <w:p>
            <w:pPr>
              <w:pStyle w:val="0"/>
              <w:widowControl w:val="1"/>
              <w:jc w:val="left"/>
              <w:rPr>
                <w:rFonts w:hint="default"/>
                <w:sz w:val="21"/>
              </w:rPr>
            </w:pPr>
            <w:r>
              <w:rPr>
                <w:rFonts w:hint="eastAsia"/>
                <w:sz w:val="21"/>
              </w:rPr>
              <w:t>国の「障害福祉計画及び障害児福祉計画に係る基本指針」に基づく。</w:t>
            </w:r>
          </w:p>
        </w:tc>
      </w:tr>
      <w:tr>
        <w:trPr/>
        <w:tc>
          <w:tcPr>
            <w:tcW w:w="1134" w:type="dxa"/>
            <w:tcBorders>
              <w:top w:val="dashed" w:color="auto" w:sz="4" w:space="0"/>
              <w:left w:val="single" w:color="auto" w:sz="4" w:space="0"/>
              <w:bottom w:val="single" w:color="auto" w:sz="4" w:space="0"/>
              <w:right w:val="dashed" w:color="auto" w:sz="4" w:space="0"/>
              <w:tl2br w:val="none" w:color="auto" w:sz="0" w:space="0"/>
              <w:tr2bl w:val="none" w:color="auto" w:sz="0" w:space="0"/>
            </w:tcBorders>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位置づけ</w:t>
            </w:r>
          </w:p>
        </w:tc>
        <w:tc>
          <w:tcPr>
            <w:tcW w:w="7790" w:type="dxa"/>
            <w:tcBorders>
              <w:top w:val="dashed" w:color="auto" w:sz="4" w:space="0"/>
              <w:left w:val="dashed" w:color="auto" w:sz="4" w:space="0"/>
              <w:bottom w:val="single" w:color="auto" w:sz="4" w:space="0"/>
              <w:right w:val="single" w:color="auto" w:sz="4" w:space="0"/>
              <w:tl2br w:val="none" w:color="auto" w:sz="0" w:space="0"/>
              <w:tr2bl w:val="none" w:color="auto" w:sz="0" w:space="0"/>
            </w:tcBorders>
            <w:vAlign w:val="top"/>
          </w:tcPr>
          <w:p>
            <w:pPr>
              <w:pStyle w:val="0"/>
              <w:spacing w:line="0" w:lineRule="atLeast"/>
              <w:rPr>
                <w:rFonts w:hint="default"/>
                <w:sz w:val="21"/>
              </w:rPr>
            </w:pPr>
            <w:r>
              <w:rPr>
                <w:rFonts w:hint="eastAsia"/>
                <w:sz w:val="21"/>
              </w:rPr>
              <w:t>障がい者計画のうち、障がい者に係る成果目標や障害福祉サービス及び地域生活支援事業に関する実施計画。</w:t>
            </w:r>
          </w:p>
        </w:tc>
      </w:tr>
    </w:tbl>
    <w:p>
      <w:pPr>
        <w:pStyle w:val="19"/>
        <w:ind w:firstLine="144"/>
        <w:rPr>
          <w:rFonts w:hint="default"/>
          <w:sz w:val="14"/>
        </w:rPr>
      </w:pPr>
    </w:p>
    <w:p>
      <w:pPr>
        <w:pStyle w:val="19"/>
        <w:ind w:firstLine="224"/>
        <w:rPr>
          <w:rFonts w:hint="default" w:ascii="ＭＳ ゴシック" w:hAnsi="ＭＳ ゴシック" w:eastAsia="ＭＳ ゴシック"/>
          <w:sz w:val="22"/>
        </w:rPr>
      </w:pPr>
      <w:r>
        <w:rPr>
          <w:rFonts w:hint="eastAsia" w:ascii="ＭＳ ゴシック" w:hAnsi="ＭＳ ゴシック" w:eastAsia="ＭＳ ゴシック"/>
          <w:sz w:val="22"/>
        </w:rPr>
        <w:t>■障がい児福祉計画</w:t>
      </w:r>
    </w:p>
    <w:tbl>
      <w:tblPr>
        <w:tblStyle w:val="11"/>
        <w:tblW w:w="8924" w:type="dxa"/>
        <w:tblInd w:w="704" w:type="dxa"/>
        <w:tblBorders>
          <w:top w:val="single" w:color="auto" w:sz="4" w:space="0"/>
          <w:left w:val="single" w:color="auto" w:sz="4" w:space="0"/>
          <w:bottom w:val="single" w:color="auto" w:sz="4" w:space="0"/>
          <w:right w:val="single" w:color="auto" w:sz="4" w:space="0"/>
          <w:insideH w:val="dashed" w:color="auto" w:sz="4" w:space="0"/>
          <w:insideV w:val="dashed" w:color="auto" w:sz="4" w:space="0"/>
        </w:tblBorders>
        <w:tblLayout w:type="fixed"/>
        <w:tblLook w:firstRow="1" w:lastRow="0" w:firstColumn="1" w:lastColumn="0" w:noHBand="0" w:noVBand="1" w:val="04A0"/>
      </w:tblPr>
      <w:tblGrid>
        <w:gridCol w:w="1134"/>
        <w:gridCol w:w="7790"/>
      </w:tblGrid>
      <w:tr>
        <w:trPr/>
        <w:tc>
          <w:tcPr>
            <w:tcW w:w="1134" w:type="dxa"/>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根拠法令</w:t>
            </w:r>
          </w:p>
        </w:tc>
        <w:tc>
          <w:tcPr>
            <w:tcW w:w="7790" w:type="dxa"/>
            <w:vAlign w:val="top"/>
          </w:tcPr>
          <w:p>
            <w:pPr>
              <w:pStyle w:val="0"/>
              <w:widowControl w:val="1"/>
              <w:jc w:val="left"/>
              <w:rPr>
                <w:rFonts w:hint="default"/>
                <w:sz w:val="21"/>
              </w:rPr>
            </w:pPr>
            <w:r>
              <w:rPr>
                <w:rFonts w:hint="eastAsia"/>
                <w:sz w:val="21"/>
              </w:rPr>
              <w:t>児童福祉法（第</w:t>
            </w:r>
            <w:r>
              <w:rPr>
                <w:rFonts w:hint="eastAsia"/>
                <w:sz w:val="21"/>
              </w:rPr>
              <w:t>33</w:t>
            </w:r>
            <w:r>
              <w:rPr>
                <w:rFonts w:hint="eastAsia"/>
                <w:sz w:val="21"/>
              </w:rPr>
              <w:t>条の</w:t>
            </w:r>
            <w:r>
              <w:rPr>
                <w:rFonts w:hint="eastAsia"/>
                <w:sz w:val="21"/>
              </w:rPr>
              <w:t>20</w:t>
            </w:r>
            <w:r>
              <w:rPr>
                <w:rFonts w:hint="eastAsia"/>
                <w:sz w:val="21"/>
              </w:rPr>
              <w:t>第</w:t>
            </w:r>
            <w:r>
              <w:rPr>
                <w:rFonts w:hint="eastAsia"/>
                <w:sz w:val="21"/>
              </w:rPr>
              <w:t>1</w:t>
            </w:r>
            <w:r>
              <w:rPr>
                <w:rFonts w:hint="eastAsia"/>
                <w:sz w:val="21"/>
              </w:rPr>
              <w:t>項）</w:t>
            </w:r>
          </w:p>
        </w:tc>
      </w:tr>
      <w:tr>
        <w:trPr/>
        <w:tc>
          <w:tcPr>
            <w:tcW w:w="1134" w:type="dxa"/>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概要</w:t>
            </w:r>
          </w:p>
        </w:tc>
        <w:tc>
          <w:tcPr>
            <w:tcW w:w="7790" w:type="dxa"/>
            <w:vAlign w:val="top"/>
          </w:tcPr>
          <w:p>
            <w:pPr>
              <w:pStyle w:val="0"/>
              <w:spacing w:line="0" w:lineRule="atLeast"/>
              <w:ind w:left="214" w:hanging="214" w:hangingChars="100"/>
              <w:rPr>
                <w:rFonts w:hint="default"/>
                <w:sz w:val="21"/>
              </w:rPr>
            </w:pPr>
            <w:r>
              <w:rPr>
                <w:rFonts w:hint="eastAsia"/>
                <w:sz w:val="21"/>
              </w:rPr>
              <w:t>・計画期間における成果目標を設定するとともに、目標達成のための方策を定める。</w:t>
            </w:r>
            <w:r>
              <w:rPr>
                <w:rFonts w:hint="eastAsia"/>
                <w:sz w:val="21"/>
              </w:rPr>
              <w:t>(</w:t>
            </w:r>
            <w:r>
              <w:rPr>
                <w:rFonts w:hint="eastAsia"/>
                <w:sz w:val="21"/>
              </w:rPr>
              <w:t>成果目標については</w:t>
            </w:r>
            <w:r>
              <w:rPr>
                <w:rFonts w:hint="eastAsia"/>
                <w:sz w:val="21"/>
              </w:rPr>
              <w:t>6P</w:t>
            </w:r>
            <w:r>
              <w:rPr>
                <w:rFonts w:hint="eastAsia"/>
                <w:sz w:val="21"/>
              </w:rPr>
              <w:t>参照</w:t>
            </w:r>
            <w:r>
              <w:rPr>
                <w:rFonts w:hint="eastAsia"/>
                <w:sz w:val="21"/>
              </w:rPr>
              <w:t>)</w:t>
            </w:r>
          </w:p>
          <w:p>
            <w:pPr>
              <w:pStyle w:val="0"/>
              <w:spacing w:after="70" w:afterLines="20" w:afterAutospacing="0" w:line="0" w:lineRule="atLeast"/>
              <w:ind w:left="214" w:hanging="214" w:hangingChars="100"/>
              <w:rPr>
                <w:rFonts w:hint="default"/>
                <w:sz w:val="21"/>
              </w:rPr>
            </w:pPr>
            <w:r>
              <w:rPr>
                <w:rFonts w:hint="eastAsia"/>
                <w:sz w:val="21"/>
              </w:rPr>
              <w:t>・障害児通所支援や障がい児相談支援等のサービスについて、計画期間の各年度における見込量</w:t>
            </w:r>
            <w:r>
              <w:rPr>
                <w:rFonts w:hint="eastAsia"/>
                <w:sz w:val="21"/>
              </w:rPr>
              <w:t>(</w:t>
            </w:r>
            <w:r>
              <w:rPr>
                <w:rFonts w:hint="eastAsia"/>
                <w:sz w:val="21"/>
              </w:rPr>
              <w:t>利用量</w:t>
            </w:r>
            <w:r>
              <w:rPr>
                <w:rFonts w:hint="eastAsia"/>
                <w:sz w:val="21"/>
              </w:rPr>
              <w:t>)</w:t>
            </w:r>
            <w:r>
              <w:rPr>
                <w:rFonts w:hint="eastAsia"/>
                <w:sz w:val="21"/>
              </w:rPr>
              <w:t>を設定するとともに、見込量を確保するための方策を定める。</w:t>
            </w:r>
          </w:p>
        </w:tc>
      </w:tr>
      <w:tr>
        <w:trPr/>
        <w:tc>
          <w:tcPr>
            <w:tcW w:w="1134" w:type="dxa"/>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策定指針</w:t>
            </w:r>
          </w:p>
        </w:tc>
        <w:tc>
          <w:tcPr>
            <w:tcW w:w="7790" w:type="dxa"/>
            <w:vAlign w:val="top"/>
          </w:tcPr>
          <w:p>
            <w:pPr>
              <w:pStyle w:val="0"/>
              <w:widowControl w:val="1"/>
              <w:jc w:val="left"/>
              <w:rPr>
                <w:rFonts w:hint="default"/>
                <w:sz w:val="21"/>
              </w:rPr>
            </w:pPr>
            <w:r>
              <w:rPr>
                <w:rFonts w:hint="eastAsia"/>
                <w:sz w:val="21"/>
              </w:rPr>
              <w:t>国の「障害福祉計画及び障害児福祉計画に係る基本指針」に基づく。</w:t>
            </w:r>
          </w:p>
        </w:tc>
      </w:tr>
      <w:tr>
        <w:trPr/>
        <w:tc>
          <w:tcPr>
            <w:tcW w:w="1134" w:type="dxa"/>
            <w:vAlign w:val="center"/>
          </w:tcPr>
          <w:p>
            <w:pPr>
              <w:pStyle w:val="0"/>
              <w:widowControl w:val="1"/>
              <w:jc w:val="center"/>
              <w:rPr>
                <w:rFonts w:hint="default" w:ascii="ＭＳ ゴシック" w:hAnsi="ＭＳ ゴシック" w:eastAsia="ＭＳ ゴシック"/>
                <w:sz w:val="21"/>
              </w:rPr>
            </w:pPr>
            <w:r>
              <w:rPr>
                <w:rFonts w:hint="eastAsia" w:ascii="ＭＳ ゴシック" w:hAnsi="ＭＳ ゴシック" w:eastAsia="ＭＳ ゴシック"/>
                <w:sz w:val="21"/>
              </w:rPr>
              <w:t>位置づけ</w:t>
            </w:r>
          </w:p>
        </w:tc>
        <w:tc>
          <w:tcPr>
            <w:tcW w:w="7790" w:type="dxa"/>
            <w:vAlign w:val="top"/>
          </w:tcPr>
          <w:p>
            <w:pPr>
              <w:pStyle w:val="0"/>
              <w:spacing w:line="0" w:lineRule="atLeast"/>
              <w:rPr>
                <w:rFonts w:hint="default"/>
                <w:sz w:val="21"/>
              </w:rPr>
            </w:pPr>
            <w:r>
              <w:rPr>
                <w:rFonts w:hint="eastAsia"/>
                <w:sz w:val="21"/>
              </w:rPr>
              <w:t>障がい者計画のうち、障がい児に係る成果目標や障害児通所支援等のサービスに関する実施計画。</w:t>
            </w:r>
          </w:p>
        </w:tc>
      </w:tr>
    </w:tbl>
    <w:p>
      <w:pPr>
        <w:pStyle w:val="19"/>
        <w:rPr>
          <w:rFonts w:hint="default"/>
        </w:rPr>
      </w:pPr>
    </w:p>
    <w:p>
      <w:pPr>
        <w:pStyle w:val="19"/>
        <w:rPr>
          <w:rFonts w:hint="default"/>
        </w:rPr>
      </w:pPr>
    </w:p>
    <w:p>
      <w:pPr>
        <w:pStyle w:val="19"/>
        <w:rPr>
          <w:rFonts w:hint="default"/>
        </w:rPr>
      </w:pPr>
    </w:p>
    <w:p>
      <w:pPr>
        <w:pStyle w:val="19"/>
        <w:rPr>
          <w:rFonts w:hint="default"/>
        </w:rPr>
      </w:pPr>
    </w:p>
    <w:p>
      <w:pPr>
        <w:pStyle w:val="19"/>
        <w:rPr>
          <w:rFonts w:hint="default"/>
        </w:rPr>
      </w:pPr>
    </w:p>
    <w:p>
      <w:pPr>
        <w:pStyle w:val="0"/>
        <w:widowControl w:val="1"/>
        <w:jc w:val="left"/>
        <w:rPr>
          <w:rFonts w:hint="default"/>
          <w:sz w:val="21"/>
        </w:rPr>
      </w:pPr>
      <w:r>
        <w:rPr>
          <w:rFonts w:hint="default"/>
        </w:rPr>
        <w:br w:type="page"/>
      </w:r>
    </w:p>
    <w:p>
      <w:pPr>
        <w:pStyle w:val="23"/>
        <w:rPr>
          <w:rFonts w:hint="default"/>
        </w:rPr>
      </w:pPr>
      <w:bookmarkStart w:id="12" w:name="_Toc158300399"/>
      <w:r>
        <w:rPr>
          <w:rFonts w:hint="eastAsia"/>
        </w:rPr>
        <w:t>４．計画の位置づけ</w:t>
      </w:r>
      <w:bookmarkEnd w:id="12"/>
    </w:p>
    <w:p>
      <w:pPr>
        <w:pStyle w:val="0"/>
        <w:spacing w:after="70" w:afterLines="20" w:afterAutospacing="0"/>
        <w:ind w:left="224" w:leftChars="100"/>
        <w:outlineLvl w:val="3"/>
        <w:rPr>
          <w:rFonts w:hint="default" w:ascii="ＭＳ ゴシック" w:hAnsi="ＭＳ ゴシック" w:eastAsia="ＭＳ ゴシック"/>
        </w:rPr>
      </w:pPr>
      <w:r>
        <w:rPr>
          <w:rFonts w:hint="eastAsia" w:ascii="ＭＳ ゴシック" w:hAnsi="ＭＳ ゴシック" w:eastAsia="ＭＳ ゴシック"/>
        </w:rPr>
        <w:t>(</w:t>
      </w:r>
      <w:r>
        <w:rPr>
          <w:rFonts w:hint="default" w:ascii="ＭＳ ゴシック" w:hAnsi="ＭＳ ゴシック" w:eastAsia="ＭＳ ゴシック"/>
        </w:rPr>
        <w:t>１</w:t>
      </w:r>
      <w:r>
        <w:rPr>
          <w:rFonts w:hint="eastAsia" w:ascii="ＭＳ ゴシック" w:hAnsi="ＭＳ ゴシック" w:eastAsia="ＭＳ ゴシック"/>
        </w:rPr>
        <w:t>)</w:t>
      </w:r>
      <w:r>
        <w:rPr>
          <w:rFonts w:hint="eastAsia" w:ascii="ＭＳ ゴシック" w:hAnsi="ＭＳ ゴシック" w:eastAsia="ＭＳ ゴシック"/>
        </w:rPr>
        <w:t>関連する計画との整合</w:t>
      </w:r>
    </w:p>
    <w:p>
      <w:pPr>
        <w:pStyle w:val="0"/>
        <w:ind w:left="662" w:leftChars="200" w:hanging="214" w:hangingChars="100"/>
        <w:rPr>
          <w:rFonts w:hint="default"/>
          <w:sz w:val="21"/>
        </w:rPr>
      </w:pPr>
      <w:r>
        <w:rPr>
          <w:rFonts w:hint="eastAsia"/>
          <w:sz w:val="21"/>
        </w:rPr>
        <w:t>○本計画は、｢第五次南風原町総合計画｣に即するもので、総合計画の個別計画として位置づけられます。</w:t>
      </w:r>
    </w:p>
    <w:p>
      <w:pPr>
        <w:pStyle w:val="0"/>
        <w:ind w:left="662" w:leftChars="200" w:hanging="214" w:hangingChars="100"/>
        <w:rPr>
          <w:rFonts w:hint="default"/>
          <w:sz w:val="21"/>
        </w:rPr>
      </w:pPr>
      <w:r>
        <w:rPr>
          <w:rFonts w:hint="eastAsia"/>
          <w:sz w:val="21"/>
        </w:rPr>
        <w:t>○本計画は、福祉分野の横断的な連携を図るための上位計画である「第三次南風原町地域福祉推進計画」と整合性を図ります。</w:t>
      </w:r>
    </w:p>
    <w:p>
      <w:pPr>
        <w:pStyle w:val="0"/>
        <w:ind w:left="662" w:leftChars="200" w:hanging="214" w:hangingChars="100"/>
        <w:rPr>
          <w:rFonts w:hint="default"/>
          <w:sz w:val="21"/>
        </w:rPr>
      </w:pPr>
      <w:r>
        <w:rPr>
          <w:rFonts w:hint="eastAsia"/>
          <w:sz w:val="21"/>
        </w:rPr>
        <w:t>○本計画は、｢南風原町高齢者保健福祉計画｣、｢南風原町子ども・子育て支援事業計画｣、｢健康はえばる</w:t>
      </w:r>
      <w:r>
        <w:rPr>
          <w:rFonts w:hint="eastAsia"/>
          <w:sz w:val="21"/>
        </w:rPr>
        <w:t>21</w:t>
      </w:r>
      <w:r>
        <w:rPr>
          <w:rFonts w:hint="eastAsia"/>
          <w:sz w:val="21"/>
        </w:rPr>
        <w:t>｣、｢南風原町地域防災計画｣及び関連する他分野の個別計画との整合性を図ります。</w:t>
      </w:r>
    </w:p>
    <w:p>
      <w:pPr>
        <w:pStyle w:val="0"/>
        <w:ind w:left="662" w:leftChars="200" w:hanging="214" w:hangingChars="100"/>
        <w:rPr>
          <w:rFonts w:hint="default"/>
          <w:sz w:val="21"/>
        </w:rPr>
      </w:pPr>
      <w:r>
        <w:rPr>
          <w:rFonts w:hint="eastAsia"/>
          <w:sz w:val="21"/>
        </w:rPr>
        <w:t>○</w:t>
      </w:r>
      <w:r>
        <w:rPr>
          <w:rFonts w:hint="default"/>
          <w:sz w:val="21"/>
        </w:rPr>
        <w:t>本計画は、第</w:t>
      </w:r>
      <w:r>
        <w:rPr>
          <w:rFonts w:hint="eastAsia"/>
          <w:sz w:val="21"/>
        </w:rPr>
        <w:t>５</w:t>
      </w:r>
      <w:r>
        <w:rPr>
          <w:rFonts w:hint="default"/>
          <w:sz w:val="21"/>
        </w:rPr>
        <w:t>次障害者</w:t>
      </w:r>
      <w:r>
        <w:rPr>
          <w:rFonts w:hint="eastAsia"/>
          <w:sz w:val="21"/>
        </w:rPr>
        <w:t>基本</w:t>
      </w:r>
      <w:r>
        <w:rPr>
          <w:rFonts w:hint="default"/>
          <w:sz w:val="21"/>
        </w:rPr>
        <w:t>計画</w:t>
      </w:r>
      <w:r>
        <w:rPr>
          <w:rFonts w:hint="default"/>
          <w:sz w:val="21"/>
        </w:rPr>
        <w:t>(</w:t>
      </w:r>
      <w:r>
        <w:rPr>
          <w:rFonts w:hint="default"/>
          <w:sz w:val="21"/>
        </w:rPr>
        <w:t>国</w:t>
      </w:r>
      <w:r>
        <w:rPr>
          <w:rFonts w:hint="default"/>
          <w:sz w:val="21"/>
        </w:rPr>
        <w:t>)</w:t>
      </w:r>
      <w:r>
        <w:rPr>
          <w:rFonts w:hint="default"/>
          <w:sz w:val="21"/>
        </w:rPr>
        <w:t>や第</w:t>
      </w:r>
      <w:r>
        <w:rPr>
          <w:rFonts w:hint="eastAsia"/>
          <w:sz w:val="21"/>
        </w:rPr>
        <w:t>５</w:t>
      </w:r>
      <w:r>
        <w:rPr>
          <w:rFonts w:hint="default"/>
          <w:sz w:val="21"/>
        </w:rPr>
        <w:t>次沖縄県障害者基本計画を基本とし、第</w:t>
      </w:r>
      <w:r>
        <w:rPr>
          <w:rFonts w:hint="eastAsia"/>
          <w:sz w:val="21"/>
        </w:rPr>
        <w:t>７</w:t>
      </w:r>
      <w:r>
        <w:rPr>
          <w:rFonts w:hint="default"/>
          <w:sz w:val="21"/>
        </w:rPr>
        <w:t>期障害福祉計画等に係る基本指針を踏まえた計画とします。</w:t>
      </w:r>
    </w:p>
    <w:p>
      <w:pPr>
        <w:pStyle w:val="0"/>
        <w:widowControl w:val="1"/>
        <w:jc w:val="left"/>
        <w:rPr>
          <w:rFonts w:hint="default" w:asciiTheme="minorEastAsia" w:hAnsiTheme="minorEastAsia"/>
        </w:rPr>
      </w:pPr>
      <w:r>
        <w:rPr>
          <w:rFonts w:hint="default"/>
        </w:rPr>
        <mc:AlternateContent>
          <mc:Choice Requires="wpg">
            <w:drawing>
              <wp:anchor distT="0" distB="0" distL="114300" distR="114300" simplePos="0" relativeHeight="269" behindDoc="0" locked="0" layoutInCell="1" hidden="0" allowOverlap="1">
                <wp:simplePos x="0" y="0"/>
                <wp:positionH relativeFrom="margin">
                  <wp:align>right</wp:align>
                </wp:positionH>
                <wp:positionV relativeFrom="paragraph">
                  <wp:posOffset>55880</wp:posOffset>
                </wp:positionV>
                <wp:extent cx="2105025" cy="1104265"/>
                <wp:effectExtent l="635" t="635" r="29845" b="10795"/>
                <wp:wrapNone/>
                <wp:docPr id="1032" name="グループ化 262"/>
                <a:graphic xmlns:a="http://schemas.openxmlformats.org/drawingml/2006/main">
                  <a:graphicData uri="http://schemas.microsoft.com/office/word/2010/wordprocessingGroup">
                    <wpg:wgp>
                      <wpg:cNvGrpSpPr/>
                      <wpg:grpSpPr>
                        <a:xfrm>
                          <a:off x="0" y="0"/>
                          <a:ext cx="2105025" cy="1104265"/>
                          <a:chOff x="-57158" y="19050"/>
                          <a:chExt cx="2105313" cy="1104680"/>
                        </a:xfrm>
                      </wpg:grpSpPr>
                      <wpg:grpSp>
                        <wpg:cNvGrpSpPr/>
                        <wpg:grpSpPr>
                          <a:xfrm>
                            <a:off x="314522" y="65837"/>
                            <a:ext cx="1679650" cy="633635"/>
                            <a:chOff x="-32" y="-17499"/>
                            <a:chExt cx="1680239" cy="420370"/>
                          </a:xfrm>
                        </wpg:grpSpPr>
                        <wps:wsp>
                          <wps:cNvPr id="1034" name="Rectangle 42"/>
                          <wps:cNvSpPr>
                            <a:spLocks noChangeArrowheads="1"/>
                          </wps:cNvSpPr>
                          <wps:spPr>
                            <a:xfrm>
                              <a:off x="-32" y="-17499"/>
                              <a:ext cx="1680239" cy="420370"/>
                            </a:xfrm>
                            <a:prstGeom prst="rect">
                              <a:avLst/>
                            </a:prstGeom>
                            <a:solidFill>
                              <a:schemeClr val="bg1"/>
                            </a:solidFill>
                            <a:ln w="9525">
                              <a:solidFill>
                                <a:srgbClr val="000000"/>
                              </a:solidFill>
                              <a:miter lim="800000"/>
                              <a:headEnd/>
                              <a:tailEnd/>
                            </a:ln>
                          </wps:spPr>
                          <wps:bodyPr/>
                        </wps:wsp>
                        <wps:wsp>
                          <wps:cNvPr id="1035" name="Text Box 54"/>
                          <wps:cNvSpPr txBox="1">
                            <a:spLocks noChangeArrowheads="1"/>
                          </wps:cNvSpPr>
                          <wps:spPr>
                            <a:xfrm>
                              <a:off x="85686" y="4534"/>
                              <a:ext cx="1513803" cy="237380"/>
                            </a:xfrm>
                            <a:prstGeom prst="rect">
                              <a:avLst/>
                            </a:prstGeom>
                            <a:solidFill>
                              <a:schemeClr val="bg1"/>
                            </a:solidFill>
                            <a:ln>
                              <a:noFill/>
                            </a:ln>
                          </wps:spPr>
                          <wps:txbx>
                            <w:txbxContent>
                              <w:p>
                                <w:pPr>
                                  <w:pStyle w:val="0"/>
                                  <w:spacing w:line="0" w:lineRule="atLeast"/>
                                  <w:rPr>
                                    <w:rFonts w:hint="default" w:ascii="ＭＳ ゴシック" w:hAnsi="ＭＳ ゴシック" w:eastAsia="ＭＳ ゴシック"/>
                                    <w:w w:val="90"/>
                                    <w:sz w:val="20"/>
                                  </w:rPr>
                                </w:pPr>
                                <w:r>
                                  <w:rPr>
                                    <w:rFonts w:hint="eastAsia" w:ascii="ＭＳ ゴシック" w:hAnsi="ＭＳ ゴシック" w:eastAsia="ＭＳ ゴシック"/>
                                    <w:w w:val="90"/>
                                    <w:sz w:val="20"/>
                                  </w:rPr>
                                  <w:t>第７期障害</w:t>
                                </w:r>
                                <w:r>
                                  <w:rPr>
                                    <w:rFonts w:hint="default" w:ascii="ＭＳ ゴシック" w:hAnsi="ＭＳ ゴシック" w:eastAsia="ＭＳ ゴシック"/>
                                    <w:w w:val="90"/>
                                    <w:sz w:val="20"/>
                                  </w:rPr>
                                  <w:t>福祉計画等に係る基本指針</w:t>
                                </w:r>
                              </w:p>
                            </w:txbxContent>
                          </wps:txbx>
                          <wps:bodyPr rot="0" vertOverflow="overflow" horzOverflow="overflow" wrap="square" lIns="0" tIns="0" rIns="0" bIns="0" anchor="ctr" anchorCtr="0" upright="1"/>
                        </wps:wsp>
                      </wpg:grpSp>
                      <wpg:grpSp>
                        <wpg:cNvGrpSpPr/>
                        <wpg:grpSpPr>
                          <a:xfrm>
                            <a:off x="168200" y="482803"/>
                            <a:ext cx="1729873" cy="420370"/>
                            <a:chOff x="-50" y="0"/>
                            <a:chExt cx="1730479" cy="420370"/>
                          </a:xfrm>
                        </wpg:grpSpPr>
                        <wps:wsp>
                          <wps:cNvPr id="1037" name="Rectangle 42"/>
                          <wps:cNvSpPr>
                            <a:spLocks noChangeArrowheads="1"/>
                          </wps:cNvSpPr>
                          <wps:spPr>
                            <a:xfrm>
                              <a:off x="-50" y="0"/>
                              <a:ext cx="1730479" cy="420370"/>
                            </a:xfrm>
                            <a:prstGeom prst="rect">
                              <a:avLst/>
                            </a:prstGeom>
                            <a:solidFill>
                              <a:schemeClr val="bg1"/>
                            </a:solidFill>
                            <a:ln w="9525">
                              <a:solidFill>
                                <a:srgbClr val="000000"/>
                              </a:solidFill>
                              <a:miter lim="800000"/>
                              <a:headEnd/>
                              <a:tailEnd/>
                            </a:ln>
                          </wps:spPr>
                          <wps:bodyPr/>
                        </wps:wsp>
                        <wps:wsp>
                          <wps:cNvPr id="1038" name="Text Box 54"/>
                          <wps:cNvSpPr txBox="1">
                            <a:spLocks noChangeArrowheads="1"/>
                          </wps:cNvSpPr>
                          <wps:spPr>
                            <a:xfrm>
                              <a:off x="47436" y="57150"/>
                              <a:ext cx="1673940" cy="215900"/>
                            </a:xfrm>
                            <a:prstGeom prst="rect">
                              <a:avLst/>
                            </a:prstGeom>
                            <a:solidFill>
                              <a:schemeClr val="bg1"/>
                            </a:solidFill>
                            <a:ln>
                              <a:noFill/>
                            </a:ln>
                          </wps:spPr>
                          <wps:txbx>
                            <w:txbxContent>
                              <w:p>
                                <w:pPr>
                                  <w:pStyle w:val="0"/>
                                  <w:spacing w:line="0" w:lineRule="atLeast"/>
                                  <w:rPr>
                                    <w:rFonts w:hint="default" w:ascii="ＭＳ ゴシック" w:hAnsi="ＭＳ ゴシック" w:eastAsia="ＭＳ ゴシック"/>
                                    <w:w w:val="90"/>
                                    <w:sz w:val="20"/>
                                  </w:rPr>
                                </w:pPr>
                                <w:r>
                                  <w:rPr>
                                    <w:rFonts w:hint="default" w:ascii="ＭＳ ゴシック" w:hAnsi="ＭＳ ゴシック" w:eastAsia="ＭＳ ゴシック"/>
                                    <w:w w:val="90"/>
                                    <w:sz w:val="20"/>
                                  </w:rPr>
                                  <w:t>第</w:t>
                                </w:r>
                                <w:r>
                                  <w:rPr>
                                    <w:rFonts w:hint="eastAsia" w:ascii="ＭＳ ゴシック" w:hAnsi="ＭＳ ゴシック" w:eastAsia="ＭＳ ゴシック"/>
                                    <w:w w:val="90"/>
                                    <w:sz w:val="20"/>
                                  </w:rPr>
                                  <w:t>５</w:t>
                                </w:r>
                                <w:r>
                                  <w:rPr>
                                    <w:rFonts w:hint="default" w:ascii="ＭＳ ゴシック" w:hAnsi="ＭＳ ゴシック" w:eastAsia="ＭＳ ゴシック"/>
                                    <w:w w:val="90"/>
                                    <w:sz w:val="20"/>
                                  </w:rPr>
                                  <w:t>次</w:t>
                                </w:r>
                                <w:r>
                                  <w:rPr>
                                    <w:rFonts w:hint="eastAsia" w:ascii="ＭＳ ゴシック" w:hAnsi="ＭＳ ゴシック" w:eastAsia="ＭＳ ゴシック"/>
                                    <w:w w:val="90"/>
                                    <w:sz w:val="20"/>
                                  </w:rPr>
                                  <w:t>障害者基本計画</w:t>
                                </w:r>
                                <w:r>
                                  <w:rPr>
                                    <w:rFonts w:hint="default" w:ascii="ＭＳ ゴシック" w:hAnsi="ＭＳ ゴシック" w:eastAsia="ＭＳ ゴシック"/>
                                    <w:w w:val="90"/>
                                    <w:sz w:val="20"/>
                                  </w:rPr>
                                  <w:t>（</w:t>
                                </w:r>
                                <w:r>
                                  <w:rPr>
                                    <w:rFonts w:hint="eastAsia" w:ascii="ＭＳ ゴシック" w:hAnsi="ＭＳ ゴシック" w:eastAsia="ＭＳ ゴシック"/>
                                    <w:w w:val="90"/>
                                    <w:sz w:val="20"/>
                                  </w:rPr>
                                  <w:t>国）</w:t>
                                </w:r>
                              </w:p>
                            </w:txbxContent>
                          </wps:txbx>
                          <wps:bodyPr rot="0" vertOverflow="overflow" horzOverflow="overflow" wrap="square" lIns="0" tIns="0" rIns="0" bIns="0" anchor="ctr" anchorCtr="0" upright="1"/>
                        </wps:wsp>
                      </wpg:grpSp>
                      <wpg:grpSp>
                        <wpg:cNvGrpSpPr/>
                        <wpg:grpSpPr>
                          <a:xfrm>
                            <a:off x="15702" y="768096"/>
                            <a:ext cx="1756188" cy="302779"/>
                            <a:chOff x="-35505" y="0"/>
                            <a:chExt cx="1756188" cy="302779"/>
                          </a:xfrm>
                        </wpg:grpSpPr>
                        <wps:wsp>
                          <wps:cNvPr id="1040" name="Rectangle 42"/>
                          <wps:cNvSpPr>
                            <a:spLocks noChangeArrowheads="1"/>
                          </wps:cNvSpPr>
                          <wps:spPr>
                            <a:xfrm>
                              <a:off x="-35505" y="0"/>
                              <a:ext cx="1756188" cy="302779"/>
                            </a:xfrm>
                            <a:prstGeom prst="rect">
                              <a:avLst/>
                            </a:prstGeom>
                            <a:solidFill>
                              <a:schemeClr val="bg1"/>
                            </a:solidFill>
                            <a:ln w="9525">
                              <a:solidFill>
                                <a:srgbClr val="000000"/>
                              </a:solidFill>
                              <a:miter lim="800000"/>
                              <a:headEnd/>
                              <a:tailEnd/>
                            </a:ln>
                          </wps:spPr>
                          <wps:bodyPr/>
                        </wps:wsp>
                        <wps:wsp>
                          <wps:cNvPr id="1041" name="Text Box 54"/>
                          <wps:cNvSpPr txBox="1">
                            <a:spLocks noChangeArrowheads="1"/>
                          </wps:cNvSpPr>
                          <wps:spPr>
                            <a:xfrm>
                              <a:off x="-6127" y="53957"/>
                              <a:ext cx="1671078" cy="212009"/>
                            </a:xfrm>
                            <a:prstGeom prst="rect">
                              <a:avLst/>
                            </a:prstGeom>
                            <a:solidFill>
                              <a:schemeClr val="bg1"/>
                            </a:solidFill>
                            <a:ln>
                              <a:noFill/>
                            </a:ln>
                          </wps:spPr>
                          <wps:txbx>
                            <w:txbxContent>
                              <w:p>
                                <w:pPr>
                                  <w:pStyle w:val="0"/>
                                  <w:spacing w:line="0" w:lineRule="atLeast"/>
                                  <w:rPr>
                                    <w:rFonts w:hint="default" w:ascii="ＭＳ ゴシック" w:hAnsi="ＭＳ ゴシック" w:eastAsia="ＭＳ ゴシック"/>
                                    <w:w w:val="90"/>
                                    <w:sz w:val="20"/>
                                  </w:rPr>
                                </w:pPr>
                                <w:r>
                                  <w:rPr>
                                    <w:rFonts w:hint="eastAsia" w:ascii="ＭＳ ゴシック" w:hAnsi="ＭＳ ゴシック" w:eastAsia="ＭＳ ゴシック"/>
                                    <w:w w:val="90"/>
                                    <w:sz w:val="20"/>
                                  </w:rPr>
                                  <w:t>第５</w:t>
                                </w:r>
                                <w:r>
                                  <w:rPr>
                                    <w:rFonts w:hint="default" w:ascii="ＭＳ ゴシック" w:hAnsi="ＭＳ ゴシック" w:eastAsia="ＭＳ ゴシック"/>
                                    <w:w w:val="90"/>
                                    <w:sz w:val="20"/>
                                  </w:rPr>
                                  <w:t>次沖縄県障</w:t>
                                </w:r>
                                <w:r>
                                  <w:rPr>
                                    <w:rFonts w:hint="eastAsia" w:ascii="ＭＳ ゴシック" w:hAnsi="ＭＳ ゴシック" w:eastAsia="ＭＳ ゴシック"/>
                                    <w:w w:val="90"/>
                                    <w:sz w:val="20"/>
                                  </w:rPr>
                                  <w:t>害</w:t>
                                </w:r>
                                <w:r>
                                  <w:rPr>
                                    <w:rFonts w:hint="default" w:ascii="ＭＳ ゴシック" w:hAnsi="ＭＳ ゴシック" w:eastAsia="ＭＳ ゴシック"/>
                                    <w:w w:val="90"/>
                                    <w:sz w:val="20"/>
                                  </w:rPr>
                                  <w:t>者基本</w:t>
                                </w:r>
                                <w:r>
                                  <w:rPr>
                                    <w:rFonts w:hint="eastAsia" w:ascii="ＭＳ ゴシック" w:hAnsi="ＭＳ ゴシック" w:eastAsia="ＭＳ ゴシック"/>
                                    <w:w w:val="90"/>
                                    <w:sz w:val="20"/>
                                  </w:rPr>
                                  <w:t>計画</w:t>
                                </w:r>
                              </w:p>
                            </w:txbxContent>
                          </wps:txbx>
                          <wps:bodyPr rot="0" vertOverflow="overflow" horzOverflow="overflow" wrap="square" lIns="0" tIns="0" rIns="0" bIns="0" anchor="ctr" anchorCtr="0" upright="1"/>
                        </wps:wsp>
                      </wpg:grpSp>
                      <wps:wsp>
                        <wps:cNvPr id="1042" name="正方形/長方形 281"/>
                        <wps:cNvSpPr/>
                        <wps:spPr>
                          <a:xfrm>
                            <a:off x="-57158" y="19050"/>
                            <a:ext cx="2105313" cy="110468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262" style="mso-wrap-distance-right:9pt;mso-wrap-distance-bottom:0pt;margin-top:4.4000000000000004pt;mso-position-vertical-relative:text;mso-position-horizontal:right;mso-position-horizontal-relative:margin;position:absolute;height:86.95pt;mso-wrap-distance-top:0pt;width:165.75pt;mso-wrap-distance-left:9pt;z-index:269;" coordsize="2105313,1104680" coordorigin="-57158,19050" o:spid="_x0000_s1032" o:allowincell="t" o:allowoverlap="t">
                <v:group id="_x0000_s1033" style="height:633635;width:1679650;top:65837;left:314522;position:absolute;" coordsize="1680239,420370" coordorigin="-32,-17499">
                  <v:rect id="Rectangle 42" style="height:420370;width:1680239;top:-17499;left:-32;position:absolute;" o:spid="_x0000_s1034" filled="t" fillcolor="#ffffff [3212]" stroked="t" strokecolor="#000000" strokeweight="0.75pt" o:spt="1">
                    <v:fill/>
                    <v:stroke miterlimit="8" filltype="solid"/>
                    <v:textbox style="layout-flow:horizontal;"/>
                    <v:imagedata o:title=""/>
                    <w10:wrap type="none" anchorx="margin" anchory="text"/>
                  </v:rect>
                  <v:shapetype id="_x0000_t202" coordsize="21600,21600" o:spt="202" path="m,l,21600r21600,l21600,xe">
                    <v:stroke joinstyle="miter"/>
                    <v:path gradientshapeok="t" o:connecttype="rect"/>
                  </v:shapetype>
                  <v:shape id="Text Box 54" style="height:237380;width:1513803;top:4534;left:85686;v-text-anchor:middle;position:absolute;" o:spid="_x0000_s1035" filled="t" fillcolor="#ffffff [3212]" stroked="f" o:spt="202" type="#_x0000_t202">
                    <v:fill/>
                    <v:textbox style="layout-flow:horizontal;" inset="0mm,0mm,0mm,0mm">
                      <w:txbxContent>
                        <w:p>
                          <w:pPr>
                            <w:pStyle w:val="0"/>
                            <w:spacing w:line="0" w:lineRule="atLeast"/>
                            <w:rPr>
                              <w:rFonts w:hint="default" w:ascii="ＭＳ ゴシック" w:hAnsi="ＭＳ ゴシック" w:eastAsia="ＭＳ ゴシック"/>
                              <w:w w:val="90"/>
                              <w:sz w:val="20"/>
                            </w:rPr>
                          </w:pPr>
                          <w:r>
                            <w:rPr>
                              <w:rFonts w:hint="eastAsia" w:ascii="ＭＳ ゴシック" w:hAnsi="ＭＳ ゴシック" w:eastAsia="ＭＳ ゴシック"/>
                              <w:w w:val="90"/>
                              <w:sz w:val="20"/>
                            </w:rPr>
                            <w:t>第７期障害</w:t>
                          </w:r>
                          <w:r>
                            <w:rPr>
                              <w:rFonts w:hint="default" w:ascii="ＭＳ ゴシック" w:hAnsi="ＭＳ ゴシック" w:eastAsia="ＭＳ ゴシック"/>
                              <w:w w:val="90"/>
                              <w:sz w:val="20"/>
                            </w:rPr>
                            <w:t>福祉計画等に係る基本指針</w:t>
                          </w:r>
                        </w:p>
                      </w:txbxContent>
                    </v:textbox>
                    <v:imagedata o:title=""/>
                    <w10:wrap type="none" anchorx="margin" anchory="text"/>
                  </v:shape>
                  <w10:wrap type="none" anchorx="margin" anchory="text"/>
                </v:group>
                <v:group id="_x0000_s1036" style="height:420370;width:1729873;top:482803;left:168200;position:absolute;" coordsize="1730479,420370" coordorigin="-50,0">
                  <v:rect id="Rectangle 42" style="height:420370;width:1730479;top:0;left:-50;position:absolute;" o:spid="_x0000_s1037" filled="t" fillcolor="#ffffff [3212]" stroked="t" strokecolor="#000000" strokeweight="0.75pt" o:spt="1">
                    <v:fill/>
                    <v:stroke miterlimit="8" filltype="solid"/>
                    <v:textbox style="layout-flow:horizontal;"/>
                    <v:imagedata o:title=""/>
                    <w10:wrap type="none" anchorx="margin" anchory="text"/>
                  </v:rect>
                  <v:shape id="Text Box 54" style="height:215900;width:1673940;top:57150;left:47436;v-text-anchor:middle;position:absolute;" o:spid="_x0000_s1038" filled="t" fillcolor="#ffffff [3212]" stroked="f" o:spt="202" type="#_x0000_t202">
                    <v:fill/>
                    <v:textbox style="layout-flow:horizontal;" inset="0mm,0mm,0mm,0mm">
                      <w:txbxContent>
                        <w:p>
                          <w:pPr>
                            <w:pStyle w:val="0"/>
                            <w:spacing w:line="0" w:lineRule="atLeast"/>
                            <w:rPr>
                              <w:rFonts w:hint="default" w:ascii="ＭＳ ゴシック" w:hAnsi="ＭＳ ゴシック" w:eastAsia="ＭＳ ゴシック"/>
                              <w:w w:val="90"/>
                              <w:sz w:val="20"/>
                            </w:rPr>
                          </w:pPr>
                          <w:r>
                            <w:rPr>
                              <w:rFonts w:hint="default" w:ascii="ＭＳ ゴシック" w:hAnsi="ＭＳ ゴシック" w:eastAsia="ＭＳ ゴシック"/>
                              <w:w w:val="90"/>
                              <w:sz w:val="20"/>
                            </w:rPr>
                            <w:t>第</w:t>
                          </w:r>
                          <w:r>
                            <w:rPr>
                              <w:rFonts w:hint="eastAsia" w:ascii="ＭＳ ゴシック" w:hAnsi="ＭＳ ゴシック" w:eastAsia="ＭＳ ゴシック"/>
                              <w:w w:val="90"/>
                              <w:sz w:val="20"/>
                            </w:rPr>
                            <w:t>５</w:t>
                          </w:r>
                          <w:r>
                            <w:rPr>
                              <w:rFonts w:hint="default" w:ascii="ＭＳ ゴシック" w:hAnsi="ＭＳ ゴシック" w:eastAsia="ＭＳ ゴシック"/>
                              <w:w w:val="90"/>
                              <w:sz w:val="20"/>
                            </w:rPr>
                            <w:t>次</w:t>
                          </w:r>
                          <w:r>
                            <w:rPr>
                              <w:rFonts w:hint="eastAsia" w:ascii="ＭＳ ゴシック" w:hAnsi="ＭＳ ゴシック" w:eastAsia="ＭＳ ゴシック"/>
                              <w:w w:val="90"/>
                              <w:sz w:val="20"/>
                            </w:rPr>
                            <w:t>障害者基本計画</w:t>
                          </w:r>
                          <w:r>
                            <w:rPr>
                              <w:rFonts w:hint="default" w:ascii="ＭＳ ゴシック" w:hAnsi="ＭＳ ゴシック" w:eastAsia="ＭＳ ゴシック"/>
                              <w:w w:val="90"/>
                              <w:sz w:val="20"/>
                            </w:rPr>
                            <w:t>（</w:t>
                          </w:r>
                          <w:r>
                            <w:rPr>
                              <w:rFonts w:hint="eastAsia" w:ascii="ＭＳ ゴシック" w:hAnsi="ＭＳ ゴシック" w:eastAsia="ＭＳ ゴシック"/>
                              <w:w w:val="90"/>
                              <w:sz w:val="20"/>
                            </w:rPr>
                            <w:t>国）</w:t>
                          </w:r>
                        </w:p>
                      </w:txbxContent>
                    </v:textbox>
                    <v:imagedata o:title=""/>
                    <w10:wrap type="none" anchorx="margin" anchory="text"/>
                  </v:shape>
                  <w10:wrap type="none" anchorx="margin" anchory="text"/>
                </v:group>
                <v:group id="_x0000_s1039" style="height:302779;width:1756188;top:768096;left:15702;position:absolute;" coordsize="1756188,302779" coordorigin="-35505,0">
                  <v:rect id="Rectangle 42" style="height:302779;width:1756188;top:0;left:-35505;position:absolute;" o:spid="_x0000_s1040" filled="t" fillcolor="#ffffff [3212]" stroked="t" strokecolor="#000000" strokeweight="0.75pt" o:spt="1">
                    <v:fill/>
                    <v:stroke miterlimit="8" filltype="solid"/>
                    <v:textbox style="layout-flow:horizontal;"/>
                    <v:imagedata o:title=""/>
                    <w10:wrap type="none" anchorx="margin" anchory="text"/>
                  </v:rect>
                  <v:shape id="Text Box 54" style="height:212009;width:1671078;top:53957;left:-6127;v-text-anchor:middle;position:absolute;" o:spid="_x0000_s1041" filled="t" fillcolor="#ffffff [3212]" stroked="f" o:spt="202" type="#_x0000_t202">
                    <v:fill/>
                    <v:textbox style="layout-flow:horizontal;" inset="0mm,0mm,0mm,0mm">
                      <w:txbxContent>
                        <w:p>
                          <w:pPr>
                            <w:pStyle w:val="0"/>
                            <w:spacing w:line="0" w:lineRule="atLeast"/>
                            <w:rPr>
                              <w:rFonts w:hint="default" w:ascii="ＭＳ ゴシック" w:hAnsi="ＭＳ ゴシック" w:eastAsia="ＭＳ ゴシック"/>
                              <w:w w:val="90"/>
                              <w:sz w:val="20"/>
                            </w:rPr>
                          </w:pPr>
                          <w:r>
                            <w:rPr>
                              <w:rFonts w:hint="eastAsia" w:ascii="ＭＳ ゴシック" w:hAnsi="ＭＳ ゴシック" w:eastAsia="ＭＳ ゴシック"/>
                              <w:w w:val="90"/>
                              <w:sz w:val="20"/>
                            </w:rPr>
                            <w:t>第５</w:t>
                          </w:r>
                          <w:r>
                            <w:rPr>
                              <w:rFonts w:hint="default" w:ascii="ＭＳ ゴシック" w:hAnsi="ＭＳ ゴシック" w:eastAsia="ＭＳ ゴシック"/>
                              <w:w w:val="90"/>
                              <w:sz w:val="20"/>
                            </w:rPr>
                            <w:t>次沖縄県障</w:t>
                          </w:r>
                          <w:r>
                            <w:rPr>
                              <w:rFonts w:hint="eastAsia" w:ascii="ＭＳ ゴシック" w:hAnsi="ＭＳ ゴシック" w:eastAsia="ＭＳ ゴシック"/>
                              <w:w w:val="90"/>
                              <w:sz w:val="20"/>
                            </w:rPr>
                            <w:t>害</w:t>
                          </w:r>
                          <w:r>
                            <w:rPr>
                              <w:rFonts w:hint="default" w:ascii="ＭＳ ゴシック" w:hAnsi="ＭＳ ゴシック" w:eastAsia="ＭＳ ゴシック"/>
                              <w:w w:val="90"/>
                              <w:sz w:val="20"/>
                            </w:rPr>
                            <w:t>者基本</w:t>
                          </w:r>
                          <w:r>
                            <w:rPr>
                              <w:rFonts w:hint="eastAsia" w:ascii="ＭＳ ゴシック" w:hAnsi="ＭＳ ゴシック" w:eastAsia="ＭＳ ゴシック"/>
                              <w:w w:val="90"/>
                              <w:sz w:val="20"/>
                            </w:rPr>
                            <w:t>計画</w:t>
                          </w:r>
                        </w:p>
                      </w:txbxContent>
                    </v:textbox>
                    <v:imagedata o:title=""/>
                    <w10:wrap type="none" anchorx="margin" anchory="text"/>
                  </v:shape>
                  <w10:wrap type="none" anchorx="margin" anchory="text"/>
                </v:group>
                <v:rect id="正方形/長方形 281" style="height:1104680;width:2105313;top:19050;left:-57158;position:absolute;" o:spid="_x0000_s1042" filled="f" stroked="t" strokecolor="#000000 [3213]" strokeweight="1pt" o:spt="1">
                  <v:fill/>
                  <v:stroke linestyle="single" miterlimit="8" endcap="flat" dashstyle="shortdash" filltype="solid"/>
                  <v:textbox style="layout-flow:horizontal;"/>
                  <v:imagedata o:title=""/>
                  <w10:wrap type="none" anchorx="margin" anchory="text"/>
                </v:rect>
                <w10:wrap type="none" anchorx="margin" anchory="text"/>
              </v:group>
            </w:pict>
          </mc:Fallback>
        </mc:AlternateContent>
      </w:r>
    </w:p>
    <w:p>
      <w:pPr>
        <w:pStyle w:val="0"/>
        <w:spacing w:after="78" w:afterLines="0" w:afterAutospacing="0"/>
        <w:rPr>
          <w:rFonts w:hint="default"/>
        </w:rPr>
      </w:pPr>
      <w:r>
        <w:rPr>
          <w:rFonts w:hint="eastAsia"/>
        </w:rPr>
        <mc:AlternateContent>
          <mc:Choice Requires="wps">
            <w:drawing>
              <wp:anchor distT="0" distB="0" distL="114300" distR="114300" simplePos="0" relativeHeight="280" behindDoc="0" locked="0" layoutInCell="1" hidden="0" allowOverlap="1">
                <wp:simplePos x="0" y="0"/>
                <wp:positionH relativeFrom="column">
                  <wp:posOffset>807085</wp:posOffset>
                </wp:positionH>
                <wp:positionV relativeFrom="paragraph">
                  <wp:posOffset>213360</wp:posOffset>
                </wp:positionV>
                <wp:extent cx="2514600" cy="671195"/>
                <wp:effectExtent l="24130" t="24130" r="48895" b="39370"/>
                <wp:wrapNone/>
                <wp:docPr id="1043" name="角丸四角形 76"/>
                <a:graphic xmlns:a="http://schemas.openxmlformats.org/drawingml/2006/main">
                  <a:graphicData uri="http://schemas.microsoft.com/office/word/2010/wordprocessingShape">
                    <wps:wsp>
                      <wps:cNvPr id="1043" name="角丸四角形 76"/>
                      <wps:cNvSpPr>
                        <a:spLocks noChangeArrowheads="1"/>
                      </wps:cNvSpPr>
                      <wps:spPr>
                        <a:xfrm>
                          <a:off x="0" y="0"/>
                          <a:ext cx="2514600" cy="671195"/>
                        </a:xfrm>
                        <a:prstGeom prst="roundRect">
                          <a:avLst>
                            <a:gd name="adj" fmla="val 16667"/>
                          </a:avLst>
                        </a:prstGeom>
                        <a:solidFill>
                          <a:srgbClr val="FFFFFF"/>
                        </a:solidFill>
                        <a:ln w="47625" cmpd="dbl" algn="ctr">
                          <a:solidFill>
                            <a:srgbClr val="000000"/>
                          </a:solidFill>
                          <a:round/>
                          <a:headEnd/>
                          <a:tailEnd/>
                        </a:ln>
                        <a:effectLst/>
                      </wps:spPr>
                      <wps:txbx>
                        <w:txbxContent>
                          <w:p>
                            <w:pPr>
                              <w:pStyle w:val="0"/>
                              <w:spacing w:line="0" w:lineRule="atLeast"/>
                              <w:jc w:val="center"/>
                              <w:rPr>
                                <w:rFonts w:hint="default" w:ascii="ＭＳ ゴシック" w:hAnsi="ＭＳ ゴシック" w:eastAsia="ＭＳ ゴシック"/>
                                <w:sz w:val="6"/>
                              </w:rPr>
                            </w:pPr>
                          </w:p>
                          <w:p>
                            <w:pPr>
                              <w:pStyle w:val="0"/>
                              <w:spacing w:line="0" w:lineRule="atLeast"/>
                              <w:jc w:val="center"/>
                              <w:rPr>
                                <w:rFonts w:hint="default" w:ascii="ＭＳ ゴシック" w:hAnsi="ＭＳ ゴシック" w:eastAsia="ＭＳ ゴシック"/>
                                <w:sz w:val="24"/>
                              </w:rPr>
                            </w:pPr>
                            <w:r>
                              <w:rPr>
                                <w:rFonts w:hint="eastAsia" w:ascii="ＭＳ ゴシック" w:hAnsi="ＭＳ ゴシック" w:eastAsia="ＭＳ ゴシック"/>
                                <w:sz w:val="24"/>
                              </w:rPr>
                              <w:t>第五次南風原町総合計画</w:t>
                            </w:r>
                          </w:p>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（平成</w:t>
                            </w:r>
                            <w:r>
                              <w:rPr>
                                <w:rFonts w:hint="eastAsia" w:ascii="ＭＳ ゴシック" w:hAnsi="ＭＳ ゴシック" w:eastAsia="ＭＳ ゴシック"/>
                              </w:rPr>
                              <w:t>29</w:t>
                            </w:r>
                            <w:r>
                              <w:rPr>
                                <w:rFonts w:hint="eastAsia" w:ascii="ＭＳ ゴシック" w:hAnsi="ＭＳ ゴシック" w:eastAsia="ＭＳ ゴシック"/>
                              </w:rPr>
                              <w:t>年度～</w:t>
                            </w:r>
                            <w:r>
                              <w:rPr>
                                <w:rFonts w:hint="eastAsia" w:ascii="ＭＳ ゴシック" w:hAnsi="ＭＳ ゴシック" w:eastAsia="ＭＳ ゴシック"/>
                                <w:color w:val="000000" w:themeColor="text1"/>
                              </w:rPr>
                              <w:t>令和８年</w:t>
                            </w:r>
                            <w:r>
                              <w:rPr>
                                <w:rFonts w:hint="eastAsia" w:ascii="ＭＳ ゴシック" w:hAnsi="ＭＳ ゴシック" w:eastAsia="ＭＳ ゴシック"/>
                              </w:rPr>
                              <w:t>度）</w:t>
                            </w:r>
                          </w:p>
                        </w:txbxContent>
                      </wps:txbx>
                      <wps:bodyPr rot="0" vertOverflow="overflow" horzOverflow="overflow" wrap="square" lIns="74295" tIns="0" rIns="74295" bIns="8890" anchor="ctr" anchorCtr="0" upright="1"/>
                    </wps:wsp>
                  </a:graphicData>
                </a:graphic>
              </wp:anchor>
            </w:drawing>
          </mc:Choice>
          <mc:Fallback>
            <w:pict>
              <v:roundrect id="角丸四角形 76" style="mso-wrap-distance-right:9pt;mso-wrap-distance-bottom:0pt;margin-top:16.8pt;mso-position-vertical-relative:text;mso-position-horizontal-relative:text;v-text-anchor:middle;position:absolute;height:52.85pt;mso-wrap-distance-top:0pt;width:198pt;mso-wrap-distance-left:9pt;margin-left:63.55pt;z-index:280;" o:spid="_x0000_s1043" o:allowincell="t" o:allowoverlap="t" filled="t" fillcolor="#ffffff" stroked="t" strokecolor="#000000" strokeweight="3.75pt" o:spt="2" arcsize="10923f">
                <v:fill/>
                <v:stroke linestyle="thinThin" filltype="solid"/>
                <v:textbox style="layout-flow:horizontal;" inset="2.0637499999999998mm,0mm,2.0637499999999998mm,0.24694444444444438mm">
                  <w:txbxContent>
                    <w:p>
                      <w:pPr>
                        <w:pStyle w:val="0"/>
                        <w:spacing w:line="0" w:lineRule="atLeast"/>
                        <w:jc w:val="center"/>
                        <w:rPr>
                          <w:rFonts w:hint="default" w:ascii="ＭＳ ゴシック" w:hAnsi="ＭＳ ゴシック" w:eastAsia="ＭＳ ゴシック"/>
                          <w:sz w:val="6"/>
                        </w:rPr>
                      </w:pPr>
                    </w:p>
                    <w:p>
                      <w:pPr>
                        <w:pStyle w:val="0"/>
                        <w:spacing w:line="0" w:lineRule="atLeast"/>
                        <w:jc w:val="center"/>
                        <w:rPr>
                          <w:rFonts w:hint="default" w:ascii="ＭＳ ゴシック" w:hAnsi="ＭＳ ゴシック" w:eastAsia="ＭＳ ゴシック"/>
                          <w:sz w:val="24"/>
                        </w:rPr>
                      </w:pPr>
                      <w:r>
                        <w:rPr>
                          <w:rFonts w:hint="eastAsia" w:ascii="ＭＳ ゴシック" w:hAnsi="ＭＳ ゴシック" w:eastAsia="ＭＳ ゴシック"/>
                          <w:sz w:val="24"/>
                        </w:rPr>
                        <w:t>第五次南風原町総合計画</w:t>
                      </w:r>
                    </w:p>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（平成</w:t>
                      </w:r>
                      <w:r>
                        <w:rPr>
                          <w:rFonts w:hint="eastAsia" w:ascii="ＭＳ ゴシック" w:hAnsi="ＭＳ ゴシック" w:eastAsia="ＭＳ ゴシック"/>
                        </w:rPr>
                        <w:t>29</w:t>
                      </w:r>
                      <w:r>
                        <w:rPr>
                          <w:rFonts w:hint="eastAsia" w:ascii="ＭＳ ゴシック" w:hAnsi="ＭＳ ゴシック" w:eastAsia="ＭＳ ゴシック"/>
                        </w:rPr>
                        <w:t>年度～</w:t>
                      </w:r>
                      <w:r>
                        <w:rPr>
                          <w:rFonts w:hint="eastAsia" w:ascii="ＭＳ ゴシック" w:hAnsi="ＭＳ ゴシック" w:eastAsia="ＭＳ ゴシック"/>
                          <w:color w:val="000000" w:themeColor="text1"/>
                        </w:rPr>
                        <w:t>令和８年</w:t>
                      </w:r>
                      <w:r>
                        <w:rPr>
                          <w:rFonts w:hint="eastAsia" w:ascii="ＭＳ ゴシック" w:hAnsi="ＭＳ ゴシック" w:eastAsia="ＭＳ ゴシック"/>
                        </w:rPr>
                        <w:t>度）</w:t>
                      </w: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265" behindDoc="0" locked="1" layoutInCell="1" hidden="0" allowOverlap="1">
                <wp:simplePos x="0" y="0"/>
                <wp:positionH relativeFrom="column">
                  <wp:posOffset>2105660</wp:posOffset>
                </wp:positionH>
                <wp:positionV relativeFrom="paragraph">
                  <wp:posOffset>794385</wp:posOffset>
                </wp:positionV>
                <wp:extent cx="0" cy="314325"/>
                <wp:effectExtent l="19685" t="19050" r="29845" b="19685"/>
                <wp:wrapNone/>
                <wp:docPr id="1044" name="直線コネクタ 78"/>
                <a:graphic xmlns:a="http://schemas.openxmlformats.org/drawingml/2006/main">
                  <a:graphicData uri="http://schemas.microsoft.com/office/word/2010/wordprocessingShape">
                    <wps:wsp>
                      <wps:cNvPr id="1044" name="直線コネクタ 78"/>
                      <wps:cNvSpPr/>
                      <wps:spPr>
                        <a:xfrm>
                          <a:off x="0" y="0"/>
                          <a:ext cx="0" cy="314325"/>
                        </a:xfrm>
                        <a:prstGeom prst="line">
                          <a:avLst/>
                        </a:prstGeom>
                        <a:noFill/>
                        <a:ln w="34925">
                          <a:solidFill>
                            <a:srgbClr val="000000"/>
                          </a:solidFill>
                          <a:round/>
                          <a:headEnd/>
                          <a:tailEnd/>
                        </a:ln>
                        <a:effectLst/>
                      </wps:spPr>
                      <wps:bodyPr/>
                    </wps:wsp>
                  </a:graphicData>
                </a:graphic>
              </wp:anchor>
            </w:drawing>
          </mc:Choice>
          <mc:Fallback>
            <w:pict>
              <v:line id="直線コネクタ 78" style="mso-wrap-distance-top:0pt;mso-wrap-distance-right:9pt;mso-wrap-distance-bottom:0pt;mso-position-vertical-relative:text;mso-position-horizontal-relative:text;position:absolute;mso-wrap-distance-left:9pt;z-index:265;" o:spid="_x0000_s1044" o:allowincell="t" o:allowoverlap="t" filled="f" stroked="t" strokecolor="#000000" strokeweight="2.75pt" o:spt="20" from="165.8pt,62.55pt" to="165.8pt,87.300000000000011pt">
                <v:fill/>
                <v:stroke filltype="solid"/>
                <v:textbox style="layout-flow:horizontal;"/>
                <v:imagedata o:title=""/>
                <w10:wrap type="none" anchorx="text" anchory="text"/>
                <w10:anchorlock/>
              </v:line>
            </w:pict>
          </mc:Fallback>
        </mc:AlternateContent>
      </w:r>
    </w:p>
    <w:p>
      <w:pPr>
        <w:pStyle w:val="19"/>
        <w:tabs>
          <w:tab w:val="left" w:leader="none" w:pos="8080"/>
        </w:tabs>
        <w:rPr>
          <w:rFonts w:hint="default"/>
        </w:rPr>
      </w:pPr>
    </w:p>
    <w:p>
      <w:pPr>
        <w:pStyle w:val="19"/>
        <w:rPr>
          <w:rFonts w:hint="default"/>
        </w:rPr>
      </w:pPr>
    </w:p>
    <w:p>
      <w:pPr>
        <w:pStyle w:val="19"/>
        <w:rPr>
          <w:rFonts w:hint="default"/>
        </w:rPr>
      </w:pPr>
      <w:r>
        <w:rPr>
          <w:rFonts w:hint="default"/>
        </w:rPr>
        <mc:AlternateContent>
          <mc:Choice Requires="wps">
            <w:drawing>
              <wp:anchor distT="0" distB="0" distL="114300" distR="114300" simplePos="0" relativeHeight="281" behindDoc="0" locked="0" layoutInCell="1" hidden="0" allowOverlap="1">
                <wp:simplePos x="0" y="0"/>
                <wp:positionH relativeFrom="column">
                  <wp:posOffset>1500505</wp:posOffset>
                </wp:positionH>
                <wp:positionV relativeFrom="paragraph">
                  <wp:posOffset>111125</wp:posOffset>
                </wp:positionV>
                <wp:extent cx="435610" cy="2258060"/>
                <wp:effectExtent l="635" t="635" r="29845" b="10795"/>
                <wp:wrapNone/>
                <wp:docPr id="1045" name="角丸四角形 79"/>
                <a:graphic xmlns:a="http://schemas.openxmlformats.org/drawingml/2006/main">
                  <a:graphicData uri="http://schemas.microsoft.com/office/word/2010/wordprocessingShape">
                    <wps:wsp>
                      <wps:cNvPr id="1045" name="角丸四角形 79"/>
                      <wps:cNvSpPr>
                        <a:spLocks noChangeArrowheads="1"/>
                      </wps:cNvSpPr>
                      <wps:spPr>
                        <a:xfrm rot="5400000">
                          <a:off x="0" y="0"/>
                          <a:ext cx="435610" cy="2258060"/>
                        </a:xfrm>
                        <a:prstGeom prst="roundRect">
                          <a:avLst>
                            <a:gd name="adj" fmla="val 16667"/>
                          </a:avLst>
                        </a:prstGeom>
                        <a:solidFill>
                          <a:srgbClr val="FFFFFF"/>
                        </a:solidFill>
                        <a:ln w="9525">
                          <a:solidFill>
                            <a:srgbClr val="000000"/>
                          </a:solidFill>
                          <a:round/>
                          <a:headEnd/>
                          <a:tailEnd/>
                        </a:ln>
                        <a:effectLst/>
                      </wps:spPr>
                      <wps:txbx>
                        <w:txbxContent>
                          <w:p>
                            <w:pPr>
                              <w:pStyle w:val="0"/>
                              <w:spacing w:line="0" w:lineRule="atLeast"/>
                              <w:jc w:val="center"/>
                              <w:rPr>
                                <w:rFonts w:hint="default" w:ascii="ＭＳ ゴシック" w:hAnsi="ＭＳ ゴシック" w:eastAsia="ＭＳ ゴシック"/>
                                <w:w w:val="98"/>
                                <w:sz w:val="20"/>
                              </w:rPr>
                            </w:pPr>
                            <w:r>
                              <w:rPr>
                                <w:rFonts w:hint="eastAsia" w:ascii="ＭＳ ゴシック" w:hAnsi="ＭＳ ゴシック" w:eastAsia="ＭＳ ゴシック"/>
                                <w:w w:val="98"/>
                                <w:sz w:val="20"/>
                              </w:rPr>
                              <w:t>南風原町高齢者保健福祉計画</w:t>
                            </w:r>
                          </w:p>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（令和６年度～令和８年度）</w:t>
                            </w:r>
                          </w:p>
                        </w:txbxContent>
                      </wps:txbx>
                      <wps:bodyPr rot="0" vertOverflow="overflow" horzOverflow="overflow" wrap="square" lIns="32400" tIns="5400" rIns="18000" bIns="5400" anchor="t" anchorCtr="0" upright="1"/>
                    </wps:wsp>
                  </a:graphicData>
                </a:graphic>
              </wp:anchor>
            </w:drawing>
          </mc:Choice>
          <mc:Fallback>
            <w:pict>
              <v:roundrect id="角丸四角形 79" style="mso-wrap-distance-right:9pt;mso-wrap-distance-bottom:0pt;margin-top:8.75pt;mso-position-vertical-relative:text;mso-position-horizontal-relative:text;v-text-anchor:top;position:absolute;height:177.8pt;mso-wrap-distance-top:0pt;width:34.29pt;mso-wrap-distance-left:9pt;margin-left:118.15pt;z-index:281;rotation:90;" o:spid="_x0000_s1045" o:allowincell="t" o:allowoverlap="t" filled="t" fillcolor="#ffffff" stroked="t" strokecolor="#000000" strokeweight="0.75pt" o:spt="2" arcsize="10923f">
                <v:fill/>
                <v:stroke filltype="solid"/>
                <v:textbox style="layout-flow:horizontal;" inset="0.8999999999999998mm,0.14999999999999997mm,0.49999999999999989mm,0.14999999999999997mm">
                  <w:txbxContent>
                    <w:p>
                      <w:pPr>
                        <w:pStyle w:val="0"/>
                        <w:spacing w:line="0" w:lineRule="atLeast"/>
                        <w:jc w:val="center"/>
                        <w:rPr>
                          <w:rFonts w:hint="default" w:ascii="ＭＳ ゴシック" w:hAnsi="ＭＳ ゴシック" w:eastAsia="ＭＳ ゴシック"/>
                          <w:w w:val="98"/>
                          <w:sz w:val="20"/>
                        </w:rPr>
                      </w:pPr>
                      <w:r>
                        <w:rPr>
                          <w:rFonts w:hint="eastAsia" w:ascii="ＭＳ ゴシック" w:hAnsi="ＭＳ ゴシック" w:eastAsia="ＭＳ ゴシック"/>
                          <w:w w:val="98"/>
                          <w:sz w:val="20"/>
                        </w:rPr>
                        <w:t>南風原町高齢者保健福祉計画</w:t>
                      </w:r>
                    </w:p>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（令和６年度～令和８年度）</w:t>
                      </w:r>
                    </w:p>
                  </w:txbxContent>
                </v:textbox>
                <v:imagedata o:title=""/>
                <w10:wrap type="none" anchorx="text" anchory="text"/>
              </v:roundrect>
            </w:pict>
          </mc:Fallback>
        </mc:AlternateContent>
      </w:r>
    </w:p>
    <w:p>
      <w:pPr>
        <w:pStyle w:val="19"/>
        <w:rPr>
          <w:rFonts w:hint="default"/>
        </w:rPr>
      </w:pPr>
      <w:r>
        <w:rPr>
          <w:rFonts w:hint="default"/>
        </w:rPr>
        <mc:AlternateContent>
          <mc:Choice Requires="wps">
            <w:drawing>
              <wp:anchor distT="0" distB="0" distL="114300" distR="114300" simplePos="0" relativeHeight="267" behindDoc="0" locked="0" layoutInCell="1" hidden="0" allowOverlap="1">
                <wp:simplePos x="0" y="0"/>
                <wp:positionH relativeFrom="column">
                  <wp:posOffset>475615</wp:posOffset>
                </wp:positionH>
                <wp:positionV relativeFrom="paragraph">
                  <wp:posOffset>184150</wp:posOffset>
                </wp:positionV>
                <wp:extent cx="4834255" cy="782955"/>
                <wp:effectExtent l="635" t="635" r="29845" b="10795"/>
                <wp:wrapNone/>
                <wp:docPr id="1046" name="角丸四角形 84"/>
                <a:graphic xmlns:a="http://schemas.openxmlformats.org/drawingml/2006/main">
                  <a:graphicData uri="http://schemas.microsoft.com/office/word/2010/wordprocessingShape">
                    <wps:wsp>
                      <wps:cNvPr id="1046" name="角丸四角形 84"/>
                      <wps:cNvSpPr/>
                      <wps:spPr>
                        <a:xfrm>
                          <a:off x="0" y="0"/>
                          <a:ext cx="4834255" cy="782955"/>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角丸四角形 84" style="mso-wrap-distance-right:9pt;mso-wrap-distance-bottom:0pt;margin-top:14.5pt;mso-position-vertical-relative:text;mso-position-horizontal-relative:text;position:absolute;height:61.65pt;mso-wrap-distance-top:0pt;width:380.65pt;mso-wrap-distance-left:9pt;margin-left:37.450000000000003pt;z-index:267;" o:spid="_x0000_s1046" o:allowincell="t" o:allowoverlap="t" filled="t" fillcolor="#d9d9d9 [2732]" stroked="t" strokecolor="#000000 [3213]" strokeweight="1pt" o:spt="2" arcsize="10923f">
                <v:fill/>
                <v:stroke linestyle="single" miterlimit="8" endcap="flat" dashstyle="solid" filltype="solid"/>
                <v:textbox style="layout-flow:horizontal;"/>
                <v:imagedata o:title=""/>
                <w10:wrap type="none" anchorx="text" anchory="text"/>
              </v:roundrect>
            </w:pict>
          </mc:Fallback>
        </mc:AlternateContent>
      </w:r>
      <w:r>
        <w:rPr>
          <w:rFonts w:hint="default"/>
        </w:rPr>
        <mc:AlternateContent>
          <mc:Choice Requires="wps">
            <w:drawing>
              <wp:anchor distT="0" distB="0" distL="114300" distR="114300" simplePos="0" relativeHeight="266" behindDoc="0" locked="0" layoutInCell="1" hidden="0" allowOverlap="1">
                <wp:simplePos x="0" y="0"/>
                <wp:positionH relativeFrom="column">
                  <wp:posOffset>394970</wp:posOffset>
                </wp:positionH>
                <wp:positionV relativeFrom="paragraph">
                  <wp:posOffset>99060</wp:posOffset>
                </wp:positionV>
                <wp:extent cx="4997450" cy="4947920"/>
                <wp:effectExtent l="635" t="635" r="29845" b="10795"/>
                <wp:wrapNone/>
                <wp:docPr id="1047" name="角丸四角形 87"/>
                <a:graphic xmlns:a="http://schemas.openxmlformats.org/drawingml/2006/main">
                  <a:graphicData uri="http://schemas.microsoft.com/office/word/2010/wordprocessingShape">
                    <wps:wsp>
                      <wps:cNvPr id="1047" name="角丸四角形 87"/>
                      <wps:cNvSpPr>
                        <a:spLocks noChangeArrowheads="1"/>
                      </wps:cNvSpPr>
                      <wps:spPr>
                        <a:xfrm>
                          <a:off x="0" y="0"/>
                          <a:ext cx="4997450" cy="4947920"/>
                        </a:xfrm>
                        <a:prstGeom prst="roundRect">
                          <a:avLst>
                            <a:gd name="adj" fmla="val 3336"/>
                          </a:avLst>
                        </a:prstGeom>
                        <a:solidFill>
                          <a:srgbClr val="FFFFFF"/>
                        </a:solidFill>
                        <a:ln w="9525">
                          <a:solidFill>
                            <a:srgbClr val="000000"/>
                          </a:solidFill>
                          <a:round/>
                          <a:headEnd/>
                          <a:tailEnd/>
                        </a:ln>
                        <a:effectLst/>
                      </wps:spPr>
                      <wps:bodyPr/>
                    </wps:wsp>
                  </a:graphicData>
                </a:graphic>
              </wp:anchor>
            </w:drawing>
          </mc:Choice>
          <mc:Fallback>
            <w:pict>
              <v:roundrect id="角丸四角形 87" style="mso-wrap-distance-right:9pt;mso-wrap-distance-bottom:0pt;margin-top:7.8pt;mso-position-vertical-relative:text;mso-position-horizontal-relative:text;position:absolute;height:389.6pt;mso-wrap-distance-top:0pt;width:393.5pt;mso-wrap-distance-left:9pt;margin-left:31.1pt;z-index:266;" o:spid="_x0000_s1047" o:allowincell="t" o:allowoverlap="t" filled="t" fillcolor="#ffffff" stroked="t" strokecolor="#000000" strokeweight="0.75pt" o:spt="2" arcsize="2188f">
                <v:fill/>
                <v:stroke filltype="solid"/>
                <v:textbox style="layout-flow:horizontal;"/>
                <v:imagedata o:title=""/>
                <w10:wrap type="none" anchorx="text" anchory="text"/>
              </v:roundrect>
            </w:pict>
          </mc:Fallback>
        </mc:AlternateContent>
      </w:r>
      <w:r>
        <w:rPr>
          <w:rFonts w:hint="default"/>
        </w:rPr>
        <mc:AlternateContent>
          <mc:Choice Requires="wps">
            <w:drawing>
              <wp:anchor distT="0" distB="0" distL="114300" distR="114300" simplePos="0" relativeHeight="282" behindDoc="0" locked="0" layoutInCell="1" hidden="0" allowOverlap="1">
                <wp:simplePos x="0" y="0"/>
                <wp:positionH relativeFrom="margin">
                  <wp:posOffset>819150</wp:posOffset>
                </wp:positionH>
                <wp:positionV relativeFrom="paragraph">
                  <wp:posOffset>183515</wp:posOffset>
                </wp:positionV>
                <wp:extent cx="3384550" cy="428625"/>
                <wp:effectExtent l="0" t="0" r="635" b="635"/>
                <wp:wrapNone/>
                <wp:docPr id="1048" name="テキスト ボックス 86"/>
                <a:graphic xmlns:a="http://schemas.openxmlformats.org/drawingml/2006/main">
                  <a:graphicData uri="http://schemas.microsoft.com/office/word/2010/wordprocessingShape">
                    <wps:wsp>
                      <wps:cNvPr id="1048" name="テキスト ボックス 86"/>
                      <wps:cNvSpPr txBox="1"/>
                      <wps:spPr>
                        <a:xfrm>
                          <a:off x="0" y="0"/>
                          <a:ext cx="33845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第三次</w:t>
                            </w:r>
                            <w:r>
                              <w:rPr>
                                <w:rFonts w:hint="default" w:ascii="ＭＳ ゴシック" w:hAnsi="ＭＳ ゴシック" w:eastAsia="ＭＳ ゴシック"/>
                              </w:rPr>
                              <w:t>南風原町地域福祉</w:t>
                            </w:r>
                            <w:r>
                              <w:rPr>
                                <w:rFonts w:hint="eastAsia" w:ascii="ＭＳ ゴシック" w:hAnsi="ＭＳ ゴシック" w:eastAsia="ＭＳ ゴシック"/>
                              </w:rPr>
                              <w:t>推進</w:t>
                            </w:r>
                            <w:r>
                              <w:rPr>
                                <w:rFonts w:hint="default" w:ascii="ＭＳ ゴシック" w:hAnsi="ＭＳ ゴシック" w:eastAsia="ＭＳ ゴシック"/>
                              </w:rPr>
                              <w:t>計画</w:t>
                            </w:r>
                          </w:p>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（令和６</w:t>
                            </w:r>
                            <w:r>
                              <w:rPr>
                                <w:rFonts w:hint="default" w:ascii="ＭＳ ゴシック" w:hAnsi="ＭＳ ゴシック" w:eastAsia="ＭＳ ゴシック"/>
                              </w:rPr>
                              <w:t>年度～</w:t>
                            </w:r>
                            <w:r>
                              <w:rPr>
                                <w:rFonts w:hint="eastAsia" w:ascii="ＭＳ ゴシック" w:hAnsi="ＭＳ ゴシック" w:eastAsia="ＭＳ ゴシック"/>
                              </w:rPr>
                              <w:t>令</w:t>
                            </w:r>
                            <w:r>
                              <w:rPr>
                                <w:rFonts w:hint="eastAsia" w:ascii="ＭＳ ゴシック" w:hAnsi="ＭＳ ゴシック" w:eastAsia="ＭＳ ゴシック"/>
                                <w:color w:val="000000" w:themeColor="text1"/>
                              </w:rPr>
                              <w:t>和</w:t>
                            </w:r>
                            <w:r>
                              <w:rPr>
                                <w:rFonts w:hint="eastAsia" w:ascii="ＭＳ ゴシック" w:hAnsi="ＭＳ ゴシック" w:eastAsia="ＭＳ ゴシック"/>
                                <w:color w:val="000000" w:themeColor="text1"/>
                              </w:rPr>
                              <w:t>10</w:t>
                            </w:r>
                            <w:r>
                              <w:rPr>
                                <w:rFonts w:hint="default" w:ascii="ＭＳ ゴシック" w:hAnsi="ＭＳ ゴシック" w:eastAsia="ＭＳ ゴシック"/>
                              </w:rPr>
                              <w:t>年度</w:t>
                            </w:r>
                            <w:r>
                              <w:rPr>
                                <w:rFonts w:hint="eastAsia" w:ascii="ＭＳ ゴシック" w:hAnsi="ＭＳ ゴシック" w:eastAsia="ＭＳ ゴシック"/>
                              </w:rPr>
                              <w: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6" style="mso-wrap-distance-right:9pt;mso-wrap-distance-bottom:0pt;margin-top:14.45pt;mso-position-vertical-relative:text;mso-position-horizontal-relative:margin;v-text-anchor:top;position:absolute;height:33.75pt;mso-wrap-distance-top:0pt;width:266.5pt;mso-wrap-distance-left:9pt;margin-left:64.5pt;z-index:282;" o:spid="_x0000_s1048" o:allowincell="t" o:allowoverlap="t" filled="f" stroked="f" strokeweight="0.5pt" o:spt="202" type="#_x0000_t202">
                <v:fill/>
                <v:textbox style="layout-flow:horizontal;">
                  <w:txbxContent>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第三次</w:t>
                      </w:r>
                      <w:r>
                        <w:rPr>
                          <w:rFonts w:hint="default" w:ascii="ＭＳ ゴシック" w:hAnsi="ＭＳ ゴシック" w:eastAsia="ＭＳ ゴシック"/>
                        </w:rPr>
                        <w:t>南風原町地域福祉</w:t>
                      </w:r>
                      <w:r>
                        <w:rPr>
                          <w:rFonts w:hint="eastAsia" w:ascii="ＭＳ ゴシック" w:hAnsi="ＭＳ ゴシック" w:eastAsia="ＭＳ ゴシック"/>
                        </w:rPr>
                        <w:t>推進</w:t>
                      </w:r>
                      <w:r>
                        <w:rPr>
                          <w:rFonts w:hint="default" w:ascii="ＭＳ ゴシック" w:hAnsi="ＭＳ ゴシック" w:eastAsia="ＭＳ ゴシック"/>
                        </w:rPr>
                        <w:t>計画</w:t>
                      </w:r>
                    </w:p>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（令和６</w:t>
                      </w:r>
                      <w:r>
                        <w:rPr>
                          <w:rFonts w:hint="default" w:ascii="ＭＳ ゴシック" w:hAnsi="ＭＳ ゴシック" w:eastAsia="ＭＳ ゴシック"/>
                        </w:rPr>
                        <w:t>年度～</w:t>
                      </w:r>
                      <w:r>
                        <w:rPr>
                          <w:rFonts w:hint="eastAsia" w:ascii="ＭＳ ゴシック" w:hAnsi="ＭＳ ゴシック" w:eastAsia="ＭＳ ゴシック"/>
                        </w:rPr>
                        <w:t>令</w:t>
                      </w:r>
                      <w:r>
                        <w:rPr>
                          <w:rFonts w:hint="eastAsia" w:ascii="ＭＳ ゴシック" w:hAnsi="ＭＳ ゴシック" w:eastAsia="ＭＳ ゴシック"/>
                          <w:color w:val="000000" w:themeColor="text1"/>
                        </w:rPr>
                        <w:t>和</w:t>
                      </w:r>
                      <w:r>
                        <w:rPr>
                          <w:rFonts w:hint="eastAsia" w:ascii="ＭＳ ゴシック" w:hAnsi="ＭＳ ゴシック" w:eastAsia="ＭＳ ゴシック"/>
                          <w:color w:val="000000" w:themeColor="text1"/>
                        </w:rPr>
                        <w:t>10</w:t>
                      </w:r>
                      <w:r>
                        <w:rPr>
                          <w:rFonts w:hint="default" w:ascii="ＭＳ ゴシック" w:hAnsi="ＭＳ ゴシック" w:eastAsia="ＭＳ ゴシック"/>
                        </w:rPr>
                        <w:t>年度</w:t>
                      </w:r>
                      <w:r>
                        <w:rPr>
                          <w:rFonts w:hint="eastAsia" w:ascii="ＭＳ ゴシック" w:hAnsi="ＭＳ ゴシック" w:eastAsia="ＭＳ ゴシック"/>
                        </w:rPr>
                        <w:t>）</w:t>
                      </w:r>
                    </w:p>
                  </w:txbxContent>
                </v:textbox>
                <v:imagedata o:title=""/>
                <w10:wrap type="none" anchorx="margin" anchory="text"/>
              </v:shape>
            </w:pict>
          </mc:Fallback>
        </mc:AlternateContent>
      </w:r>
      <w:r>
        <w:rPr>
          <w:rFonts w:hint="default"/>
        </w:rPr>
        <mc:AlternateContent>
          <mc:Choice Requires="wps">
            <w:drawing>
              <wp:anchor distT="0" distB="0" distL="114300" distR="114300" simplePos="0" relativeHeight="283" behindDoc="0" locked="0" layoutInCell="1" hidden="0" allowOverlap="1">
                <wp:simplePos x="0" y="0"/>
                <wp:positionH relativeFrom="column">
                  <wp:posOffset>4119880</wp:posOffset>
                </wp:positionH>
                <wp:positionV relativeFrom="paragraph">
                  <wp:posOffset>147955</wp:posOffset>
                </wp:positionV>
                <wp:extent cx="650240" cy="292100"/>
                <wp:effectExtent l="1270" t="635" r="30480" b="10795"/>
                <wp:wrapNone/>
                <wp:docPr id="1049" name="左矢印 190"/>
                <a:graphic xmlns:a="http://schemas.openxmlformats.org/drawingml/2006/main">
                  <a:graphicData uri="http://schemas.microsoft.com/office/word/2010/wordprocessingShape">
                    <wps:wsp>
                      <wps:cNvPr id="1049" name="左矢印 190"/>
                      <wps:cNvSpPr>
                        <a:spLocks noChangeArrowheads="1"/>
                      </wps:cNvSpPr>
                      <wps:spPr>
                        <a:xfrm rot="16200000">
                          <a:off x="0" y="0"/>
                          <a:ext cx="650240" cy="292100"/>
                        </a:xfrm>
                        <a:prstGeom prst="leftArrow">
                          <a:avLst>
                            <a:gd name="adj1" fmla="val 49824"/>
                            <a:gd name="adj2" fmla="val 57587"/>
                          </a:avLst>
                        </a:prstGeom>
                        <a:solidFill>
                          <a:srgbClr val="808080"/>
                        </a:solidFill>
                        <a:ln w="9525" algn="ctr">
                          <a:solidFill>
                            <a:srgbClr val="000000"/>
                          </a:solidFill>
                          <a:miter lim="800000"/>
                          <a:headEnd/>
                          <a:tailEnd/>
                        </a:ln>
                        <a:effectLst/>
                      </wps:spPr>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90" style="mso-wrap-distance-right:9pt;mso-wrap-distance-bottom:0pt;margin-top:11.65pt;mso-position-vertical-relative:text;mso-position-horizontal-relative:text;position:absolute;height:23pt;mso-wrap-distance-top:0pt;width:51.2pt;mso-wrap-distance-left:9pt;margin-left:324.39pt;z-index:283;rotation:270;" o:spid="_x0000_s1049" o:allowincell="t" o:allowoverlap="t" filled="t" fillcolor="#808080" stroked="t" strokecolor="#000000" strokeweight="0.75pt" o:spt="66" type="#_x0000_t66" adj="12439,5419">
                <v:fill/>
                <v:stroke miterlimit="8" filltype="solid"/>
                <v:textbox style="layout-flow:horizontal;"/>
                <v:imagedata o:title=""/>
                <w10:wrap type="none" anchorx="text" anchory="text"/>
              </v:shape>
            </w:pict>
          </mc:Fallback>
        </mc:AlternateContent>
      </w:r>
    </w:p>
    <w:p>
      <w:pPr>
        <w:pStyle w:val="19"/>
        <w:rPr>
          <w:rFonts w:hint="default"/>
        </w:rPr>
      </w:pPr>
      <w:r>
        <w:rPr>
          <w:rFonts w:hint="default"/>
        </w:rPr>
        <mc:AlternateContent>
          <mc:Choice Requires="wps">
            <w:drawing>
              <wp:anchor distT="0" distB="0" distL="114300" distR="114300" simplePos="0" relativeHeight="284" behindDoc="0" locked="0" layoutInCell="1" hidden="0" allowOverlap="1">
                <wp:simplePos x="0" y="0"/>
                <wp:positionH relativeFrom="column">
                  <wp:posOffset>1510665</wp:posOffset>
                </wp:positionH>
                <wp:positionV relativeFrom="paragraph">
                  <wp:posOffset>439420</wp:posOffset>
                </wp:positionV>
                <wp:extent cx="435610" cy="2258060"/>
                <wp:effectExtent l="635" t="635" r="29845" b="10795"/>
                <wp:wrapNone/>
                <wp:docPr id="1050" name="角丸四角形 89"/>
                <a:graphic xmlns:a="http://schemas.openxmlformats.org/drawingml/2006/main">
                  <a:graphicData uri="http://schemas.microsoft.com/office/word/2010/wordprocessingShape">
                    <wps:wsp>
                      <wps:cNvPr id="1050" name="角丸四角形 89"/>
                      <wps:cNvSpPr>
                        <a:spLocks noChangeArrowheads="1"/>
                      </wps:cNvSpPr>
                      <wps:spPr>
                        <a:xfrm rot="5400000">
                          <a:off x="0" y="0"/>
                          <a:ext cx="435610" cy="2258060"/>
                        </a:xfrm>
                        <a:prstGeom prst="roundRect">
                          <a:avLst>
                            <a:gd name="adj" fmla="val 16667"/>
                          </a:avLst>
                        </a:prstGeom>
                        <a:solidFill>
                          <a:srgbClr val="FFFFFF"/>
                        </a:solidFill>
                        <a:ln w="9525">
                          <a:solidFill>
                            <a:srgbClr val="000000"/>
                          </a:solidFill>
                          <a:round/>
                          <a:headEnd/>
                          <a:tailEnd/>
                        </a:ln>
                        <a:effectLst/>
                      </wps:spPr>
                      <wps:txbx>
                        <w:txbxContent>
                          <w:p>
                            <w:pPr>
                              <w:pStyle w:val="0"/>
                              <w:spacing w:line="0" w:lineRule="atLeast"/>
                              <w:jc w:val="center"/>
                              <w:rPr>
                                <w:rFonts w:hint="default" w:ascii="ＭＳ ゴシック" w:hAnsi="ＭＳ ゴシック" w:eastAsia="ＭＳ ゴシック"/>
                                <w:w w:val="98"/>
                                <w:sz w:val="20"/>
                              </w:rPr>
                            </w:pPr>
                            <w:r>
                              <w:rPr>
                                <w:rFonts w:hint="eastAsia" w:ascii="ＭＳ ゴシック" w:hAnsi="ＭＳ ゴシック" w:eastAsia="ＭＳ ゴシック"/>
                                <w:w w:val="98"/>
                                <w:sz w:val="20"/>
                              </w:rPr>
                              <w:t>南風原町子ども</w:t>
                            </w:r>
                            <w:r>
                              <w:rPr>
                                <w:rFonts w:hint="default" w:ascii="ＭＳ ゴシック" w:hAnsi="ＭＳ ゴシック" w:eastAsia="ＭＳ ゴシック"/>
                                <w:w w:val="98"/>
                                <w:sz w:val="20"/>
                              </w:rPr>
                              <w:t>・子育て支援事業</w:t>
                            </w:r>
                            <w:r>
                              <w:rPr>
                                <w:rFonts w:hint="eastAsia" w:ascii="ＭＳ ゴシック" w:hAnsi="ＭＳ ゴシック" w:eastAsia="ＭＳ ゴシック"/>
                                <w:w w:val="98"/>
                                <w:sz w:val="20"/>
                              </w:rPr>
                              <w:t>計画</w:t>
                            </w:r>
                          </w:p>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（令和２年度～令和６年度）</w:t>
                            </w:r>
                          </w:p>
                        </w:txbxContent>
                      </wps:txbx>
                      <wps:bodyPr rot="0" vertOverflow="overflow" horzOverflow="overflow" wrap="square" lIns="32400" tIns="5400" rIns="18000" bIns="5400" anchor="t" anchorCtr="0" upright="1"/>
                    </wps:wsp>
                  </a:graphicData>
                </a:graphic>
              </wp:anchor>
            </w:drawing>
          </mc:Choice>
          <mc:Fallback>
            <w:pict>
              <v:roundrect id="角丸四角形 89" style="mso-wrap-distance-right:9pt;mso-wrap-distance-bottom:0pt;margin-top:34.6pt;mso-position-vertical-relative:text;mso-position-horizontal-relative:text;v-text-anchor:top;position:absolute;height:177.8pt;mso-wrap-distance-top:0pt;width:34.29pt;mso-wrap-distance-left:9pt;margin-left:118.95pt;z-index:284;rotation:90;" o:spid="_x0000_s1050" o:allowincell="t" o:allowoverlap="t" filled="t" fillcolor="#ffffff" stroked="t" strokecolor="#000000" strokeweight="0.75pt" o:spt="2" arcsize="10923f">
                <v:fill/>
                <v:stroke filltype="solid"/>
                <v:textbox style="layout-flow:horizontal;" inset="0.8999999999999998mm,0.14999999999999997mm,0.49999999999999989mm,0.14999999999999997mm">
                  <w:txbxContent>
                    <w:p>
                      <w:pPr>
                        <w:pStyle w:val="0"/>
                        <w:spacing w:line="0" w:lineRule="atLeast"/>
                        <w:jc w:val="center"/>
                        <w:rPr>
                          <w:rFonts w:hint="default" w:ascii="ＭＳ ゴシック" w:hAnsi="ＭＳ ゴシック" w:eastAsia="ＭＳ ゴシック"/>
                          <w:w w:val="98"/>
                          <w:sz w:val="20"/>
                        </w:rPr>
                      </w:pPr>
                      <w:r>
                        <w:rPr>
                          <w:rFonts w:hint="eastAsia" w:ascii="ＭＳ ゴシック" w:hAnsi="ＭＳ ゴシック" w:eastAsia="ＭＳ ゴシック"/>
                          <w:w w:val="98"/>
                          <w:sz w:val="20"/>
                        </w:rPr>
                        <w:t>南風原町子ども</w:t>
                      </w:r>
                      <w:r>
                        <w:rPr>
                          <w:rFonts w:hint="default" w:ascii="ＭＳ ゴシック" w:hAnsi="ＭＳ ゴシック" w:eastAsia="ＭＳ ゴシック"/>
                          <w:w w:val="98"/>
                          <w:sz w:val="20"/>
                        </w:rPr>
                        <w:t>・子育て支援事業</w:t>
                      </w:r>
                      <w:r>
                        <w:rPr>
                          <w:rFonts w:hint="eastAsia" w:ascii="ＭＳ ゴシック" w:hAnsi="ＭＳ ゴシック" w:eastAsia="ＭＳ ゴシック"/>
                          <w:w w:val="98"/>
                          <w:sz w:val="20"/>
                        </w:rPr>
                        <w:t>計画</w:t>
                      </w:r>
                    </w:p>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（令和２年度～令和６年度）</w:t>
                      </w:r>
                    </w:p>
                  </w:txbxContent>
                </v:textbox>
                <v:imagedata o:title=""/>
                <w10:wrap type="none" anchorx="text" anchory="text"/>
              </v:roundrect>
            </w:pict>
          </mc:Fallback>
        </mc:AlternateContent>
      </w:r>
    </w:p>
    <w:p>
      <w:pPr>
        <w:pStyle w:val="19"/>
        <w:rPr>
          <w:rFonts w:hint="default"/>
        </w:rPr>
      </w:pPr>
      <w:r>
        <w:rPr>
          <w:rFonts w:hint="default"/>
        </w:rPr>
        <mc:AlternateContent>
          <mc:Choice Requires="wps">
            <w:drawing>
              <wp:anchor distT="0" distB="0" distL="114300" distR="114300" simplePos="0" relativeHeight="268" behindDoc="0" locked="0" layoutInCell="1" hidden="0" allowOverlap="1">
                <wp:simplePos x="0" y="0"/>
                <wp:positionH relativeFrom="column">
                  <wp:posOffset>509270</wp:posOffset>
                </wp:positionH>
                <wp:positionV relativeFrom="paragraph">
                  <wp:posOffset>172085</wp:posOffset>
                </wp:positionV>
                <wp:extent cx="2432685" cy="3225800"/>
                <wp:effectExtent l="635" t="635" r="29845" b="10795"/>
                <wp:wrapNone/>
                <wp:docPr id="1051" name="角丸四角形 90" descr="5%"/>
                <a:graphic xmlns:a="http://schemas.openxmlformats.org/drawingml/2006/main">
                  <a:graphicData uri="http://schemas.microsoft.com/office/word/2010/wordprocessingShape">
                    <wps:wsp>
                      <wps:cNvPr id="1051" name="角丸四角形 90" descr="5%"/>
                      <wps:cNvSpPr>
                        <a:spLocks noChangeArrowheads="1"/>
                      </wps:cNvSpPr>
                      <wps:spPr>
                        <a:xfrm>
                          <a:off x="0" y="0"/>
                          <a:ext cx="2432685" cy="3225800"/>
                        </a:xfrm>
                        <a:prstGeom prst="roundRect">
                          <a:avLst>
                            <a:gd name="adj" fmla="val 5008"/>
                          </a:avLst>
                        </a:prstGeom>
                        <a:pattFill prst="pct5">
                          <a:fgClr>
                            <a:srgbClr val="000000"/>
                          </a:fgClr>
                          <a:bgClr>
                            <a:srgbClr val="FFFFFF"/>
                          </a:bgClr>
                        </a:pattFill>
                        <a:ln w="9525">
                          <a:solidFill>
                            <a:srgbClr val="000000"/>
                          </a:solidFill>
                          <a:prstDash val="lgDash"/>
                          <a:round/>
                          <a:headEnd/>
                          <a:tailEnd/>
                        </a:ln>
                      </wps:spPr>
                      <wps:bodyPr/>
                    </wps:wsp>
                  </a:graphicData>
                </a:graphic>
              </wp:anchor>
            </w:drawing>
          </mc:Choice>
          <mc:Fallback>
            <w:pict>
              <v:roundrect id="角丸四角形 90" style="mso-wrap-distance-right:9pt;mso-wrap-distance-bottom:0pt;margin-top:13.55pt;mso-position-vertical-relative:text;mso-position-horizontal-relative:text;position:absolute;height:254pt;mso-wrap-distance-top:0pt;width:191.55pt;mso-wrap-distance-left:9pt;margin-left:40.1pt;z-index:268;" o:spid="_x0000_s1051" o:allowincell="t" o:allowoverlap="t" filled="t" fillcolor="#000000" stroked="t" strokecolor="#000000" strokeweight="0.75pt" o:spt="2" arcsize="3283f">
                <v:fill type="pattern" color2="#ffffff" r:id="rId8"/>
                <v:stroke dashstyle="longdash" filltype="solid"/>
                <v:textbox style="layout-flow:horizontal;"/>
                <v:imagedata o:title=""/>
                <w10:wrap type="none" anchorx="text" anchory="text"/>
              </v:roundrect>
            </w:pict>
          </mc:Fallback>
        </mc:AlternateContent>
      </w:r>
      <w:r>
        <w:rPr>
          <w:rFonts w:hint="default"/>
        </w:rPr>
        <mc:AlternateContent>
          <mc:Choice Requires="wps">
            <w:drawing>
              <wp:anchor distT="0" distB="0" distL="114300" distR="114300" simplePos="0" relativeHeight="285" behindDoc="0" locked="0" layoutInCell="1" hidden="0" allowOverlap="1">
                <wp:simplePos x="0" y="0"/>
                <wp:positionH relativeFrom="column">
                  <wp:posOffset>3223895</wp:posOffset>
                </wp:positionH>
                <wp:positionV relativeFrom="paragraph">
                  <wp:posOffset>181610</wp:posOffset>
                </wp:positionV>
                <wp:extent cx="2068195" cy="4344670"/>
                <wp:effectExtent l="635" t="635" r="29845" b="10795"/>
                <wp:wrapNone/>
                <wp:docPr id="1052" name="角丸四角形 91"/>
                <a:graphic xmlns:a="http://schemas.openxmlformats.org/drawingml/2006/main">
                  <a:graphicData uri="http://schemas.microsoft.com/office/word/2010/wordprocessingShape">
                    <wps:wsp>
                      <wps:cNvPr id="1052" name="角丸四角形 91"/>
                      <wps:cNvSpPr>
                        <a:spLocks noChangeArrowheads="1"/>
                      </wps:cNvSpPr>
                      <wps:spPr>
                        <a:xfrm>
                          <a:off x="0" y="0"/>
                          <a:ext cx="2068195" cy="4344670"/>
                        </a:xfrm>
                        <a:prstGeom prst="roundRect">
                          <a:avLst>
                            <a:gd name="adj" fmla="val 6989"/>
                          </a:avLst>
                        </a:prstGeom>
                        <a:solidFill>
                          <a:schemeClr val="bg1">
                            <a:lumMod val="95000"/>
                          </a:schemeClr>
                        </a:solidFill>
                        <a:ln w="15875">
                          <a:solidFill>
                            <a:srgbClr val="000000"/>
                          </a:solidFill>
                          <a:round/>
                          <a:headEnd/>
                          <a:tailEnd/>
                        </a:ln>
                        <a:effectLst/>
                      </wps:spPr>
                      <wps:bodyPr/>
                    </wps:wsp>
                  </a:graphicData>
                </a:graphic>
              </wp:anchor>
            </w:drawing>
          </mc:Choice>
          <mc:Fallback>
            <w:pict>
              <v:roundrect id="角丸四角形 91" style="mso-wrap-distance-right:9pt;mso-wrap-distance-bottom:0pt;margin-top:14.3pt;mso-position-vertical-relative:text;mso-position-horizontal-relative:text;position:absolute;height:342.1pt;mso-wrap-distance-top:0pt;width:162.85pt;mso-wrap-distance-left:9pt;margin-left:253.85pt;z-index:285;" o:spid="_x0000_s1052" o:allowincell="t" o:allowoverlap="t" filled="t" fillcolor="#f2f2f2 [3052]" stroked="t" strokecolor="#000000" strokeweight="1.25pt" o:spt="2" arcsize="4581f">
                <v:fill/>
                <v:stroke filltype="solid"/>
                <v:textbox style="layout-flow:horizontal;"/>
                <v:imagedata o:title=""/>
                <w10:wrap type="none" anchorx="text" anchory="text"/>
              </v:roundrect>
            </w:pict>
          </mc:Fallback>
        </mc:AlternateContent>
      </w:r>
    </w:p>
    <w:p>
      <w:pPr>
        <w:pStyle w:val="19"/>
        <w:rPr>
          <w:rFonts w:hint="default"/>
        </w:rPr>
      </w:pPr>
      <w:r>
        <w:rPr>
          <w:rFonts w:hint="default"/>
        </w:rPr>
        <mc:AlternateContent>
          <mc:Choice Requires="wps">
            <w:drawing>
              <wp:anchor distT="0" distB="0" distL="114300" distR="114300" simplePos="0" relativeHeight="286" behindDoc="0" locked="0" layoutInCell="1" hidden="0" allowOverlap="1">
                <wp:simplePos x="0" y="0"/>
                <wp:positionH relativeFrom="column">
                  <wp:posOffset>3216910</wp:posOffset>
                </wp:positionH>
                <wp:positionV relativeFrom="paragraph">
                  <wp:posOffset>184150</wp:posOffset>
                </wp:positionV>
                <wp:extent cx="2064385" cy="252095"/>
                <wp:effectExtent l="0" t="0" r="635" b="635"/>
                <wp:wrapNone/>
                <wp:docPr id="1053" name="テキスト ボックス 92"/>
                <a:graphic xmlns:a="http://schemas.openxmlformats.org/drawingml/2006/main">
                  <a:graphicData uri="http://schemas.microsoft.com/office/word/2010/wordprocessingShape">
                    <wps:wsp>
                      <wps:cNvPr id="1053" name="テキスト ボックス 92"/>
                      <wps:cNvSpPr txBox="1"/>
                      <wps:spPr>
                        <a:xfrm>
                          <a:off x="0" y="0"/>
                          <a:ext cx="206438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（令和６</w:t>
                            </w:r>
                            <w:r>
                              <w:rPr>
                                <w:rFonts w:hint="default" w:ascii="ＭＳ ゴシック" w:hAnsi="ＭＳ ゴシック" w:eastAsia="ＭＳ ゴシック"/>
                                <w:color w:val="000000" w:themeColor="text1"/>
                                <w:sz w:val="20"/>
                              </w:rPr>
                              <w:t>年度～</w:t>
                            </w:r>
                            <w:r>
                              <w:rPr>
                                <w:rFonts w:hint="eastAsia" w:ascii="ＭＳ ゴシック" w:hAnsi="ＭＳ ゴシック" w:eastAsia="ＭＳ ゴシック"/>
                                <w:color w:val="000000" w:themeColor="text1"/>
                                <w:sz w:val="20"/>
                              </w:rPr>
                              <w:t>令和８</w:t>
                            </w:r>
                            <w:r>
                              <w:rPr>
                                <w:rFonts w:hint="default" w:ascii="ＭＳ ゴシック" w:hAnsi="ＭＳ ゴシック" w:eastAsia="ＭＳ ゴシック"/>
                                <w:color w:val="000000" w:themeColor="text1"/>
                                <w:sz w:val="20"/>
                              </w:rPr>
                              <w:t>年</w:t>
                            </w:r>
                            <w:r>
                              <w:rPr>
                                <w:rFonts w:hint="eastAsia" w:ascii="ＭＳ ゴシック" w:hAnsi="ＭＳ ゴシック" w:eastAsia="ＭＳ ゴシック"/>
                                <w:color w:val="000000" w:themeColor="text1"/>
                                <w:sz w:val="20"/>
                              </w:rPr>
                              <w:t>度）</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92" style="mso-wrap-distance-right:9pt;mso-wrap-distance-bottom:0pt;margin-top:14.5pt;mso-position-vertical-relative:text;mso-position-horizontal-relative:text;v-text-anchor:middle;position:absolute;height:19.850000000000001pt;mso-wrap-distance-top:0pt;width:162.55000000000001pt;mso-wrap-distance-left:9pt;margin-left:253.3pt;z-index:286;" o:spid="_x0000_s1053" o:allowincell="t" o:allowoverlap="t" filled="f" stroked="f" strokeweight="0.5pt" o:spt="202" type="#_x0000_t202">
                <v:fill/>
                <v:textbox style="layout-flow:horizontal;">
                  <w:txbxContent>
                    <w:p>
                      <w:pPr>
                        <w:pStyle w:val="0"/>
                        <w:spacing w:line="0" w:lineRule="atLeast"/>
                        <w:jc w:val="center"/>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（令和６</w:t>
                      </w:r>
                      <w:r>
                        <w:rPr>
                          <w:rFonts w:hint="default" w:ascii="ＭＳ ゴシック" w:hAnsi="ＭＳ ゴシック" w:eastAsia="ＭＳ ゴシック"/>
                          <w:color w:val="000000" w:themeColor="text1"/>
                          <w:sz w:val="20"/>
                        </w:rPr>
                        <w:t>年度～</w:t>
                      </w:r>
                      <w:r>
                        <w:rPr>
                          <w:rFonts w:hint="eastAsia" w:ascii="ＭＳ ゴシック" w:hAnsi="ＭＳ ゴシック" w:eastAsia="ＭＳ ゴシック"/>
                          <w:color w:val="000000" w:themeColor="text1"/>
                          <w:sz w:val="20"/>
                        </w:rPr>
                        <w:t>令和８</w:t>
                      </w:r>
                      <w:r>
                        <w:rPr>
                          <w:rFonts w:hint="default" w:ascii="ＭＳ ゴシック" w:hAnsi="ＭＳ ゴシック" w:eastAsia="ＭＳ ゴシック"/>
                          <w:color w:val="000000" w:themeColor="text1"/>
                          <w:sz w:val="20"/>
                        </w:rPr>
                        <w:t>年</w:t>
                      </w:r>
                      <w:r>
                        <w:rPr>
                          <w:rFonts w:hint="eastAsia" w:ascii="ＭＳ ゴシック" w:hAnsi="ＭＳ ゴシック" w:eastAsia="ＭＳ ゴシック"/>
                          <w:color w:val="000000" w:themeColor="text1"/>
                          <w:sz w:val="20"/>
                        </w:rPr>
                        <w:t>度）</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287" behindDoc="0" locked="0" layoutInCell="1" hidden="0" allowOverlap="1">
                <wp:simplePos x="0" y="0"/>
                <wp:positionH relativeFrom="column">
                  <wp:posOffset>3305810</wp:posOffset>
                </wp:positionH>
                <wp:positionV relativeFrom="paragraph">
                  <wp:posOffset>26670</wp:posOffset>
                </wp:positionV>
                <wp:extent cx="1668780" cy="208915"/>
                <wp:effectExtent l="0" t="0" r="635" b="635"/>
                <wp:wrapNone/>
                <wp:docPr id="1054" name="テキスト ボックス 93"/>
                <a:graphic xmlns:a="http://schemas.openxmlformats.org/drawingml/2006/main">
                  <a:graphicData uri="http://schemas.microsoft.com/office/word/2010/wordprocessingShape">
                    <wps:wsp>
                      <wps:cNvPr id="1054" name="テキスト ボックス 93"/>
                      <wps:cNvSpPr txBox="1">
                        <a:spLocks noChangeArrowheads="1"/>
                      </wps:cNvSpPr>
                      <wps:spPr>
                        <a:xfrm>
                          <a:off x="0" y="0"/>
                          <a:ext cx="1668780" cy="208915"/>
                        </a:xfrm>
                        <a:prstGeom prst="rect">
                          <a:avLst/>
                        </a:prstGeom>
                        <a:noFill/>
                        <a:ln>
                          <a:noFill/>
                        </a:ln>
                        <a:effectLst/>
                      </wps:spPr>
                      <wps:txbx>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第６次南風原町障がい者計画</w:t>
                            </w:r>
                          </w:p>
                          <w:p>
                            <w:pPr>
                              <w:pStyle w:val="0"/>
                              <w:jc w:val="center"/>
                              <w:rPr>
                                <w:rFonts w:hint="default"/>
                                <w:sz w:val="21"/>
                              </w:rPr>
                            </w:pPr>
                          </w:p>
                        </w:txbxContent>
                      </wps:txbx>
                      <wps:bodyPr rot="0" vertOverflow="overflow" horzOverflow="overflow" wrap="non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93" style="mso-wrap-distance-right:9pt;mso-wrap-distance-bottom:0pt;margin-top:2.1pt;mso-position-vertical-relative:text;mso-position-horizontal-relative:text;v-text-anchor:top;position:absolute;height:16.45pt;mso-wrap-distance-top:0pt;width:131.4pt;mso-wrap-style:none;mso-wrap-distance-left:9pt;margin-left:260.3pt;z-index:287;" o:spid="_x0000_s1054" o:allowincell="t" o:allowoverlap="t" filled="f" stroked="f" o:spt="202" type="#_x0000_t202">
                <v:fill/>
                <v:textbox style="layout-flow:horizontal;" inset="2.0637499999999998mm,0.24694444444444438mm,2.0637499999999998mm,0.24694444444444438mm">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第６次南風原町障がい者計画</w:t>
                      </w:r>
                    </w:p>
                    <w:p>
                      <w:pPr>
                        <w:pStyle w:val="0"/>
                        <w:jc w:val="center"/>
                        <w:rPr>
                          <w:rFonts w:hint="default"/>
                          <w:sz w:val="21"/>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288" behindDoc="0" locked="0" layoutInCell="1" hidden="0" allowOverlap="1">
                <wp:simplePos x="0" y="0"/>
                <wp:positionH relativeFrom="column">
                  <wp:posOffset>5509260</wp:posOffset>
                </wp:positionH>
                <wp:positionV relativeFrom="paragraph">
                  <wp:posOffset>34925</wp:posOffset>
                </wp:positionV>
                <wp:extent cx="340995" cy="948690"/>
                <wp:effectExtent l="635" t="635" r="29845" b="10795"/>
                <wp:wrapNone/>
                <wp:docPr id="1055" name="角丸四角形 94"/>
                <a:graphic xmlns:a="http://schemas.openxmlformats.org/drawingml/2006/main">
                  <a:graphicData uri="http://schemas.microsoft.com/office/word/2010/wordprocessingShape">
                    <wps:wsp>
                      <wps:cNvPr id="1055" name="角丸四角形 94"/>
                      <wps:cNvSpPr>
                        <a:spLocks noChangeArrowheads="1"/>
                      </wps:cNvSpPr>
                      <wps:spPr>
                        <a:xfrm>
                          <a:off x="0" y="0"/>
                          <a:ext cx="340995" cy="948690"/>
                        </a:xfrm>
                        <a:prstGeom prst="roundRect">
                          <a:avLst>
                            <a:gd name="adj" fmla="val 0"/>
                          </a:avLst>
                        </a:prstGeom>
                        <a:solidFill>
                          <a:schemeClr val="bg1">
                            <a:lumMod val="95000"/>
                          </a:schemeClr>
                        </a:solidFill>
                        <a:ln w="9525">
                          <a:solidFill>
                            <a:srgbClr val="000000"/>
                          </a:solidFill>
                          <a:round/>
                          <a:headEnd/>
                          <a:tailEnd/>
                        </a:ln>
                      </wps:spPr>
                      <wps:txbx>
                        <w:txbxContent>
                          <w:p>
                            <w:pPr>
                              <w:pStyle w:val="0"/>
                              <w:jc w:val="center"/>
                              <w:rPr>
                                <w:rFonts w:hint="default"/>
                                <w:sz w:val="20"/>
                              </w:rPr>
                            </w:pPr>
                            <w:r>
                              <w:rPr>
                                <w:rFonts w:hint="eastAsia" w:ascii="ＭＳ ゴシック" w:hAnsi="ＭＳ ゴシック" w:eastAsia="ＭＳ ゴシック"/>
                                <w:sz w:val="20"/>
                              </w:rPr>
                              <w:t>障害者基本法</w:t>
                            </w:r>
                          </w:p>
                        </w:txbxContent>
                      </wps:txbx>
                      <wps:bodyPr rot="0" vertOverflow="overflow" horzOverflow="overflow" vert="eaVert" wrap="square" lIns="41760" tIns="19800" rIns="41760" bIns="8890" anchor="t" anchorCtr="0" upright="1"/>
                    </wps:wsp>
                  </a:graphicData>
                </a:graphic>
              </wp:anchor>
            </w:drawing>
          </mc:Choice>
          <mc:Fallback>
            <w:pict>
              <v:roundrect id="角丸四角形 94" style="mso-wrap-distance-right:9pt;mso-wrap-distance-bottom:0pt;margin-top:2.75pt;mso-position-vertical-relative:text;mso-position-horizontal-relative:text;v-text-anchor:top;position:absolute;height:74.7pt;mso-wrap-distance-top:0pt;width:26.85pt;mso-wrap-distance-left:9pt;margin-left:433.8pt;z-index:288;" o:spid="_x0000_s1055" o:allowincell="t" o:allowoverlap="t" filled="t" fillcolor="#f2f2f2 [3052]" stroked="t" strokecolor="#000000" strokeweight="0.75pt" o:spt="2" arcsize="0f">
                <v:fill/>
                <v:stroke filltype="solid"/>
                <v:textbox style="layout-flow:vertical-ideographic;" inset="1.1599999999999997mm,0.54999999999999993mm,1.1599999999999997mm,0.24694444444444438mm">
                  <w:txbxContent>
                    <w:p>
                      <w:pPr>
                        <w:pStyle w:val="0"/>
                        <w:jc w:val="center"/>
                        <w:rPr>
                          <w:rFonts w:hint="default"/>
                          <w:sz w:val="20"/>
                        </w:rPr>
                      </w:pPr>
                      <w:r>
                        <w:rPr>
                          <w:rFonts w:hint="eastAsia" w:ascii="ＭＳ ゴシック" w:hAnsi="ＭＳ ゴシック" w:eastAsia="ＭＳ ゴシック"/>
                          <w:sz w:val="20"/>
                        </w:rPr>
                        <w:t>障害者基本法</w:t>
                      </w:r>
                    </w:p>
                  </w:txbxContent>
                </v:textbox>
                <v:imagedata o:title=""/>
                <w10:wrap type="none" anchorx="text" anchory="text"/>
              </v:roundrect>
            </w:pict>
          </mc:Fallback>
        </mc:AlternateContent>
      </w:r>
    </w:p>
    <w:p>
      <w:pPr>
        <w:pStyle w:val="19"/>
        <w:rPr>
          <w:rFonts w:hint="default"/>
        </w:rPr>
      </w:pPr>
      <w:r>
        <w:rPr>
          <w:rFonts w:hint="default"/>
        </w:rPr>
        <mc:AlternateContent>
          <mc:Choice Requires="wps">
            <w:drawing>
              <wp:anchor distT="0" distB="0" distL="114300" distR="114300" simplePos="0" relativeHeight="289" behindDoc="0" locked="0" layoutInCell="1" hidden="0" allowOverlap="1">
                <wp:simplePos x="0" y="0"/>
                <wp:positionH relativeFrom="column">
                  <wp:posOffset>5306060</wp:posOffset>
                </wp:positionH>
                <wp:positionV relativeFrom="paragraph">
                  <wp:posOffset>79375</wp:posOffset>
                </wp:positionV>
                <wp:extent cx="177800" cy="369570"/>
                <wp:effectExtent l="635" t="1270" r="29845" b="11430"/>
                <wp:wrapNone/>
                <wp:docPr id="1056" name="左矢印 95"/>
                <a:graphic xmlns:a="http://schemas.openxmlformats.org/drawingml/2006/main">
                  <a:graphicData uri="http://schemas.microsoft.com/office/word/2010/wordprocessingShape">
                    <wps:wsp>
                      <wps:cNvPr id="1056" name="左矢印 95"/>
                      <wps:cNvSpPr>
                        <a:spLocks noChangeArrowheads="1"/>
                      </wps:cNvSpPr>
                      <wps:spPr>
                        <a:xfrm>
                          <a:off x="0" y="0"/>
                          <a:ext cx="177800" cy="369570"/>
                        </a:xfrm>
                        <a:prstGeom prst="leftArrow">
                          <a:avLst>
                            <a:gd name="adj1" fmla="val 49824"/>
                            <a:gd name="adj2" fmla="val 57587"/>
                          </a:avLst>
                        </a:prstGeom>
                        <a:solidFill>
                          <a:srgbClr val="808080"/>
                        </a:solidFill>
                        <a:ln w="9525" algn="ctr">
                          <a:solidFill>
                            <a:srgbClr val="000000"/>
                          </a:solidFill>
                          <a:miter lim="800000"/>
                          <a:headEnd/>
                          <a:tailEnd/>
                        </a:ln>
                        <a:effectLst/>
                      </wps:spPr>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95" style="mso-wrap-distance-right:9pt;mso-wrap-distance-bottom:0pt;margin-top:6.25pt;mso-position-vertical-relative:text;mso-position-horizontal-relative:text;position:absolute;height:29.1pt;mso-wrap-distance-top:0pt;width:14pt;mso-wrap-distance-left:9pt;margin-left:417.8pt;z-index:289;" o:spid="_x0000_s1056" o:allowincell="t" o:allowoverlap="t" filled="t" fillcolor="#808080" stroked="t" strokecolor="#000000" strokeweight="0.75pt" o:spt="66" type="#_x0000_t66" adj="12439,5419">
                <v:fill/>
                <v:stroke miterlimit="8"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290" behindDoc="0" locked="0" layoutInCell="1" hidden="0" allowOverlap="1">
                <wp:simplePos x="0" y="0"/>
                <wp:positionH relativeFrom="column">
                  <wp:posOffset>3270885</wp:posOffset>
                </wp:positionH>
                <wp:positionV relativeFrom="paragraph">
                  <wp:posOffset>158750</wp:posOffset>
                </wp:positionV>
                <wp:extent cx="1964055" cy="628650"/>
                <wp:effectExtent l="0" t="0" r="635" b="635"/>
                <wp:wrapNone/>
                <wp:docPr id="1057" name="テキスト ボックス 96"/>
                <a:graphic xmlns:a="http://schemas.openxmlformats.org/drawingml/2006/main">
                  <a:graphicData uri="http://schemas.microsoft.com/office/word/2010/wordprocessingShape">
                    <wps:wsp>
                      <wps:cNvPr id="1057" name="テキスト ボックス 96"/>
                      <wps:cNvSpPr txBox="1">
                        <a:spLocks noChangeArrowheads="1"/>
                      </wps:cNvSpPr>
                      <wps:spPr>
                        <a:xfrm>
                          <a:off x="0" y="0"/>
                          <a:ext cx="1964055" cy="628650"/>
                        </a:xfrm>
                        <a:prstGeom prst="rect">
                          <a:avLst/>
                        </a:prstGeom>
                        <a:noFill/>
                        <a:ln>
                          <a:noFill/>
                        </a:ln>
                        <a:effectLst/>
                      </wps:spPr>
                      <wps:txbx>
                        <w:txbxContent>
                          <w:p>
                            <w:pPr>
                              <w:pStyle w:val="0"/>
                              <w:spacing w:line="280" w:lineRule="exact"/>
                              <w:rPr>
                                <w:rFonts w:hint="default"/>
                                <w:sz w:val="18"/>
                              </w:rPr>
                            </w:pPr>
                            <w:r>
                              <w:rPr>
                                <w:rFonts w:hint="eastAsia" w:ascii="ＭＳ ゴシック" w:hAnsi="ＭＳ ゴシック" w:eastAsia="ＭＳ ゴシック"/>
                                <w:sz w:val="18"/>
                              </w:rPr>
                              <w:t>障害者基本法を根拠に、障がい者に関わるさまざまな施策を総合的、体系的に示した計画</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96" style="mso-wrap-distance-right:9pt;mso-wrap-distance-bottom:0pt;margin-top:12.5pt;mso-position-vertical-relative:text;mso-position-horizontal-relative:text;v-text-anchor:top;position:absolute;height:49.5pt;mso-wrap-distance-top:0pt;width:154.65pt;mso-wrap-distance-left:9pt;margin-left:257.55pt;z-index:290;" o:spid="_x0000_s1057" o:allowincell="t" o:allowoverlap="t" filled="f" stroked="f" o:spt="202" type="#_x0000_t202">
                <v:fill/>
                <v:textbox style="layout-flow:horizontal;" inset="2.0637499999999998mm,0.24694444444444438mm,2.0637499999999998mm,0.24694444444444438mm">
                  <w:txbxContent>
                    <w:p>
                      <w:pPr>
                        <w:pStyle w:val="0"/>
                        <w:spacing w:line="280" w:lineRule="exact"/>
                        <w:rPr>
                          <w:rFonts w:hint="default"/>
                          <w:sz w:val="18"/>
                        </w:rPr>
                      </w:pPr>
                      <w:r>
                        <w:rPr>
                          <w:rFonts w:hint="eastAsia" w:ascii="ＭＳ ゴシック" w:hAnsi="ＭＳ ゴシック" w:eastAsia="ＭＳ ゴシック"/>
                          <w:sz w:val="18"/>
                        </w:rPr>
                        <w:t>障害者基本法を根拠に、障がい者に関わるさまざまな施策を総合的、体系的に示した計画</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291" behindDoc="0" locked="0" layoutInCell="1" hidden="0" allowOverlap="1">
                <wp:simplePos x="0" y="0"/>
                <wp:positionH relativeFrom="column">
                  <wp:posOffset>1501775</wp:posOffset>
                </wp:positionH>
                <wp:positionV relativeFrom="paragraph">
                  <wp:posOffset>532765</wp:posOffset>
                </wp:positionV>
                <wp:extent cx="435610" cy="2258060"/>
                <wp:effectExtent l="635" t="635" r="29845" b="10795"/>
                <wp:wrapNone/>
                <wp:docPr id="1058" name="角丸四角形 97"/>
                <a:graphic xmlns:a="http://schemas.openxmlformats.org/drawingml/2006/main">
                  <a:graphicData uri="http://schemas.microsoft.com/office/word/2010/wordprocessingShape">
                    <wps:wsp>
                      <wps:cNvPr id="1058" name="角丸四角形 97"/>
                      <wps:cNvSpPr>
                        <a:spLocks noChangeArrowheads="1"/>
                      </wps:cNvSpPr>
                      <wps:spPr>
                        <a:xfrm rot="5400000">
                          <a:off x="0" y="0"/>
                          <a:ext cx="435610" cy="2258060"/>
                        </a:xfrm>
                        <a:prstGeom prst="roundRect">
                          <a:avLst>
                            <a:gd name="adj" fmla="val 16667"/>
                          </a:avLst>
                        </a:prstGeom>
                        <a:solidFill>
                          <a:srgbClr val="FFFFFF"/>
                        </a:solidFill>
                        <a:ln w="9525">
                          <a:solidFill>
                            <a:srgbClr val="000000"/>
                          </a:solidFill>
                          <a:round/>
                          <a:headEnd/>
                          <a:tailEnd/>
                        </a:ln>
                        <a:effectLst/>
                      </wps:spPr>
                      <wps:txbx>
                        <w:txbxContent>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健康はえばる</w:t>
                            </w:r>
                            <w:r>
                              <w:rPr>
                                <w:rFonts w:hint="eastAsia" w:ascii="ＭＳ ゴシック" w:hAnsi="ＭＳ ゴシック" w:eastAsia="ＭＳ ゴシック"/>
                                <w:sz w:val="20"/>
                              </w:rPr>
                              <w:t>21</w:t>
                            </w:r>
                          </w:p>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（平成</w:t>
                            </w:r>
                            <w:r>
                              <w:rPr>
                                <w:rFonts w:hint="eastAsia" w:ascii="ＭＳ ゴシック" w:hAnsi="ＭＳ ゴシック" w:eastAsia="ＭＳ ゴシック"/>
                                <w:sz w:val="20"/>
                              </w:rPr>
                              <w:t>25</w:t>
                            </w:r>
                            <w:r>
                              <w:rPr>
                                <w:rFonts w:hint="eastAsia" w:ascii="ＭＳ ゴシック" w:hAnsi="ＭＳ ゴシック" w:eastAsia="ＭＳ ゴシック"/>
                                <w:sz w:val="20"/>
                              </w:rPr>
                              <w:t>年度～</w:t>
                            </w:r>
                            <w:r>
                              <w:rPr>
                                <w:rFonts w:hint="eastAsia" w:ascii="ＭＳ ゴシック" w:hAnsi="ＭＳ ゴシック" w:eastAsia="ＭＳ ゴシック"/>
                                <w:color w:val="000000" w:themeColor="text1"/>
                                <w:sz w:val="20"/>
                              </w:rPr>
                              <w:t>令和６年度</w:t>
                            </w:r>
                            <w:r>
                              <w:rPr>
                                <w:rFonts w:hint="eastAsia" w:ascii="ＭＳ ゴシック" w:hAnsi="ＭＳ ゴシック" w:eastAsia="ＭＳ ゴシック"/>
                                <w:sz w:val="20"/>
                              </w:rPr>
                              <w:t>）</w:t>
                            </w:r>
                          </w:p>
                        </w:txbxContent>
                      </wps:txbx>
                      <wps:bodyPr rot="0" vertOverflow="overflow" horzOverflow="overflow" wrap="square" lIns="32400" tIns="5400" rIns="18000" bIns="5400" anchor="t" anchorCtr="0" upright="1"/>
                    </wps:wsp>
                  </a:graphicData>
                </a:graphic>
              </wp:anchor>
            </w:drawing>
          </mc:Choice>
          <mc:Fallback>
            <w:pict>
              <v:roundrect id="角丸四角形 97" style="mso-wrap-distance-right:9pt;mso-wrap-distance-bottom:0pt;margin-top:41.95pt;mso-position-vertical-relative:text;mso-position-horizontal-relative:text;v-text-anchor:top;position:absolute;height:177.8pt;mso-wrap-distance-top:0pt;width:34.29pt;mso-wrap-distance-left:9pt;margin-left:118.25pt;z-index:291;rotation:90;" o:spid="_x0000_s1058" o:allowincell="t" o:allowoverlap="t" filled="t" fillcolor="#ffffff" stroked="t" strokecolor="#000000" strokeweight="0.75pt" o:spt="2" arcsize="10923f">
                <v:fill/>
                <v:stroke filltype="solid"/>
                <v:textbox style="layout-flow:horizontal;" inset="0.8999999999999998mm,0.14999999999999997mm,0.49999999999999989mm,0.14999999999999997mm">
                  <w:txbxContent>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健康はえばる</w:t>
                      </w:r>
                      <w:r>
                        <w:rPr>
                          <w:rFonts w:hint="eastAsia" w:ascii="ＭＳ ゴシック" w:hAnsi="ＭＳ ゴシック" w:eastAsia="ＭＳ ゴシック"/>
                          <w:sz w:val="20"/>
                        </w:rPr>
                        <w:t>21</w:t>
                      </w:r>
                    </w:p>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（平成</w:t>
                      </w:r>
                      <w:r>
                        <w:rPr>
                          <w:rFonts w:hint="eastAsia" w:ascii="ＭＳ ゴシック" w:hAnsi="ＭＳ ゴシック" w:eastAsia="ＭＳ ゴシック"/>
                          <w:sz w:val="20"/>
                        </w:rPr>
                        <w:t>25</w:t>
                      </w:r>
                      <w:r>
                        <w:rPr>
                          <w:rFonts w:hint="eastAsia" w:ascii="ＭＳ ゴシック" w:hAnsi="ＭＳ ゴシック" w:eastAsia="ＭＳ ゴシック"/>
                          <w:sz w:val="20"/>
                        </w:rPr>
                        <w:t>年度～</w:t>
                      </w:r>
                      <w:r>
                        <w:rPr>
                          <w:rFonts w:hint="eastAsia" w:ascii="ＭＳ ゴシック" w:hAnsi="ＭＳ ゴシック" w:eastAsia="ＭＳ ゴシック"/>
                          <w:color w:val="000000" w:themeColor="text1"/>
                          <w:sz w:val="20"/>
                        </w:rPr>
                        <w:t>令和６年度</w:t>
                      </w:r>
                      <w:r>
                        <w:rPr>
                          <w:rFonts w:hint="eastAsia" w:ascii="ＭＳ ゴシック" w:hAnsi="ＭＳ ゴシック" w:eastAsia="ＭＳ ゴシック"/>
                          <w:sz w:val="20"/>
                        </w:rPr>
                        <w:t>）</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292" behindDoc="0" locked="0" layoutInCell="1" hidden="0" allowOverlap="1">
                <wp:simplePos x="0" y="0"/>
                <wp:positionH relativeFrom="column">
                  <wp:posOffset>3223260</wp:posOffset>
                </wp:positionH>
                <wp:positionV relativeFrom="paragraph">
                  <wp:posOffset>151765</wp:posOffset>
                </wp:positionV>
                <wp:extent cx="2068195" cy="0"/>
                <wp:effectExtent l="0" t="635" r="29210" b="10795"/>
                <wp:wrapNone/>
                <wp:docPr id="1059" name="直線コネクタ 98"/>
                <a:graphic xmlns:a="http://schemas.openxmlformats.org/drawingml/2006/main">
                  <a:graphicData uri="http://schemas.microsoft.com/office/word/2010/wordprocessingShape">
                    <wps:wsp>
                      <wps:cNvPr id="1059" name="直線コネクタ 98"/>
                      <wps:cNvSpPr/>
                      <wps:spPr>
                        <a:xfrm>
                          <a:off x="0" y="0"/>
                          <a:ext cx="2068195" cy="0"/>
                        </a:xfrm>
                        <a:prstGeom prst="line">
                          <a:avLst/>
                        </a:prstGeom>
                        <a:noFill/>
                        <a:ln w="9525">
                          <a:solidFill>
                            <a:srgbClr val="000000"/>
                          </a:solidFill>
                          <a:round/>
                          <a:headEnd/>
                          <a:tailEnd/>
                        </a:ln>
                      </wps:spPr>
                      <wps:bodyPr/>
                    </wps:wsp>
                  </a:graphicData>
                </a:graphic>
              </wp:anchor>
            </w:drawing>
          </mc:Choice>
          <mc:Fallback>
            <w:pict>
              <v:line id="直線コネクタ 98" style="mso-wrap-distance-top:0pt;mso-wrap-distance-right:9pt;mso-wrap-distance-bottom:0pt;mso-position-vertical-relative:text;mso-position-horizontal-relative:text;position:absolute;mso-wrap-distance-left:9pt;z-index:292;" o:spid="_x0000_s1059" o:allowincell="t" o:allowoverlap="t" filled="f" stroked="t" strokecolor="#000000" strokeweight="0.75pt" o:spt="20" from="253.8pt,11.95pt" to="416.65pt,11.95pt">
                <v:fill/>
                <v:stroke filltype="solid"/>
                <v:textbox style="layout-flow:horizontal;"/>
                <v:imagedata o:title=""/>
                <w10:wrap type="none" anchorx="text" anchory="text"/>
              </v:line>
            </w:pict>
          </mc:Fallback>
        </mc:AlternateContent>
      </w:r>
    </w:p>
    <w:p>
      <w:pPr>
        <w:pStyle w:val="19"/>
        <w:rPr>
          <w:rFonts w:hint="default"/>
        </w:rPr>
      </w:pPr>
    </w:p>
    <w:p>
      <w:pPr>
        <w:pStyle w:val="19"/>
        <w:rPr>
          <w:rFonts w:hint="default"/>
        </w:rPr>
      </w:pPr>
    </w:p>
    <w:p>
      <w:pPr>
        <w:pStyle w:val="19"/>
        <w:rPr>
          <w:rFonts w:hint="default"/>
        </w:rPr>
      </w:pPr>
      <w:r>
        <w:rPr>
          <w:rFonts w:hint="default"/>
        </w:rPr>
        <mc:AlternateContent>
          <mc:Choice Requires="wps">
            <w:drawing>
              <wp:anchor distT="0" distB="0" distL="114300" distR="114300" simplePos="0" relativeHeight="293" behindDoc="0" locked="0" layoutInCell="1" hidden="0" allowOverlap="1">
                <wp:simplePos x="0" y="0"/>
                <wp:positionH relativeFrom="column">
                  <wp:posOffset>3279140</wp:posOffset>
                </wp:positionH>
                <wp:positionV relativeFrom="paragraph">
                  <wp:posOffset>102235</wp:posOffset>
                </wp:positionV>
                <wp:extent cx="1936750" cy="3156585"/>
                <wp:effectExtent l="635" t="635" r="29845" b="10795"/>
                <wp:wrapNone/>
                <wp:docPr id="1060" name="角丸四角形 101"/>
                <a:graphic xmlns:a="http://schemas.openxmlformats.org/drawingml/2006/main">
                  <a:graphicData uri="http://schemas.microsoft.com/office/word/2010/wordprocessingShape">
                    <wps:wsp>
                      <wps:cNvPr id="1060" name="角丸四角形 101"/>
                      <wps:cNvSpPr>
                        <a:spLocks noChangeArrowheads="1"/>
                      </wps:cNvSpPr>
                      <wps:spPr>
                        <a:xfrm>
                          <a:off x="0" y="0"/>
                          <a:ext cx="1936750" cy="3156585"/>
                        </a:xfrm>
                        <a:prstGeom prst="roundRect">
                          <a:avLst>
                            <a:gd name="adj" fmla="val 10139"/>
                          </a:avLst>
                        </a:prstGeom>
                        <a:solidFill>
                          <a:srgbClr val="FFFFFF"/>
                        </a:solidFill>
                        <a:ln w="9525">
                          <a:solidFill>
                            <a:srgbClr val="000000"/>
                          </a:solidFill>
                          <a:round/>
                          <a:headEnd/>
                          <a:tailEnd/>
                        </a:ln>
                        <a:effectLst/>
                      </wps:spPr>
                      <wps:bodyPr/>
                    </wps:wsp>
                  </a:graphicData>
                </a:graphic>
              </wp:anchor>
            </w:drawing>
          </mc:Choice>
          <mc:Fallback>
            <w:pict>
              <v:roundrect id="角丸四角形 101" style="mso-wrap-distance-right:9pt;mso-wrap-distance-bottom:0pt;margin-top:8.0500000000000007pt;mso-position-vertical-relative:text;mso-position-horizontal-relative:text;position:absolute;height:248.55pt;mso-wrap-distance-top:0pt;width:152.5pt;mso-wrap-distance-left:9pt;margin-left:258.2pt;z-index:293;" o:spid="_x0000_s1060" o:allowincell="t" o:allowoverlap="t" filled="t" fillcolor="#ffffff" stroked="t" strokecolor="#000000" strokeweight="0.75pt" o:spt="2" arcsize="6645f">
                <v:fill/>
                <v:stroke filltype="solid"/>
                <v:textbox style="layout-flow:horizontal;"/>
                <v:imagedata o:title=""/>
                <w10:wrap type="none" anchorx="text" anchory="text"/>
              </v:roundrect>
            </w:pict>
          </mc:Fallback>
        </mc:AlternateContent>
      </w:r>
      <w:r>
        <w:rPr>
          <w:rFonts w:hint="default"/>
        </w:rPr>
        <mc:AlternateContent>
          <mc:Choice Requires="wps">
            <w:drawing>
              <wp:anchor distT="0" distB="0" distL="114300" distR="114300" simplePos="0" relativeHeight="294" behindDoc="0" locked="0" layoutInCell="1" hidden="0" allowOverlap="1">
                <wp:simplePos x="0" y="0"/>
                <wp:positionH relativeFrom="column">
                  <wp:posOffset>3254375</wp:posOffset>
                </wp:positionH>
                <wp:positionV relativeFrom="paragraph">
                  <wp:posOffset>184150</wp:posOffset>
                </wp:positionV>
                <wp:extent cx="1997075" cy="247650"/>
                <wp:effectExtent l="0" t="0" r="635" b="635"/>
                <wp:wrapNone/>
                <wp:docPr id="1061" name="テキスト ボックス 100"/>
                <a:graphic xmlns:a="http://schemas.openxmlformats.org/drawingml/2006/main">
                  <a:graphicData uri="http://schemas.microsoft.com/office/word/2010/wordprocessingShape">
                    <wps:wsp>
                      <wps:cNvPr id="1061" name="テキスト ボックス 100"/>
                      <wps:cNvSpPr txBox="1">
                        <a:spLocks noChangeArrowheads="1"/>
                      </wps:cNvSpPr>
                      <wps:spPr>
                        <a:xfrm>
                          <a:off x="0" y="0"/>
                          <a:ext cx="1997075" cy="247650"/>
                        </a:xfrm>
                        <a:prstGeom prst="rect">
                          <a:avLst/>
                        </a:prstGeom>
                        <a:noFill/>
                        <a:ln>
                          <a:noFill/>
                        </a:ln>
                        <a:effectLst/>
                      </wps:spPr>
                      <wps:txbx>
                        <w:txbxContent>
                          <w:p>
                            <w:pPr>
                              <w:pStyle w:val="0"/>
                              <w:jc w:val="center"/>
                              <w:rPr>
                                <w:rFonts w:hint="default" w:ascii="ＭＳ ゴシック" w:hAnsi="ＭＳ ゴシック" w:eastAsia="ＭＳ ゴシック"/>
                                <w:spacing w:val="-6"/>
                                <w:sz w:val="21"/>
                              </w:rPr>
                            </w:pPr>
                            <w:r>
                              <w:rPr>
                                <w:rFonts w:hint="eastAsia" w:ascii="ＭＳ ゴシック" w:hAnsi="ＭＳ ゴシック" w:eastAsia="ＭＳ ゴシック"/>
                                <w:spacing w:val="-6"/>
                                <w:sz w:val="21"/>
                              </w:rPr>
                              <w:t>南風原町第７期障がい福祉計画</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00" style="mso-wrap-distance-right:9pt;mso-wrap-distance-bottom:0pt;margin-top:14.5pt;mso-position-vertical-relative:text;mso-position-horizontal-relative:text;v-text-anchor:top;position:absolute;height:19.5pt;mso-wrap-distance-top:0pt;width:157.25pt;mso-wrap-distance-left:9pt;margin-left:256.25pt;z-index:294;" o:spid="_x0000_s1061" o:allowincell="t" o:allowoverlap="t" filled="f" stroked="f" o:spt="202" type="#_x0000_t202">
                <v:fill/>
                <v:textbox style="layout-flow:horizontal;" inset="2.0637499999999998mm,0.24694444444444438mm,2.0637499999999998mm,0.24694444444444438mm">
                  <w:txbxContent>
                    <w:p>
                      <w:pPr>
                        <w:pStyle w:val="0"/>
                        <w:jc w:val="center"/>
                        <w:rPr>
                          <w:rFonts w:hint="default" w:ascii="ＭＳ ゴシック" w:hAnsi="ＭＳ ゴシック" w:eastAsia="ＭＳ ゴシック"/>
                          <w:spacing w:val="-6"/>
                          <w:sz w:val="21"/>
                        </w:rPr>
                      </w:pPr>
                      <w:r>
                        <w:rPr>
                          <w:rFonts w:hint="eastAsia" w:ascii="ＭＳ ゴシック" w:hAnsi="ＭＳ ゴシック" w:eastAsia="ＭＳ ゴシック"/>
                          <w:spacing w:val="-6"/>
                          <w:sz w:val="21"/>
                        </w:rPr>
                        <w:t>南風原町第７期障がい福祉計画</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295" behindDoc="0" locked="0" layoutInCell="1" hidden="0" allowOverlap="1">
                <wp:simplePos x="0" y="0"/>
                <wp:positionH relativeFrom="column">
                  <wp:posOffset>2963545</wp:posOffset>
                </wp:positionH>
                <wp:positionV relativeFrom="paragraph">
                  <wp:posOffset>235585</wp:posOffset>
                </wp:positionV>
                <wp:extent cx="228600" cy="247650"/>
                <wp:effectExtent l="635" t="1270" r="29845" b="11430"/>
                <wp:wrapNone/>
                <wp:docPr id="1062" name="左右矢印 104"/>
                <a:graphic xmlns:a="http://schemas.openxmlformats.org/drawingml/2006/main">
                  <a:graphicData uri="http://schemas.microsoft.com/office/word/2010/wordprocessingShape">
                    <wps:wsp>
                      <wps:cNvPr id="1062" name="左右矢印 104"/>
                      <wps:cNvSpPr>
                        <a:spLocks noChangeArrowheads="1"/>
                      </wps:cNvSpPr>
                      <wps:spPr>
                        <a:xfrm>
                          <a:off x="0" y="0"/>
                          <a:ext cx="228600" cy="247650"/>
                        </a:xfrm>
                        <a:prstGeom prst="leftRightArrow">
                          <a:avLst>
                            <a:gd name="adj1" fmla="val 49741"/>
                            <a:gd name="adj2" fmla="val 36000"/>
                          </a:avLst>
                        </a:prstGeom>
                        <a:solidFill>
                          <a:srgbClr val="FFFFFF"/>
                        </a:solidFill>
                        <a:ln w="9525">
                          <a:solidFill>
                            <a:srgbClr val="000000"/>
                          </a:solidFill>
                          <a:miter lim="800000"/>
                          <a:headEnd/>
                          <a:tailEnd/>
                        </a:ln>
                      </wps:spPr>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04" style="mso-wrap-distance-right:9pt;mso-wrap-distance-bottom:0pt;margin-top:18.55pt;mso-position-vertical-relative:text;mso-position-horizontal-relative:text;position:absolute;height:19.5pt;mso-wrap-distance-top:0pt;width:18pt;mso-wrap-distance-left:9pt;margin-left:233.35pt;z-index:295;" o:spid="_x0000_s1062" o:allowincell="t" o:allowoverlap="t" filled="t" fillcolor="#ffffff" stroked="t" strokecolor="#000000" strokeweight="0.75pt" o:spt="69" type="#_x0000_t69" adj="7776,5428">
                <v:fill/>
                <v:stroke miterlimit="8" filltype="solid"/>
                <v:textbox style="layout-flow:horizontal;"/>
                <v:imagedata o:title=""/>
                <w10:wrap type="none" anchorx="text" anchory="text"/>
              </v:shape>
            </w:pict>
          </mc:Fallback>
        </mc:AlternateContent>
      </w:r>
    </w:p>
    <w:p>
      <w:pPr>
        <w:pStyle w:val="19"/>
        <w:rPr>
          <w:rFonts w:hint="default"/>
        </w:rPr>
      </w:pPr>
      <w:r>
        <w:rPr>
          <w:rFonts w:hint="default"/>
        </w:rPr>
        <mc:AlternateContent>
          <mc:Choice Requires="wps">
            <w:drawing>
              <wp:anchor distT="0" distB="0" distL="114300" distR="114300" simplePos="0" relativeHeight="296" behindDoc="0" locked="0" layoutInCell="1" hidden="0" allowOverlap="1">
                <wp:simplePos x="0" y="0"/>
                <wp:positionH relativeFrom="column">
                  <wp:posOffset>3203575</wp:posOffset>
                </wp:positionH>
                <wp:positionV relativeFrom="paragraph">
                  <wp:posOffset>99060</wp:posOffset>
                </wp:positionV>
                <wp:extent cx="2078355" cy="258445"/>
                <wp:effectExtent l="0" t="0" r="635" b="635"/>
                <wp:wrapNone/>
                <wp:docPr id="1063" name="テキスト ボックス 105"/>
                <a:graphic xmlns:a="http://schemas.openxmlformats.org/drawingml/2006/main">
                  <a:graphicData uri="http://schemas.microsoft.com/office/word/2010/wordprocessingShape">
                    <wps:wsp>
                      <wps:cNvPr id="1063" name="テキスト ボックス 105"/>
                      <wps:cNvSpPr txBox="1"/>
                      <wps:spPr>
                        <a:xfrm>
                          <a:off x="0" y="0"/>
                          <a:ext cx="2078355"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（令和６</w:t>
                            </w:r>
                            <w:r>
                              <w:rPr>
                                <w:rFonts w:hint="default" w:ascii="ＭＳ ゴシック" w:hAnsi="ＭＳ ゴシック" w:eastAsia="ＭＳ ゴシック"/>
                                <w:color w:val="000000" w:themeColor="text1"/>
                                <w:sz w:val="20"/>
                              </w:rPr>
                              <w:t>年度～</w:t>
                            </w:r>
                            <w:r>
                              <w:rPr>
                                <w:rFonts w:hint="eastAsia" w:ascii="ＭＳ ゴシック" w:hAnsi="ＭＳ ゴシック" w:eastAsia="ＭＳ ゴシック"/>
                                <w:color w:val="000000" w:themeColor="text1"/>
                                <w:sz w:val="20"/>
                              </w:rPr>
                              <w:t>令和８</w:t>
                            </w:r>
                            <w:r>
                              <w:rPr>
                                <w:rFonts w:hint="default" w:ascii="ＭＳ ゴシック" w:hAnsi="ＭＳ ゴシック" w:eastAsia="ＭＳ ゴシック"/>
                                <w:color w:val="000000" w:themeColor="text1"/>
                                <w:sz w:val="20"/>
                              </w:rPr>
                              <w:t>年</w:t>
                            </w:r>
                            <w:r>
                              <w:rPr>
                                <w:rFonts w:hint="eastAsia" w:ascii="ＭＳ ゴシック" w:hAnsi="ＭＳ ゴシック" w:eastAsia="ＭＳ ゴシック"/>
                                <w:color w:val="000000" w:themeColor="text1"/>
                                <w:sz w:val="20"/>
                              </w:rPr>
                              <w:t>度）</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5" style="mso-wrap-distance-right:9pt;mso-wrap-distance-bottom:0pt;margin-top:7.8pt;mso-position-vertical-relative:text;mso-position-horizontal-relative:text;v-text-anchor:middle;position:absolute;height:20.350000000000001pt;mso-wrap-distance-top:0pt;width:163.65pt;mso-wrap-distance-left:9pt;margin-left:252.25pt;z-index:296;" o:spid="_x0000_s1063" o:allowincell="t" o:allowoverlap="t" filled="f" stroked="f" strokeweight="0.5pt" o:spt="202" type="#_x0000_t202">
                <v:fill/>
                <v:textbox style="layout-flow:horizontal;">
                  <w:txbxContent>
                    <w:p>
                      <w:pPr>
                        <w:pStyle w:val="0"/>
                        <w:spacing w:line="0" w:lineRule="atLeast"/>
                        <w:jc w:val="center"/>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（令和６</w:t>
                      </w:r>
                      <w:r>
                        <w:rPr>
                          <w:rFonts w:hint="default" w:ascii="ＭＳ ゴシック" w:hAnsi="ＭＳ ゴシック" w:eastAsia="ＭＳ ゴシック"/>
                          <w:color w:val="000000" w:themeColor="text1"/>
                          <w:sz w:val="20"/>
                        </w:rPr>
                        <w:t>年度～</w:t>
                      </w:r>
                      <w:r>
                        <w:rPr>
                          <w:rFonts w:hint="eastAsia" w:ascii="ＭＳ ゴシック" w:hAnsi="ＭＳ ゴシック" w:eastAsia="ＭＳ ゴシック"/>
                          <w:color w:val="000000" w:themeColor="text1"/>
                          <w:sz w:val="20"/>
                        </w:rPr>
                        <w:t>令和８</w:t>
                      </w:r>
                      <w:r>
                        <w:rPr>
                          <w:rFonts w:hint="default" w:ascii="ＭＳ ゴシック" w:hAnsi="ＭＳ ゴシック" w:eastAsia="ＭＳ ゴシック"/>
                          <w:color w:val="000000" w:themeColor="text1"/>
                          <w:sz w:val="20"/>
                        </w:rPr>
                        <w:t>年</w:t>
                      </w:r>
                      <w:r>
                        <w:rPr>
                          <w:rFonts w:hint="eastAsia" w:ascii="ＭＳ ゴシック" w:hAnsi="ＭＳ ゴシック" w:eastAsia="ＭＳ ゴシック"/>
                          <w:color w:val="000000" w:themeColor="text1"/>
                          <w:sz w:val="20"/>
                        </w:rPr>
                        <w:t>度）</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297" behindDoc="0" locked="0" layoutInCell="1" hidden="0" allowOverlap="1">
                <wp:simplePos x="0" y="0"/>
                <wp:positionH relativeFrom="column">
                  <wp:posOffset>5509260</wp:posOffset>
                </wp:positionH>
                <wp:positionV relativeFrom="paragraph">
                  <wp:posOffset>98425</wp:posOffset>
                </wp:positionV>
                <wp:extent cx="340995" cy="1183640"/>
                <wp:effectExtent l="635" t="635" r="29845" b="10795"/>
                <wp:wrapNone/>
                <wp:docPr id="1064" name="角丸四角形 106"/>
                <a:graphic xmlns:a="http://schemas.openxmlformats.org/drawingml/2006/main">
                  <a:graphicData uri="http://schemas.microsoft.com/office/word/2010/wordprocessingShape">
                    <wps:wsp>
                      <wps:cNvPr id="1064" name="角丸四角形 106"/>
                      <wps:cNvSpPr>
                        <a:spLocks noChangeArrowheads="1"/>
                      </wps:cNvSpPr>
                      <wps:spPr>
                        <a:xfrm>
                          <a:off x="0" y="0"/>
                          <a:ext cx="340995" cy="1183640"/>
                        </a:xfrm>
                        <a:prstGeom prst="roundRect">
                          <a:avLst>
                            <a:gd name="adj" fmla="val 0"/>
                          </a:avLst>
                        </a:prstGeom>
                        <a:solidFill>
                          <a:srgbClr val="FFFFFF"/>
                        </a:solidFill>
                        <a:ln w="9525">
                          <a:solidFill>
                            <a:srgbClr val="000000"/>
                          </a:solidFill>
                          <a:round/>
                          <a:headEnd/>
                          <a:tailEnd/>
                        </a:ln>
                      </wps:spPr>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障害者総合支援法</w:t>
                            </w:r>
                          </w:p>
                        </w:txbxContent>
                      </wps:txbx>
                      <wps:bodyPr rot="0" vertOverflow="overflow" horzOverflow="overflow" vert="eaVert" wrap="square" lIns="41760" tIns="19800" rIns="41760" bIns="8890" anchor="t" anchorCtr="0" upright="1"/>
                    </wps:wsp>
                  </a:graphicData>
                </a:graphic>
              </wp:anchor>
            </w:drawing>
          </mc:Choice>
          <mc:Fallback>
            <w:pict>
              <v:roundrect id="角丸四角形 106" style="mso-wrap-distance-right:9pt;mso-wrap-distance-bottom:0pt;margin-top:7.75pt;mso-position-vertical-relative:text;mso-position-horizontal-relative:text;v-text-anchor:top;position:absolute;height:93.2pt;mso-wrap-distance-top:0pt;width:26.85pt;mso-wrap-distance-left:9pt;margin-left:433.8pt;z-index:297;" o:spid="_x0000_s1064" o:allowincell="t" o:allowoverlap="t" filled="t" fillcolor="#ffffff" stroked="t" strokecolor="#000000" strokeweight="0.75pt" o:spt="2" arcsize="0f">
                <v:fill/>
                <v:stroke filltype="solid"/>
                <v:textbox style="layout-flow:vertical-ideographic;" inset="1.1599999999999997mm,0.54999999999999993mm,1.1599999999999997mm,0.24694444444444438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障害者総合支援法</w:t>
                      </w:r>
                    </w:p>
                  </w:txbxContent>
                </v:textbox>
                <v:imagedata o:title=""/>
                <w10:wrap type="none" anchorx="text" anchory="text"/>
              </v:roundrect>
            </w:pict>
          </mc:Fallback>
        </mc:AlternateContent>
      </w:r>
    </w:p>
    <w:p>
      <w:pPr>
        <w:pStyle w:val="19"/>
        <w:rPr>
          <w:rFonts w:hint="default"/>
        </w:rPr>
      </w:pPr>
      <w:r>
        <w:rPr>
          <w:rFonts w:hint="default"/>
        </w:rPr>
        <mc:AlternateContent>
          <mc:Choice Requires="wps">
            <w:drawing>
              <wp:anchor distT="0" distB="0" distL="114300" distR="114300" simplePos="0" relativeHeight="298" behindDoc="0" locked="0" layoutInCell="1" hidden="0" allowOverlap="1">
                <wp:simplePos x="0" y="0"/>
                <wp:positionH relativeFrom="column">
                  <wp:posOffset>1532255</wp:posOffset>
                </wp:positionH>
                <wp:positionV relativeFrom="paragraph">
                  <wp:posOffset>130810</wp:posOffset>
                </wp:positionV>
                <wp:extent cx="384175" cy="2258060"/>
                <wp:effectExtent l="635" t="635" r="29845" b="10795"/>
                <wp:wrapNone/>
                <wp:docPr id="1065" name="角丸四角形 99"/>
                <a:graphic xmlns:a="http://schemas.openxmlformats.org/drawingml/2006/main">
                  <a:graphicData uri="http://schemas.microsoft.com/office/word/2010/wordprocessingShape">
                    <wps:wsp>
                      <wps:cNvPr id="1065" name="角丸四角形 99"/>
                      <wps:cNvSpPr>
                        <a:spLocks noChangeArrowheads="1"/>
                      </wps:cNvSpPr>
                      <wps:spPr>
                        <a:xfrm rot="5400000">
                          <a:off x="0" y="0"/>
                          <a:ext cx="384175" cy="2258060"/>
                        </a:xfrm>
                        <a:prstGeom prst="roundRect">
                          <a:avLst>
                            <a:gd name="adj" fmla="val 16667"/>
                          </a:avLst>
                        </a:prstGeom>
                        <a:solidFill>
                          <a:srgbClr val="FFFFFF"/>
                        </a:solidFill>
                        <a:ln w="9525">
                          <a:solidFill>
                            <a:srgbClr val="000000"/>
                          </a:solidFill>
                          <a:round/>
                          <a:headEnd/>
                          <a:tailEnd/>
                        </a:ln>
                        <a:effectLst/>
                      </wps:spPr>
                      <wps:txbx>
                        <w:txbxContent>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南風原町地域防災計画</w:t>
                            </w:r>
                          </w:p>
                        </w:txbxContent>
                      </wps:txbx>
                      <wps:bodyPr rot="0" vertOverflow="overflow" horzOverflow="overflow" wrap="square" lIns="32400" tIns="5400" rIns="18000" bIns="5400" anchor="ctr" anchorCtr="0" upright="1"/>
                    </wps:wsp>
                  </a:graphicData>
                </a:graphic>
              </wp:anchor>
            </w:drawing>
          </mc:Choice>
          <mc:Fallback>
            <w:pict>
              <v:roundrect id="角丸四角形 99" style="mso-wrap-distance-right:9pt;mso-wrap-distance-bottom:0pt;margin-top:10.3pt;mso-position-vertical-relative:text;mso-position-horizontal-relative:text;v-text-anchor:middle;position:absolute;height:177.8pt;mso-wrap-distance-top:0pt;width:30.25pt;mso-wrap-distance-left:9pt;margin-left:120.65pt;z-index:298;rotation:90;" o:spid="_x0000_s1065" o:allowincell="t" o:allowoverlap="t" filled="t" fillcolor="#ffffff" stroked="t" strokecolor="#000000" strokeweight="0.75pt" o:spt="2" arcsize="10923f">
                <v:fill/>
                <v:stroke filltype="solid"/>
                <v:textbox style="layout-flow:horizontal;" inset="0.8999999999999998mm,0.14999999999999997mm,0.49999999999999989mm,0.14999999999999997mm">
                  <w:txbxContent>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南風原町地域防災計画</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299" behindDoc="0" locked="0" layoutInCell="1" hidden="0" allowOverlap="1">
                <wp:simplePos x="0" y="0"/>
                <wp:positionH relativeFrom="column">
                  <wp:posOffset>3299460</wp:posOffset>
                </wp:positionH>
                <wp:positionV relativeFrom="paragraph">
                  <wp:posOffset>90170</wp:posOffset>
                </wp:positionV>
                <wp:extent cx="1879600" cy="1104900"/>
                <wp:effectExtent l="0" t="0" r="635" b="635"/>
                <wp:wrapNone/>
                <wp:docPr id="1066" name="テキスト ボックス 110"/>
                <a:graphic xmlns:a="http://schemas.openxmlformats.org/drawingml/2006/main">
                  <a:graphicData uri="http://schemas.microsoft.com/office/word/2010/wordprocessingShape">
                    <wps:wsp>
                      <wps:cNvPr id="1066" name="テキスト ボックス 110"/>
                      <wps:cNvSpPr txBox="1">
                        <a:spLocks noChangeArrowheads="1"/>
                      </wps:cNvSpPr>
                      <wps:spPr>
                        <a:xfrm>
                          <a:off x="0" y="0"/>
                          <a:ext cx="1879600" cy="1104900"/>
                        </a:xfrm>
                        <a:prstGeom prst="rect">
                          <a:avLst/>
                        </a:prstGeom>
                        <a:noFill/>
                        <a:ln>
                          <a:noFill/>
                        </a:ln>
                        <a:effectLst/>
                      </wps:spPr>
                      <wps:txbx>
                        <w:txbxContent>
                          <w:p>
                            <w:pPr>
                              <w:pStyle w:val="0"/>
                              <w:spacing w:line="280" w:lineRule="exact"/>
                              <w:rPr>
                                <w:rFonts w:hint="default"/>
                                <w:sz w:val="18"/>
                              </w:rPr>
                            </w:pPr>
                            <w:r>
                              <w:rPr>
                                <w:rFonts w:hint="eastAsia" w:ascii="ＭＳ ゴシック" w:hAnsi="ＭＳ ゴシック" w:eastAsia="ＭＳ ゴシック"/>
                                <w:sz w:val="18"/>
                              </w:rPr>
                              <w:t>障害</w:t>
                            </w:r>
                            <w:r>
                              <w:rPr>
                                <w:rFonts w:hint="eastAsia" w:ascii="ＭＳ ゴシック" w:hAnsi="ＭＳ ゴシック" w:eastAsia="ＭＳ ゴシック"/>
                                <w:color w:val="000000" w:themeColor="text1"/>
                                <w:sz w:val="18"/>
                              </w:rPr>
                              <w:t>者</w:t>
                            </w:r>
                            <w:r>
                              <w:rPr>
                                <w:rFonts w:hint="default" w:ascii="ＭＳ ゴシック" w:hAnsi="ＭＳ ゴシック" w:eastAsia="ＭＳ ゴシック"/>
                                <w:color w:val="000000" w:themeColor="text1"/>
                                <w:sz w:val="18"/>
                              </w:rPr>
                              <w:t>総合</w:t>
                            </w:r>
                            <w:r>
                              <w:rPr>
                                <w:rFonts w:hint="eastAsia" w:ascii="ＭＳ ゴシック" w:hAnsi="ＭＳ ゴシック" w:eastAsia="ＭＳ ゴシック"/>
                                <w:color w:val="000000" w:themeColor="text1"/>
                                <w:sz w:val="18"/>
                              </w:rPr>
                              <w:t>支援</w:t>
                            </w:r>
                            <w:r>
                              <w:rPr>
                                <w:rFonts w:hint="eastAsia" w:ascii="ＭＳ ゴシック" w:hAnsi="ＭＳ ゴシック" w:eastAsia="ＭＳ ゴシック"/>
                                <w:sz w:val="18"/>
                              </w:rPr>
                              <w:t>法を根拠に、自立支援給付に係る障害福祉サービス等の量の見込みやサービス確保のための方策、地域生活支援事業の実施体制などについて示した計画</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10" style="mso-wrap-distance-right:9pt;mso-wrap-distance-bottom:0pt;margin-top:7.1pt;mso-position-vertical-relative:text;mso-position-horizontal-relative:text;v-text-anchor:top;position:absolute;height:87pt;mso-wrap-distance-top:0pt;width:148pt;mso-wrap-distance-left:9pt;margin-left:259.8pt;z-index:299;" o:spid="_x0000_s1066" o:allowincell="t" o:allowoverlap="t" filled="f" stroked="f" o:spt="202" type="#_x0000_t202">
                <v:fill/>
                <v:textbox style="layout-flow:horizontal;" inset="2.0637499999999998mm,0.24694444444444438mm,2.0637499999999998mm,0.24694444444444438mm">
                  <w:txbxContent>
                    <w:p>
                      <w:pPr>
                        <w:pStyle w:val="0"/>
                        <w:spacing w:line="280" w:lineRule="exact"/>
                        <w:rPr>
                          <w:rFonts w:hint="default"/>
                          <w:sz w:val="18"/>
                        </w:rPr>
                      </w:pPr>
                      <w:r>
                        <w:rPr>
                          <w:rFonts w:hint="eastAsia" w:ascii="ＭＳ ゴシック" w:hAnsi="ＭＳ ゴシック" w:eastAsia="ＭＳ ゴシック"/>
                          <w:sz w:val="18"/>
                        </w:rPr>
                        <w:t>障害</w:t>
                      </w:r>
                      <w:r>
                        <w:rPr>
                          <w:rFonts w:hint="eastAsia" w:ascii="ＭＳ ゴシック" w:hAnsi="ＭＳ ゴシック" w:eastAsia="ＭＳ ゴシック"/>
                          <w:color w:val="000000" w:themeColor="text1"/>
                          <w:sz w:val="18"/>
                        </w:rPr>
                        <w:t>者</w:t>
                      </w:r>
                      <w:r>
                        <w:rPr>
                          <w:rFonts w:hint="default" w:ascii="ＭＳ ゴシック" w:hAnsi="ＭＳ ゴシック" w:eastAsia="ＭＳ ゴシック"/>
                          <w:color w:val="000000" w:themeColor="text1"/>
                          <w:sz w:val="18"/>
                        </w:rPr>
                        <w:t>総合</w:t>
                      </w:r>
                      <w:r>
                        <w:rPr>
                          <w:rFonts w:hint="eastAsia" w:ascii="ＭＳ ゴシック" w:hAnsi="ＭＳ ゴシック" w:eastAsia="ＭＳ ゴシック"/>
                          <w:color w:val="000000" w:themeColor="text1"/>
                          <w:sz w:val="18"/>
                        </w:rPr>
                        <w:t>支援</w:t>
                      </w:r>
                      <w:r>
                        <w:rPr>
                          <w:rFonts w:hint="eastAsia" w:ascii="ＭＳ ゴシック" w:hAnsi="ＭＳ ゴシック" w:eastAsia="ＭＳ ゴシック"/>
                          <w:sz w:val="18"/>
                        </w:rPr>
                        <w:t>法を根拠に、自立支援給付に係る障害福祉サービス等の量の見込みやサービス確保のための方策、地域生活支援事業の実施体制などについて示した計画</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300" behindDoc="0" locked="0" layoutInCell="1" hidden="0" allowOverlap="1">
                <wp:simplePos x="0" y="0"/>
                <wp:positionH relativeFrom="column">
                  <wp:posOffset>3284855</wp:posOffset>
                </wp:positionH>
                <wp:positionV relativeFrom="paragraph">
                  <wp:posOffset>82550</wp:posOffset>
                </wp:positionV>
                <wp:extent cx="1931035" cy="0"/>
                <wp:effectExtent l="0" t="635" r="29210" b="10795"/>
                <wp:wrapNone/>
                <wp:docPr id="1067" name="直線コネクタ 111"/>
                <a:graphic xmlns:a="http://schemas.openxmlformats.org/drawingml/2006/main">
                  <a:graphicData uri="http://schemas.microsoft.com/office/word/2010/wordprocessingShape">
                    <wps:wsp>
                      <wps:cNvPr id="1067" name="直線コネクタ 111"/>
                      <wps:cNvSpPr/>
                      <wps:spPr>
                        <a:xfrm>
                          <a:off x="0" y="0"/>
                          <a:ext cx="1931035" cy="0"/>
                        </a:xfrm>
                        <a:prstGeom prst="line">
                          <a:avLst/>
                        </a:prstGeom>
                        <a:noFill/>
                        <a:ln w="9525">
                          <a:solidFill>
                            <a:srgbClr val="000000"/>
                          </a:solidFill>
                          <a:round/>
                          <a:headEnd/>
                          <a:tailEnd/>
                        </a:ln>
                      </wps:spPr>
                      <wps:bodyPr/>
                    </wps:wsp>
                  </a:graphicData>
                </a:graphic>
              </wp:anchor>
            </w:drawing>
          </mc:Choice>
          <mc:Fallback>
            <w:pict>
              <v:line id="直線コネクタ 111" style="mso-wrap-distance-top:0pt;mso-wrap-distance-right:9pt;mso-wrap-distance-bottom:0pt;mso-position-vertical-relative:text;mso-position-horizontal-relative:text;position:absolute;mso-wrap-distance-left:9pt;z-index:300;" o:spid="_x0000_s1067" o:allowincell="t" o:allowoverlap="t" filled="f" stroked="t" strokecolor="#000000" strokeweight="0.75pt" o:spt="20" from="258.65000000000003pt,6.5pt" to="410.70000000000005pt,6.5pt">
                <v:fill/>
                <v:stroke filltype="solid"/>
                <v:textbox style="layout-flow:horizontal;"/>
                <v:imagedata o:title=""/>
                <w10:wrap type="none" anchorx="text" anchory="text"/>
              </v:line>
            </w:pict>
          </mc:Fallback>
        </mc:AlternateContent>
      </w:r>
    </w:p>
    <w:p>
      <w:pPr>
        <w:pStyle w:val="19"/>
        <w:rPr>
          <w:rFonts w:hint="default"/>
        </w:rPr>
      </w:pPr>
      <w:r>
        <w:rPr>
          <w:rFonts w:hint="default"/>
        </w:rPr>
        <mc:AlternateContent>
          <mc:Choice Requires="wps">
            <w:drawing>
              <wp:anchor distT="0" distB="0" distL="114300" distR="114300" simplePos="0" relativeHeight="301" behindDoc="0" locked="0" layoutInCell="1" hidden="0" allowOverlap="1">
                <wp:simplePos x="0" y="0"/>
                <wp:positionH relativeFrom="column">
                  <wp:posOffset>5223510</wp:posOffset>
                </wp:positionH>
                <wp:positionV relativeFrom="paragraph">
                  <wp:posOffset>53975</wp:posOffset>
                </wp:positionV>
                <wp:extent cx="261620" cy="369570"/>
                <wp:effectExtent l="635" t="1270" r="29845" b="11430"/>
                <wp:wrapNone/>
                <wp:docPr id="1068" name="左矢印 112"/>
                <a:graphic xmlns:a="http://schemas.openxmlformats.org/drawingml/2006/main">
                  <a:graphicData uri="http://schemas.microsoft.com/office/word/2010/wordprocessingShape">
                    <wps:wsp>
                      <wps:cNvPr id="1068" name="左矢印 112"/>
                      <wps:cNvSpPr>
                        <a:spLocks noChangeArrowheads="1"/>
                      </wps:cNvSpPr>
                      <wps:spPr>
                        <a:xfrm>
                          <a:off x="0" y="0"/>
                          <a:ext cx="261620" cy="369570"/>
                        </a:xfrm>
                        <a:prstGeom prst="leftArrow">
                          <a:avLst>
                            <a:gd name="adj1" fmla="val 44676"/>
                            <a:gd name="adj2" fmla="val 52454"/>
                          </a:avLst>
                        </a:prstGeom>
                        <a:solidFill>
                          <a:srgbClr val="808080"/>
                        </a:solidFill>
                        <a:ln w="9525" algn="ctr">
                          <a:solidFill>
                            <a:srgbClr val="000000"/>
                          </a:solidFill>
                          <a:miter lim="800000"/>
                          <a:headEnd/>
                          <a:tailEnd/>
                        </a:ln>
                        <a:effectLst/>
                      </wps:spPr>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2" style="mso-wrap-distance-right:9pt;mso-wrap-distance-bottom:0pt;margin-top:4.25pt;mso-position-vertical-relative:text;mso-position-horizontal-relative:text;position:absolute;height:29.1pt;mso-wrap-distance-top:0pt;width:20.6pt;mso-wrap-distance-left:9pt;margin-left:411.3pt;z-index:301;" o:spid="_x0000_s1068" o:allowincell="t" o:allowoverlap="t" filled="t" fillcolor="#808080" stroked="t" strokecolor="#000000" strokeweight="0.75pt" o:spt="66" type="#_x0000_t66" adj="11330,5975">
                <v:fill/>
                <v:stroke miterlimit="8" filltype="solid"/>
                <v:textbox style="layout-flow:horizontal;"/>
                <v:imagedata o:title=""/>
                <w10:wrap type="none" anchorx="text" anchory="text"/>
              </v:shape>
            </w:pict>
          </mc:Fallback>
        </mc:AlternateContent>
      </w:r>
    </w:p>
    <w:p>
      <w:pPr>
        <w:pStyle w:val="19"/>
        <w:rPr>
          <w:rFonts w:hint="default"/>
        </w:rPr>
      </w:pPr>
    </w:p>
    <w:p>
      <w:pPr>
        <w:pStyle w:val="19"/>
        <w:rPr>
          <w:rFonts w:hint="default"/>
        </w:rPr>
      </w:pPr>
    </w:p>
    <w:p>
      <w:pPr>
        <w:pStyle w:val="19"/>
        <w:rPr>
          <w:rFonts w:hint="default"/>
        </w:rPr>
      </w:pPr>
    </w:p>
    <w:p>
      <w:pPr>
        <w:pStyle w:val="19"/>
        <w:rPr>
          <w:rFonts w:hint="default"/>
        </w:rPr>
      </w:pPr>
      <w:r>
        <w:rPr>
          <w:rFonts w:hint="default"/>
        </w:rPr>
        <mc:AlternateContent>
          <mc:Choice Requires="wps">
            <w:drawing>
              <wp:anchor distT="0" distB="0" distL="114300" distR="114300" simplePos="0" relativeHeight="302" behindDoc="0" locked="0" layoutInCell="1" hidden="0" allowOverlap="1">
                <wp:simplePos x="0" y="0"/>
                <wp:positionH relativeFrom="column">
                  <wp:posOffset>1583055</wp:posOffset>
                </wp:positionH>
                <wp:positionV relativeFrom="paragraph">
                  <wp:posOffset>3175</wp:posOffset>
                </wp:positionV>
                <wp:extent cx="347980" cy="2293620"/>
                <wp:effectExtent l="635" t="635" r="29845" b="10795"/>
                <wp:wrapNone/>
                <wp:docPr id="1069" name="角丸四角形 109"/>
                <a:graphic xmlns:a="http://schemas.openxmlformats.org/drawingml/2006/main">
                  <a:graphicData uri="http://schemas.microsoft.com/office/word/2010/wordprocessingShape">
                    <wps:wsp>
                      <wps:cNvPr id="1069" name="角丸四角形 109"/>
                      <wps:cNvSpPr>
                        <a:spLocks noChangeArrowheads="1"/>
                      </wps:cNvSpPr>
                      <wps:spPr>
                        <a:xfrm rot="5400000">
                          <a:off x="0" y="0"/>
                          <a:ext cx="347980" cy="2293620"/>
                        </a:xfrm>
                        <a:prstGeom prst="roundRect">
                          <a:avLst>
                            <a:gd name="adj" fmla="val 16667"/>
                          </a:avLst>
                        </a:prstGeom>
                        <a:solidFill>
                          <a:srgbClr val="FFFFFF"/>
                        </a:solidFill>
                        <a:ln w="9525">
                          <a:solidFill>
                            <a:srgbClr val="000000"/>
                          </a:solidFill>
                          <a:round/>
                          <a:headEnd/>
                          <a:tailEnd/>
                        </a:ln>
                        <a:effectLst/>
                      </wps:spPr>
                      <wps:txbx>
                        <w:txbxContent>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その他</w:t>
                            </w:r>
                            <w:r>
                              <w:rPr>
                                <w:rFonts w:hint="default" w:ascii="ＭＳ ゴシック" w:hAnsi="ＭＳ ゴシック" w:eastAsia="ＭＳ ゴシック"/>
                                <w:sz w:val="20"/>
                              </w:rPr>
                              <w:t>関連する行政</w:t>
                            </w:r>
                            <w:r>
                              <w:rPr>
                                <w:rFonts w:hint="eastAsia" w:ascii="ＭＳ ゴシック" w:hAnsi="ＭＳ ゴシック" w:eastAsia="ＭＳ ゴシック"/>
                                <w:sz w:val="20"/>
                              </w:rPr>
                              <w:t>計画</w:t>
                            </w:r>
                          </w:p>
                        </w:txbxContent>
                      </wps:txbx>
                      <wps:bodyPr rot="0" vertOverflow="overflow" horzOverflow="overflow" wrap="square" lIns="32400" tIns="5400" rIns="18000" bIns="5400" anchor="ctr" anchorCtr="0" upright="1"/>
                    </wps:wsp>
                  </a:graphicData>
                </a:graphic>
              </wp:anchor>
            </w:drawing>
          </mc:Choice>
          <mc:Fallback>
            <w:pict>
              <v:roundrect id="角丸四角形 109" style="mso-wrap-distance-right:9pt;mso-wrap-distance-bottom:0pt;margin-top:0.25pt;mso-position-vertical-relative:text;mso-position-horizontal-relative:text;v-text-anchor:middle;position:absolute;height:180.6pt;mso-wrap-distance-top:0pt;width:27.4pt;mso-wrap-distance-left:9pt;margin-left:124.65pt;z-index:302;rotation:90;" o:spid="_x0000_s1069" o:allowincell="t" o:allowoverlap="t" filled="t" fillcolor="#ffffff" stroked="t" strokecolor="#000000" strokeweight="0.75pt" o:spt="2" arcsize="10923f">
                <v:fill/>
                <v:stroke filltype="solid"/>
                <v:textbox style="layout-flow:horizontal;" inset="0.8999999999999998mm,0.14999999999999997mm,0.49999999999999989mm,0.14999999999999997mm">
                  <w:txbxContent>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その他</w:t>
                      </w:r>
                      <w:r>
                        <w:rPr>
                          <w:rFonts w:hint="default" w:ascii="ＭＳ ゴシック" w:hAnsi="ＭＳ ゴシック" w:eastAsia="ＭＳ ゴシック"/>
                          <w:sz w:val="20"/>
                        </w:rPr>
                        <w:t>関連する行政</w:t>
                      </w:r>
                      <w:r>
                        <w:rPr>
                          <w:rFonts w:hint="eastAsia" w:ascii="ＭＳ ゴシック" w:hAnsi="ＭＳ ゴシック" w:eastAsia="ＭＳ ゴシック"/>
                          <w:sz w:val="20"/>
                        </w:rPr>
                        <w:t>計画</w:t>
                      </w:r>
                    </w:p>
                  </w:txbxContent>
                </v:textbox>
                <v:imagedata o:title=""/>
                <w10:wrap type="none" anchorx="text" anchory="text"/>
              </v:roundrect>
            </w:pict>
          </mc:Fallback>
        </mc:AlternateContent>
      </w:r>
      <w:r>
        <w:rPr>
          <w:rFonts w:hint="default"/>
        </w:rPr>
        <mc:AlternateContent>
          <mc:Choice Requires="wps">
            <w:drawing>
              <wp:anchor distT="0" distB="0" distL="114300" distR="114300" simplePos="0" relativeHeight="303" behindDoc="0" locked="0" layoutInCell="1" hidden="0" allowOverlap="1">
                <wp:simplePos x="0" y="0"/>
                <wp:positionH relativeFrom="column">
                  <wp:posOffset>3281680</wp:posOffset>
                </wp:positionH>
                <wp:positionV relativeFrom="paragraph">
                  <wp:posOffset>49530</wp:posOffset>
                </wp:positionV>
                <wp:extent cx="1931035" cy="0"/>
                <wp:effectExtent l="0" t="635" r="29210" b="10795"/>
                <wp:wrapNone/>
                <wp:docPr id="1070" name="直線コネクタ 159"/>
                <a:graphic xmlns:a="http://schemas.openxmlformats.org/drawingml/2006/main">
                  <a:graphicData uri="http://schemas.microsoft.com/office/word/2010/wordprocessingShape">
                    <wps:wsp>
                      <wps:cNvPr id="1070" name="直線コネクタ 159"/>
                      <wps:cNvSpPr/>
                      <wps:spPr>
                        <a:xfrm>
                          <a:off x="0" y="0"/>
                          <a:ext cx="1931035" cy="0"/>
                        </a:xfrm>
                        <a:prstGeom prst="line">
                          <a:avLst/>
                        </a:prstGeom>
                        <a:noFill/>
                        <a:ln w="9525">
                          <a:solidFill>
                            <a:srgbClr val="000000"/>
                          </a:solidFill>
                          <a:prstDash val="sysDot"/>
                          <a:round/>
                          <a:headEnd/>
                          <a:tailEnd/>
                        </a:ln>
                      </wps:spPr>
                      <wps:bodyPr/>
                    </wps:wsp>
                  </a:graphicData>
                </a:graphic>
              </wp:anchor>
            </w:drawing>
          </mc:Choice>
          <mc:Fallback>
            <w:pict>
              <v:line id="直線コネクタ 159" style="mso-wrap-distance-top:0pt;mso-wrap-distance-right:9pt;mso-wrap-distance-bottom:0pt;mso-position-vertical-relative:text;mso-position-horizontal-relative:text;position:absolute;mso-wrap-distance-left:9pt;z-index:303;" o:spid="_x0000_s1070" o:allowincell="t" o:allowoverlap="t" filled="f" stroked="t" strokecolor="#000000" strokeweight="0.75pt" o:spt="20" from="258.40000000000003pt,3.9000000000000004pt" to="410.45000000000005pt,3.9000000000000004pt">
                <v:fill/>
                <v:stroke dashstyle="shortdot" filltype="solid"/>
                <v:textbox style="layout-flow:horizontal;"/>
                <v:imagedata o:title=""/>
                <w10:wrap type="none" anchorx="text" anchory="text"/>
              </v:line>
            </w:pict>
          </mc:Fallback>
        </mc:AlternateContent>
      </w:r>
      <w:r>
        <w:rPr>
          <w:rFonts w:hint="default"/>
        </w:rPr>
        <mc:AlternateContent>
          <mc:Choice Requires="wps">
            <w:drawing>
              <wp:anchor distT="0" distB="0" distL="114300" distR="114300" simplePos="0" relativeHeight="304" behindDoc="0" locked="0" layoutInCell="1" hidden="0" allowOverlap="1">
                <wp:simplePos x="0" y="0"/>
                <wp:positionH relativeFrom="column">
                  <wp:posOffset>3254375</wp:posOffset>
                </wp:positionH>
                <wp:positionV relativeFrom="paragraph">
                  <wp:posOffset>73660</wp:posOffset>
                </wp:positionV>
                <wp:extent cx="1997075" cy="247650"/>
                <wp:effectExtent l="0" t="0" r="635" b="635"/>
                <wp:wrapNone/>
                <wp:docPr id="1071" name="テキスト ボックス 153"/>
                <a:graphic xmlns:a="http://schemas.openxmlformats.org/drawingml/2006/main">
                  <a:graphicData uri="http://schemas.microsoft.com/office/word/2010/wordprocessingShape">
                    <wps:wsp>
                      <wps:cNvPr id="1071" name="テキスト ボックス 153"/>
                      <wps:cNvSpPr txBox="1">
                        <a:spLocks noChangeArrowheads="1"/>
                      </wps:cNvSpPr>
                      <wps:spPr>
                        <a:xfrm>
                          <a:off x="0" y="0"/>
                          <a:ext cx="1997075" cy="247650"/>
                        </a:xfrm>
                        <a:prstGeom prst="rect">
                          <a:avLst/>
                        </a:prstGeom>
                        <a:noFill/>
                        <a:ln>
                          <a:noFill/>
                        </a:ln>
                        <a:effectLst/>
                      </wps:spPr>
                      <wps:txbx>
                        <w:txbxContent>
                          <w:p>
                            <w:pPr>
                              <w:pStyle w:val="0"/>
                              <w:jc w:val="center"/>
                              <w:rPr>
                                <w:rFonts w:hint="default" w:ascii="ＭＳ ゴシック" w:hAnsi="ＭＳ ゴシック" w:eastAsia="ＭＳ ゴシック"/>
                                <w:w w:val="90"/>
                                <w:sz w:val="21"/>
                              </w:rPr>
                            </w:pPr>
                            <w:r>
                              <w:rPr>
                                <w:rFonts w:hint="eastAsia" w:ascii="ＭＳ ゴシック" w:hAnsi="ＭＳ ゴシック" w:eastAsia="ＭＳ ゴシック"/>
                                <w:w w:val="90"/>
                                <w:sz w:val="21"/>
                              </w:rPr>
                              <w:t>南風原町第３期障がい児福祉計画</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53" style="mso-wrap-distance-right:9pt;mso-wrap-distance-bottom:0pt;margin-top:5.8pt;mso-position-vertical-relative:text;mso-position-horizontal-relative:text;v-text-anchor:top;position:absolute;height:19.5pt;mso-wrap-distance-top:0pt;width:157.25pt;mso-wrap-distance-left:9pt;margin-left:256.25pt;z-index:304;" o:spid="_x0000_s1071" o:allowincell="t" o:allowoverlap="t" filled="f" stroked="f" o:spt="202" type="#_x0000_t202">
                <v:fill/>
                <v:textbox style="layout-flow:horizontal;" inset="2.0637499999999998mm,0.24694444444444438mm,2.0637499999999998mm,0.24694444444444438mm">
                  <w:txbxContent>
                    <w:p>
                      <w:pPr>
                        <w:pStyle w:val="0"/>
                        <w:jc w:val="center"/>
                        <w:rPr>
                          <w:rFonts w:hint="default" w:ascii="ＭＳ ゴシック" w:hAnsi="ＭＳ ゴシック" w:eastAsia="ＭＳ ゴシック"/>
                          <w:w w:val="90"/>
                          <w:sz w:val="21"/>
                        </w:rPr>
                      </w:pPr>
                      <w:r>
                        <w:rPr>
                          <w:rFonts w:hint="eastAsia" w:ascii="ＭＳ ゴシック" w:hAnsi="ＭＳ ゴシック" w:eastAsia="ＭＳ ゴシック"/>
                          <w:w w:val="90"/>
                          <w:sz w:val="21"/>
                        </w:rPr>
                        <w:t>南風原町第３期障がい児福祉計画</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305" behindDoc="0" locked="0" layoutInCell="1" hidden="0" allowOverlap="1">
                <wp:simplePos x="0" y="0"/>
                <wp:positionH relativeFrom="column">
                  <wp:posOffset>3203575</wp:posOffset>
                </wp:positionH>
                <wp:positionV relativeFrom="paragraph">
                  <wp:posOffset>240030</wp:posOffset>
                </wp:positionV>
                <wp:extent cx="2078355" cy="258445"/>
                <wp:effectExtent l="0" t="0" r="635" b="635"/>
                <wp:wrapNone/>
                <wp:docPr id="1072" name="テキスト ボックス 154"/>
                <a:graphic xmlns:a="http://schemas.openxmlformats.org/drawingml/2006/main">
                  <a:graphicData uri="http://schemas.microsoft.com/office/word/2010/wordprocessingShape">
                    <wps:wsp>
                      <wps:cNvPr id="1072" name="テキスト ボックス 154"/>
                      <wps:cNvSpPr txBox="1"/>
                      <wps:spPr>
                        <a:xfrm>
                          <a:off x="0" y="0"/>
                          <a:ext cx="2078355"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（令和６</w:t>
                            </w:r>
                            <w:r>
                              <w:rPr>
                                <w:rFonts w:hint="default" w:ascii="ＭＳ ゴシック" w:hAnsi="ＭＳ ゴシック" w:eastAsia="ＭＳ ゴシック"/>
                                <w:color w:val="000000" w:themeColor="text1"/>
                                <w:sz w:val="20"/>
                              </w:rPr>
                              <w:t>年度～</w:t>
                            </w:r>
                            <w:r>
                              <w:rPr>
                                <w:rFonts w:hint="eastAsia" w:ascii="ＭＳ ゴシック" w:hAnsi="ＭＳ ゴシック" w:eastAsia="ＭＳ ゴシック"/>
                                <w:color w:val="000000" w:themeColor="text1"/>
                                <w:sz w:val="20"/>
                              </w:rPr>
                              <w:t>令和８</w:t>
                            </w:r>
                            <w:r>
                              <w:rPr>
                                <w:rFonts w:hint="default" w:ascii="ＭＳ ゴシック" w:hAnsi="ＭＳ ゴシック" w:eastAsia="ＭＳ ゴシック"/>
                                <w:color w:val="000000" w:themeColor="text1"/>
                                <w:sz w:val="20"/>
                              </w:rPr>
                              <w:t>年</w:t>
                            </w:r>
                            <w:r>
                              <w:rPr>
                                <w:rFonts w:hint="eastAsia" w:ascii="ＭＳ ゴシック" w:hAnsi="ＭＳ ゴシック" w:eastAsia="ＭＳ ゴシック"/>
                                <w:color w:val="000000" w:themeColor="text1"/>
                                <w:sz w:val="20"/>
                              </w:rPr>
                              <w:t>度）</w:t>
                            </w:r>
                          </w:p>
                        </w:txbxContent>
                      </wps:txbx>
                      <wps:bodyPr rot="0" vertOverflow="overflow" horzOverflow="overflow" wrap="square"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4" style="mso-wrap-distance-right:9pt;mso-wrap-distance-bottom:0pt;margin-top:18.89pt;mso-position-vertical-relative:text;mso-position-horizontal-relative:text;v-text-anchor:middle;position:absolute;height:20.350000000000001pt;mso-wrap-distance-top:0pt;width:163.65pt;mso-wrap-distance-left:9pt;margin-left:252.25pt;z-index:305;" o:spid="_x0000_s1072" o:allowincell="t" o:allowoverlap="t" filled="f" stroked="f" strokeweight="0.5pt" o:spt="202" type="#_x0000_t202">
                <v:fill/>
                <v:textbox style="layout-flow:horizontal;">
                  <w:txbxContent>
                    <w:p>
                      <w:pPr>
                        <w:pStyle w:val="0"/>
                        <w:spacing w:line="0" w:lineRule="atLeast"/>
                        <w:jc w:val="center"/>
                        <w:rPr>
                          <w:rFonts w:hint="default" w:ascii="ＭＳ ゴシック" w:hAnsi="ＭＳ ゴシック" w:eastAsia="ＭＳ ゴシック"/>
                          <w:color w:val="000000" w:themeColor="text1"/>
                          <w:sz w:val="20"/>
                        </w:rPr>
                      </w:pPr>
                      <w:r>
                        <w:rPr>
                          <w:rFonts w:hint="eastAsia" w:ascii="ＭＳ ゴシック" w:hAnsi="ＭＳ ゴシック" w:eastAsia="ＭＳ ゴシック"/>
                          <w:color w:val="000000" w:themeColor="text1"/>
                          <w:sz w:val="20"/>
                        </w:rPr>
                        <w:t>（令和６</w:t>
                      </w:r>
                      <w:r>
                        <w:rPr>
                          <w:rFonts w:hint="default" w:ascii="ＭＳ ゴシック" w:hAnsi="ＭＳ ゴシック" w:eastAsia="ＭＳ ゴシック"/>
                          <w:color w:val="000000" w:themeColor="text1"/>
                          <w:sz w:val="20"/>
                        </w:rPr>
                        <w:t>年度～</w:t>
                      </w:r>
                      <w:r>
                        <w:rPr>
                          <w:rFonts w:hint="eastAsia" w:ascii="ＭＳ ゴシック" w:hAnsi="ＭＳ ゴシック" w:eastAsia="ＭＳ ゴシック"/>
                          <w:color w:val="000000" w:themeColor="text1"/>
                          <w:sz w:val="20"/>
                        </w:rPr>
                        <w:t>令和８</w:t>
                      </w:r>
                      <w:r>
                        <w:rPr>
                          <w:rFonts w:hint="default" w:ascii="ＭＳ ゴシック" w:hAnsi="ＭＳ ゴシック" w:eastAsia="ＭＳ ゴシック"/>
                          <w:color w:val="000000" w:themeColor="text1"/>
                          <w:sz w:val="20"/>
                        </w:rPr>
                        <w:t>年</w:t>
                      </w:r>
                      <w:r>
                        <w:rPr>
                          <w:rFonts w:hint="eastAsia" w:ascii="ＭＳ ゴシック" w:hAnsi="ＭＳ ゴシック" w:eastAsia="ＭＳ ゴシック"/>
                          <w:color w:val="000000" w:themeColor="text1"/>
                          <w:sz w:val="20"/>
                        </w:rPr>
                        <w:t>度）</w:t>
                      </w:r>
                    </w:p>
                  </w:txbxContent>
                </v:textbox>
                <v:imagedata o:title=""/>
                <w10:wrap type="none" anchorx="text" anchory="text"/>
              </v:shape>
            </w:pict>
          </mc:Fallback>
        </mc:AlternateContent>
      </w:r>
    </w:p>
    <w:p>
      <w:pPr>
        <w:pStyle w:val="19"/>
        <w:rPr>
          <w:rFonts w:hint="default"/>
        </w:rPr>
      </w:pPr>
      <w:r>
        <w:rPr>
          <w:rFonts w:hint="default"/>
        </w:rPr>
        <mc:AlternateContent>
          <mc:Choice Requires="wps">
            <w:drawing>
              <wp:anchor distT="0" distB="0" distL="114300" distR="114300" simplePos="0" relativeHeight="306" behindDoc="0" locked="0" layoutInCell="1" hidden="0" allowOverlap="1">
                <wp:simplePos x="0" y="0"/>
                <wp:positionH relativeFrom="column">
                  <wp:posOffset>3299460</wp:posOffset>
                </wp:positionH>
                <wp:positionV relativeFrom="paragraph">
                  <wp:posOffset>224155</wp:posOffset>
                </wp:positionV>
                <wp:extent cx="1879600" cy="1104900"/>
                <wp:effectExtent l="0" t="0" r="635" b="635"/>
                <wp:wrapNone/>
                <wp:docPr id="1073" name="テキスト ボックス 152"/>
                <a:graphic xmlns:a="http://schemas.openxmlformats.org/drawingml/2006/main">
                  <a:graphicData uri="http://schemas.microsoft.com/office/word/2010/wordprocessingShape">
                    <wps:wsp>
                      <wps:cNvPr id="1073" name="テキスト ボックス 152"/>
                      <wps:cNvSpPr txBox="1">
                        <a:spLocks noChangeArrowheads="1"/>
                      </wps:cNvSpPr>
                      <wps:spPr>
                        <a:xfrm>
                          <a:off x="0" y="0"/>
                          <a:ext cx="1879600" cy="1104900"/>
                        </a:xfrm>
                        <a:prstGeom prst="rect">
                          <a:avLst/>
                        </a:prstGeom>
                        <a:noFill/>
                        <a:ln>
                          <a:noFill/>
                        </a:ln>
                        <a:effectLst/>
                      </wps:spPr>
                      <wps:txbx>
                        <w:txbxContent>
                          <w:p>
                            <w:pPr>
                              <w:pStyle w:val="0"/>
                              <w:spacing w:line="280" w:lineRule="exact"/>
                              <w:rPr>
                                <w:rFonts w:hint="default"/>
                                <w:sz w:val="18"/>
                              </w:rPr>
                            </w:pPr>
                            <w:r>
                              <w:rPr>
                                <w:rFonts w:hint="eastAsia" w:ascii="ＭＳ ゴシック" w:hAnsi="ＭＳ ゴシック" w:eastAsia="ＭＳ ゴシック"/>
                                <w:sz w:val="18"/>
                              </w:rPr>
                              <w:t>児童福祉法を根拠に、障がい児の健やかな育成に向けた、発達支援の充実を図るために、障害児通所支援や、子ども・子育て支援等の量の見込やサービス確保のための方策などを示した計画</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52" style="mso-wrap-distance-right:9pt;mso-wrap-distance-bottom:0pt;margin-top:17.64pt;mso-position-vertical-relative:text;mso-position-horizontal-relative:text;v-text-anchor:top;position:absolute;height:87pt;mso-wrap-distance-top:0pt;width:148pt;mso-wrap-distance-left:9pt;margin-left:259.8pt;z-index:306;" o:spid="_x0000_s1073" o:allowincell="t" o:allowoverlap="t" filled="f" stroked="f" o:spt="202" type="#_x0000_t202">
                <v:fill/>
                <v:textbox style="layout-flow:horizontal;" inset="2.0637499999999998mm,0.24694444444444438mm,2.0637499999999998mm,0.24694444444444438mm">
                  <w:txbxContent>
                    <w:p>
                      <w:pPr>
                        <w:pStyle w:val="0"/>
                        <w:spacing w:line="280" w:lineRule="exact"/>
                        <w:rPr>
                          <w:rFonts w:hint="default"/>
                          <w:sz w:val="18"/>
                        </w:rPr>
                      </w:pPr>
                      <w:r>
                        <w:rPr>
                          <w:rFonts w:hint="eastAsia" w:ascii="ＭＳ ゴシック" w:hAnsi="ＭＳ ゴシック" w:eastAsia="ＭＳ ゴシック"/>
                          <w:sz w:val="18"/>
                        </w:rPr>
                        <w:t>児童福祉法を根拠に、障がい児の健やかな育成に向けた、発達支援の充実を図るために、障害児通所支援や、子ども・子育て支援等の量の見込やサービス確保のための方策などを示した計画</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307" behindDoc="0" locked="0" layoutInCell="1" hidden="0" allowOverlap="1">
                <wp:simplePos x="0" y="0"/>
                <wp:positionH relativeFrom="column">
                  <wp:posOffset>3285490</wp:posOffset>
                </wp:positionH>
                <wp:positionV relativeFrom="paragraph">
                  <wp:posOffset>215265</wp:posOffset>
                </wp:positionV>
                <wp:extent cx="1931035" cy="0"/>
                <wp:effectExtent l="0" t="635" r="29210" b="10795"/>
                <wp:wrapNone/>
                <wp:docPr id="1074" name="直線コネクタ 155"/>
                <a:graphic xmlns:a="http://schemas.openxmlformats.org/drawingml/2006/main">
                  <a:graphicData uri="http://schemas.microsoft.com/office/word/2010/wordprocessingShape">
                    <wps:wsp>
                      <wps:cNvPr id="1074" name="直線コネクタ 155"/>
                      <wps:cNvSpPr/>
                      <wps:spPr>
                        <a:xfrm>
                          <a:off x="0" y="0"/>
                          <a:ext cx="1931035" cy="0"/>
                        </a:xfrm>
                        <a:prstGeom prst="line">
                          <a:avLst/>
                        </a:prstGeom>
                        <a:noFill/>
                        <a:ln w="9525">
                          <a:solidFill>
                            <a:srgbClr val="000000"/>
                          </a:solidFill>
                          <a:round/>
                          <a:headEnd/>
                          <a:tailEnd/>
                        </a:ln>
                      </wps:spPr>
                      <wps:bodyPr/>
                    </wps:wsp>
                  </a:graphicData>
                </a:graphic>
              </wp:anchor>
            </w:drawing>
          </mc:Choice>
          <mc:Fallback>
            <w:pict>
              <v:line id="直線コネクタ 155" style="mso-wrap-distance-top:0pt;mso-wrap-distance-right:9pt;mso-wrap-distance-bottom:0pt;mso-position-vertical-relative:text;mso-position-horizontal-relative:text;position:absolute;mso-wrap-distance-left:9pt;z-index:307;" o:spid="_x0000_s1074" o:allowincell="t" o:allowoverlap="t" filled="f" stroked="t" strokecolor="#000000" strokeweight="0.75pt" o:spt="20" from="258.7pt,16.95pt" to="410.75pt,16.95pt">
                <v:fill/>
                <v:stroke filltype="solid"/>
                <v:textbox style="layout-flow:horizontal;"/>
                <v:imagedata o:title=""/>
                <w10:wrap type="none" anchorx="text" anchory="text"/>
              </v:line>
            </w:pict>
          </mc:Fallback>
        </mc:AlternateContent>
      </w:r>
    </w:p>
    <w:p>
      <w:pPr>
        <w:pStyle w:val="19"/>
        <w:rPr>
          <w:rFonts w:hint="default"/>
        </w:rPr>
      </w:pPr>
      <w:r>
        <w:rPr>
          <w:rFonts w:hint="default"/>
        </w:rPr>
        <mc:AlternateContent>
          <mc:Choice Requires="wps">
            <w:drawing>
              <wp:anchor distT="0" distB="0" distL="114300" distR="114300" simplePos="0" relativeHeight="308" behindDoc="0" locked="0" layoutInCell="1" hidden="0" allowOverlap="1">
                <wp:simplePos x="0" y="0"/>
                <wp:positionH relativeFrom="column">
                  <wp:posOffset>5225415</wp:posOffset>
                </wp:positionH>
                <wp:positionV relativeFrom="paragraph">
                  <wp:posOffset>234950</wp:posOffset>
                </wp:positionV>
                <wp:extent cx="257175" cy="369570"/>
                <wp:effectExtent l="635" t="1270" r="29845" b="11430"/>
                <wp:wrapNone/>
                <wp:docPr id="1075" name="左矢印 158"/>
                <a:graphic xmlns:a="http://schemas.openxmlformats.org/drawingml/2006/main">
                  <a:graphicData uri="http://schemas.microsoft.com/office/word/2010/wordprocessingShape">
                    <wps:wsp>
                      <wps:cNvPr id="1075" name="左矢印 158"/>
                      <wps:cNvSpPr>
                        <a:spLocks noChangeArrowheads="1"/>
                      </wps:cNvSpPr>
                      <wps:spPr>
                        <a:xfrm>
                          <a:off x="0" y="0"/>
                          <a:ext cx="257175" cy="369570"/>
                        </a:xfrm>
                        <a:prstGeom prst="leftArrow">
                          <a:avLst>
                            <a:gd name="adj1" fmla="val 44676"/>
                            <a:gd name="adj2" fmla="val 52454"/>
                          </a:avLst>
                        </a:prstGeom>
                        <a:solidFill>
                          <a:srgbClr val="808080"/>
                        </a:solidFill>
                        <a:ln w="9525" algn="ctr">
                          <a:solidFill>
                            <a:srgbClr val="000000"/>
                          </a:solidFill>
                          <a:miter lim="800000"/>
                          <a:headEnd/>
                          <a:tailEnd/>
                        </a:ln>
                        <a:effectLst/>
                      </wps:spPr>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58" style="mso-wrap-distance-right:9pt;mso-wrap-distance-bottom:0pt;margin-top:18.5pt;mso-position-vertical-relative:text;mso-position-horizontal-relative:text;position:absolute;height:29.1pt;mso-wrap-distance-top:0pt;width:20.25pt;mso-wrap-distance-left:9pt;margin-left:411.45pt;z-index:308;" o:spid="_x0000_s1075" o:allowincell="t" o:allowoverlap="t" filled="t" fillcolor="#808080" stroked="t" strokecolor="#000000" strokeweight="0.75pt" o:spt="66" type="#_x0000_t66" adj="11330,5975">
                <v:fill/>
                <v:stroke miterlimit="8"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309" behindDoc="0" locked="0" layoutInCell="1" hidden="0" allowOverlap="1">
                <wp:simplePos x="0" y="0"/>
                <wp:positionH relativeFrom="column">
                  <wp:posOffset>1677035</wp:posOffset>
                </wp:positionH>
                <wp:positionV relativeFrom="paragraph">
                  <wp:posOffset>189865</wp:posOffset>
                </wp:positionV>
                <wp:extent cx="212725" cy="247650"/>
                <wp:effectExtent l="1270" t="635" r="30480" b="10795"/>
                <wp:wrapNone/>
                <wp:docPr id="1076" name="左右矢印 115"/>
                <a:graphic xmlns:a="http://schemas.openxmlformats.org/drawingml/2006/main">
                  <a:graphicData uri="http://schemas.microsoft.com/office/word/2010/wordprocessingShape">
                    <wps:wsp>
                      <wps:cNvPr id="1076" name="左右矢印 115"/>
                      <wps:cNvSpPr>
                        <a:spLocks noChangeArrowheads="1"/>
                      </wps:cNvSpPr>
                      <wps:spPr>
                        <a:xfrm rot="5400000">
                          <a:off x="0" y="0"/>
                          <a:ext cx="212725" cy="247650"/>
                        </a:xfrm>
                        <a:prstGeom prst="leftRightArrow">
                          <a:avLst>
                            <a:gd name="adj1" fmla="val 42056"/>
                            <a:gd name="adj2" fmla="val 32306"/>
                          </a:avLst>
                        </a:prstGeom>
                        <a:solidFill>
                          <a:srgbClr val="FFFFFF"/>
                        </a:solidFill>
                        <a:ln w="9525">
                          <a:solidFill>
                            <a:srgbClr val="000000"/>
                          </a:solidFill>
                          <a:miter lim="800000"/>
                          <a:headEnd/>
                          <a:tailEnd/>
                        </a:ln>
                      </wps:spPr>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15" style="mso-wrap-distance-right:9pt;mso-wrap-distance-bottom:0pt;margin-top:14.95pt;mso-position-vertical-relative:text;mso-position-horizontal-relative:text;position:absolute;height:19.5pt;mso-wrap-distance-top:0pt;width:16.75pt;mso-wrap-distance-left:9pt;margin-left:132.05000000000001pt;z-index:309;rotation:90;" o:spid="_x0000_s1076" o:allowincell="t" o:allowoverlap="t" filled="t" fillcolor="#ffffff" stroked="t" strokecolor="#000000" strokeweight="0.75pt" o:spt="69" type="#_x0000_t69" adj="6978,6258">
                <v:fill/>
                <v:stroke miterlimit="8" filltype="solid"/>
                <v:textbox style="layout-flow:horizontal;"/>
                <v:imagedata o:title=""/>
                <w10:wrap type="none" anchorx="text" anchory="text"/>
              </v:shape>
            </w:pict>
          </mc:Fallback>
        </mc:AlternateContent>
      </w:r>
      <w:r>
        <w:rPr>
          <w:rFonts w:hint="default"/>
        </w:rPr>
        <mc:AlternateContent>
          <mc:Choice Requires="wps">
            <w:drawing>
              <wp:anchor distT="0" distB="0" distL="114300" distR="114300" simplePos="0" relativeHeight="310" behindDoc="0" locked="0" layoutInCell="1" hidden="0" allowOverlap="1">
                <wp:simplePos x="0" y="0"/>
                <wp:positionH relativeFrom="column">
                  <wp:posOffset>5511165</wp:posOffset>
                </wp:positionH>
                <wp:positionV relativeFrom="paragraph">
                  <wp:posOffset>2540</wp:posOffset>
                </wp:positionV>
                <wp:extent cx="340995" cy="845185"/>
                <wp:effectExtent l="635" t="635" r="29845" b="10795"/>
                <wp:wrapNone/>
                <wp:docPr id="1077" name="角丸四角形 157"/>
                <a:graphic xmlns:a="http://schemas.openxmlformats.org/drawingml/2006/main">
                  <a:graphicData uri="http://schemas.microsoft.com/office/word/2010/wordprocessingShape">
                    <wps:wsp>
                      <wps:cNvPr id="1077" name="角丸四角形 157"/>
                      <wps:cNvSpPr>
                        <a:spLocks noChangeArrowheads="1"/>
                      </wps:cNvSpPr>
                      <wps:spPr>
                        <a:xfrm>
                          <a:off x="0" y="0"/>
                          <a:ext cx="340995" cy="845185"/>
                        </a:xfrm>
                        <a:prstGeom prst="roundRect">
                          <a:avLst>
                            <a:gd name="adj" fmla="val 0"/>
                          </a:avLst>
                        </a:prstGeom>
                        <a:solidFill>
                          <a:srgbClr val="FFFFFF"/>
                        </a:solidFill>
                        <a:ln w="9525">
                          <a:solidFill>
                            <a:srgbClr val="000000"/>
                          </a:solidFill>
                          <a:round/>
                          <a:headEnd/>
                          <a:tailEnd/>
                        </a:ln>
                      </wps:spPr>
                      <wps:txbx>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児童福祉法</w:t>
                            </w:r>
                          </w:p>
                        </w:txbxContent>
                      </wps:txbx>
                      <wps:bodyPr rot="0" vertOverflow="overflow" horzOverflow="overflow" vert="eaVert" wrap="square" lIns="41760" tIns="19800" rIns="41760" bIns="8890" anchor="t" anchorCtr="0" upright="1"/>
                    </wps:wsp>
                  </a:graphicData>
                </a:graphic>
              </wp:anchor>
            </w:drawing>
          </mc:Choice>
          <mc:Fallback>
            <w:pict>
              <v:roundrect id="角丸四角形 157" style="mso-wrap-distance-right:9pt;mso-wrap-distance-bottom:0pt;margin-top:0.2pt;mso-position-vertical-relative:text;mso-position-horizontal-relative:text;v-text-anchor:top;position:absolute;height:66.55pt;mso-wrap-distance-top:0pt;width:26.85pt;mso-wrap-distance-left:9pt;margin-left:433.95pt;z-index:310;" o:spid="_x0000_s1077" o:allowincell="t" o:allowoverlap="t" filled="t" fillcolor="#ffffff" stroked="t" strokecolor="#000000" strokeweight="0.75pt" o:spt="2" arcsize="0f">
                <v:fill/>
                <v:stroke filltype="solid"/>
                <v:textbox style="layout-flow:vertical-ideographic;" inset="1.1599999999999997mm,0.54999999999999993mm,1.1599999999999997mm,0.24694444444444438mm">
                  <w:txbxContent>
                    <w:p>
                      <w:pPr>
                        <w:pStyle w:val="0"/>
                        <w:jc w:val="center"/>
                        <w:rPr>
                          <w:rFonts w:hint="default" w:ascii="ＭＳ ゴシック" w:hAnsi="ＭＳ ゴシック" w:eastAsia="ＭＳ ゴシック"/>
                          <w:sz w:val="20"/>
                        </w:rPr>
                      </w:pPr>
                      <w:r>
                        <w:rPr>
                          <w:rFonts w:hint="eastAsia" w:ascii="ＭＳ ゴシック" w:hAnsi="ＭＳ ゴシック" w:eastAsia="ＭＳ ゴシック"/>
                          <w:sz w:val="20"/>
                        </w:rPr>
                        <w:t>児童福祉法</w:t>
                      </w:r>
                    </w:p>
                  </w:txbxContent>
                </v:textbox>
                <v:imagedata o:title=""/>
                <w10:wrap type="none" anchorx="text" anchory="text"/>
              </v:roundrect>
            </w:pict>
          </mc:Fallback>
        </mc:AlternateContent>
      </w:r>
    </w:p>
    <w:p>
      <w:pPr>
        <w:pStyle w:val="19"/>
        <w:rPr>
          <w:rFonts w:hint="default"/>
        </w:rPr>
      </w:pPr>
    </w:p>
    <w:p>
      <w:pPr>
        <w:pStyle w:val="0"/>
        <w:widowControl w:val="1"/>
        <w:jc w:val="left"/>
        <w:rPr>
          <w:rFonts w:hint="default" w:asciiTheme="minorEastAsia" w:hAnsiTheme="minorEastAsia"/>
        </w:rPr>
      </w:pPr>
      <w:r>
        <w:rPr>
          <w:rFonts w:hint="default"/>
        </w:rPr>
        <mc:AlternateContent>
          <mc:Choice Requires="wps">
            <w:drawing>
              <wp:anchor distT="0" distB="0" distL="114300" distR="114300" simplePos="0" relativeHeight="311" behindDoc="0" locked="0" layoutInCell="1" hidden="0" allowOverlap="1">
                <wp:simplePos x="0" y="0"/>
                <wp:positionH relativeFrom="column">
                  <wp:posOffset>2963545</wp:posOffset>
                </wp:positionH>
                <wp:positionV relativeFrom="paragraph">
                  <wp:posOffset>35560</wp:posOffset>
                </wp:positionV>
                <wp:extent cx="228600" cy="247650"/>
                <wp:effectExtent l="635" t="1270" r="29845" b="11430"/>
                <wp:wrapNone/>
                <wp:docPr id="1078" name="左右矢印 116"/>
                <a:graphic xmlns:a="http://schemas.openxmlformats.org/drawingml/2006/main">
                  <a:graphicData uri="http://schemas.microsoft.com/office/word/2010/wordprocessingShape">
                    <wps:wsp>
                      <wps:cNvPr id="1078" name="左右矢印 116"/>
                      <wps:cNvSpPr>
                        <a:spLocks noChangeArrowheads="1"/>
                      </wps:cNvSpPr>
                      <wps:spPr>
                        <a:xfrm>
                          <a:off x="0" y="0"/>
                          <a:ext cx="228600" cy="247650"/>
                        </a:xfrm>
                        <a:prstGeom prst="leftRightArrow">
                          <a:avLst>
                            <a:gd name="adj1" fmla="val 49741"/>
                            <a:gd name="adj2" fmla="val 36000"/>
                          </a:avLst>
                        </a:prstGeom>
                        <a:solidFill>
                          <a:srgbClr val="FFFFFF"/>
                        </a:solidFill>
                        <a:ln w="9525">
                          <a:solidFill>
                            <a:srgbClr val="000000"/>
                          </a:solidFill>
                          <a:miter lim="800000"/>
                          <a:headEnd/>
                          <a:tailEnd/>
                        </a:ln>
                      </wps:spPr>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16" style="mso-wrap-distance-right:9pt;mso-wrap-distance-bottom:0pt;margin-top:2.8pt;mso-position-vertical-relative:text;mso-position-horizontal-relative:text;position:absolute;height:19.5pt;mso-wrap-distance-top:0pt;width:18pt;mso-wrap-distance-left:9pt;margin-left:233.35pt;z-index:311;" o:spid="_x0000_s1078" o:allowincell="t" o:allowoverlap="t" filled="t" fillcolor="#ffffff" stroked="t" strokecolor="#000000" strokeweight="0.75pt" o:spt="69" type="#_x0000_t69" adj="7776,5428">
                <v:fill/>
                <v:stroke miterlimit="8" filltype="solid"/>
                <v:textbox style="layout-flow:horizontal;"/>
                <v:imagedata o:title=""/>
                <w10:wrap type="none" anchorx="text" anchory="text"/>
              </v:shape>
            </w:pict>
          </mc:Fallback>
        </mc:AlternateContent>
      </w:r>
      <w:r>
        <w:rPr>
          <w:rFonts w:hint="default" w:asciiTheme="minorEastAsia" w:hAnsiTheme="minorEastAsia"/>
        </w:rPr>
        <w:br w:type="page"/>
      </w:r>
    </w:p>
    <w:p>
      <w:pPr>
        <w:pStyle w:val="0"/>
        <w:rPr>
          <w:rFonts w:hint="default" w:asciiTheme="majorEastAsia" w:hAnsiTheme="majorEastAsia" w:eastAsiaTheme="majorEastAsia"/>
          <w:sz w:val="24"/>
        </w:rPr>
      </w:pPr>
      <w:r>
        <w:rPr>
          <w:rFonts w:hint="eastAsia" w:asciiTheme="majorEastAsia" w:hAnsiTheme="majorEastAsia" w:eastAsiaTheme="majorEastAsia"/>
          <w:sz w:val="24"/>
        </w:rPr>
        <w:t>【参考：国の第５次障害者基本計画　各論の主な内容】</w:t>
      </w:r>
    </w:p>
    <w:p>
      <w:pPr>
        <w:pStyle w:val="0"/>
        <w:widowControl w:val="1"/>
        <w:spacing w:line="0" w:lineRule="atLeast"/>
        <w:ind w:left="420" w:firstLine="100"/>
        <w:jc w:val="left"/>
        <w:rPr>
          <w:rFonts w:hint="default"/>
          <w:sz w:val="10"/>
        </w:rPr>
      </w:pPr>
    </w:p>
    <w:p>
      <w:pPr>
        <w:pStyle w:val="0"/>
        <w:widowControl w:val="1"/>
        <w:spacing w:line="0" w:lineRule="atLeast"/>
        <w:ind w:left="420" w:firstLine="210"/>
        <w:jc w:val="left"/>
        <w:rPr>
          <w:rFonts w:hint="default"/>
        </w:rPr>
      </w:pPr>
      <w:r>
        <w:rPr>
          <w:rFonts w:hint="eastAsia"/>
        </w:rPr>
        <mc:AlternateContent>
          <mc:Choice Requires="wps">
            <w:drawing>
              <wp:anchor distT="0" distB="0" distL="114300" distR="114300" simplePos="0" relativeHeight="261" behindDoc="0" locked="0" layoutInCell="1" hidden="0" allowOverlap="1">
                <wp:simplePos x="0" y="0"/>
                <wp:positionH relativeFrom="column">
                  <wp:posOffset>152400</wp:posOffset>
                </wp:positionH>
                <wp:positionV relativeFrom="paragraph">
                  <wp:posOffset>42545</wp:posOffset>
                </wp:positionV>
                <wp:extent cx="1331595" cy="215900"/>
                <wp:effectExtent l="635" t="635" r="29845" b="10795"/>
                <wp:wrapNone/>
                <wp:docPr id="1079" name="四角形: 角を丸くする 1"/>
                <a:graphic xmlns:a="http://schemas.openxmlformats.org/drawingml/2006/main">
                  <a:graphicData uri="http://schemas.microsoft.com/office/word/2010/wordprocessingShape">
                    <wps:wsp>
                      <wps:cNvPr id="1079" name="四角形: 角を丸くする 1"/>
                      <wps:cNvSpPr/>
                      <wps:spPr>
                        <a:xfrm>
                          <a:off x="0" y="0"/>
                          <a:ext cx="1331595" cy="215900"/>
                        </a:xfrm>
                        <a:prstGeom prst="roundRect">
                          <a:avLst>
                            <a:gd name="adj" fmla="val 50000"/>
                          </a:avLst>
                        </a:prstGeom>
                        <a:solidFill>
                          <a:schemeClr val="bg1">
                            <a:lumMod val="8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color w:val="000000" w:themeColor="text1"/>
                                <w:sz w:val="20"/>
                              </w:rPr>
                              <w:t>各論の主な内容</w:t>
                            </w:r>
                          </w:p>
                          <w:p>
                            <w:pPr>
                              <w:pStyle w:val="0"/>
                              <w:rPr>
                                <w:rFonts w:hint="default" w:ascii="ＭＳ ゴシック" w:hAnsi="ＭＳ ゴシック" w:eastAsia="ＭＳ ゴシック"/>
                                <w:sz w:val="20"/>
                              </w:rPr>
                            </w:pP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1" style="mso-wrap-distance-right:9pt;mso-wrap-distance-bottom:0pt;margin-top:3.35pt;mso-position-vertical-relative:text;mso-position-horizontal-relative:text;v-text-anchor:middle;position:absolute;height:17pt;mso-wrap-distance-top:0pt;width:104.85pt;mso-wrap-distance-left:9pt;margin-left:12pt;z-index:261;" o:spid="_x0000_s1079" o:allowincell="t" o:allowoverlap="t" filled="t" fillcolor="#d9d9d9 [2732]" stroked="t" strokecolor="#000000 [3213]" strokeweight="1pt" o:spt="2" arcsize="32768f">
                <v:fill/>
                <v:stroke linestyle="single" miterlimit="8" endcap="flat" dashstyle="solid" filltype="solid"/>
                <v:textbox style="layout-flow:horizontal;" inset="0mm,0mm,0mm,0mm">
                  <w:txbxContent>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color w:val="000000" w:themeColor="text1"/>
                          <w:sz w:val="20"/>
                        </w:rPr>
                        <w:t>各論の主な内容</w:t>
                      </w:r>
                    </w:p>
                    <w:p>
                      <w:pPr>
                        <w:pStyle w:val="0"/>
                        <w:rPr>
                          <w:rFonts w:hint="default" w:ascii="ＭＳ ゴシック" w:hAnsi="ＭＳ ゴシック" w:eastAsia="ＭＳ ゴシック"/>
                          <w:sz w:val="20"/>
                        </w:rPr>
                      </w:pPr>
                    </w:p>
                  </w:txbxContent>
                </v:textbox>
                <v:imagedata o:title=""/>
                <w10:wrap type="none" anchorx="text" anchory="text"/>
              </v:roundrect>
            </w:pict>
          </mc:Fallback>
        </mc:AlternateContent>
      </w:r>
      <w:r>
        <w:rPr>
          <w:rFonts w:hint="eastAsia"/>
        </w:rPr>
        <mc:AlternateContent>
          <mc:Choice Requires="wps">
            <w:drawing>
              <wp:anchor distT="0" distB="0" distL="114300" distR="114300" simplePos="0" relativeHeight="260" behindDoc="0" locked="1" layoutInCell="1" hidden="0" allowOverlap="1">
                <wp:simplePos x="0" y="0"/>
                <wp:positionH relativeFrom="column">
                  <wp:posOffset>70485</wp:posOffset>
                </wp:positionH>
                <wp:positionV relativeFrom="paragraph">
                  <wp:posOffset>182245</wp:posOffset>
                </wp:positionV>
                <wp:extent cx="6057900" cy="8401050"/>
                <wp:effectExtent l="635" t="635" r="29845" b="10795"/>
                <wp:wrapNone/>
                <wp:docPr id="1080" name="四角形: 角を丸くする 2"/>
                <a:graphic xmlns:a="http://schemas.openxmlformats.org/drawingml/2006/main">
                  <a:graphicData uri="http://schemas.microsoft.com/office/word/2010/wordprocessingShape">
                    <wps:wsp>
                      <wps:cNvPr id="1080" name="四角形: 角を丸くする 2"/>
                      <wps:cNvSpPr/>
                      <wps:spPr>
                        <a:xfrm>
                          <a:off x="0" y="0"/>
                          <a:ext cx="6057900" cy="8401050"/>
                        </a:xfrm>
                        <a:prstGeom prst="roundRect">
                          <a:avLst>
                            <a:gd name="adj" fmla="val 987"/>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2" style="mso-wrap-distance-right:9pt;mso-wrap-distance-bottom:0pt;margin-top:14.35pt;mso-position-vertical-relative:text;mso-position-horizontal-relative:text;position:absolute;height:661.5pt;mso-wrap-distance-top:0pt;width:477pt;mso-wrap-distance-left:9pt;margin-left:5.55pt;z-index:260;" o:spid="_x0000_s1080" o:allowincell="t" o:allowoverlap="t" filled="f" stroked="t" strokecolor="#000000 [3213]" strokeweight="1pt" o:spt="2" arcsize="646f">
                <v:fill/>
                <v:stroke linestyle="single" miterlimit="8" endcap="flat" dashstyle="solid" filltype="solid"/>
                <v:textbox style="layout-flow:horizontal;"/>
                <v:imagedata o:title=""/>
                <w10:wrap type="none" anchorx="text" anchory="text"/>
                <w10:anchorlock/>
              </v:roundrect>
            </w:pict>
          </mc:Fallback>
        </mc:AlternateContent>
      </w:r>
    </w:p>
    <w:p>
      <w:pPr>
        <w:pStyle w:val="0"/>
        <w:widowControl w:val="1"/>
        <w:spacing w:line="0" w:lineRule="atLeast"/>
        <w:ind w:left="420" w:firstLine="160"/>
        <w:jc w:val="left"/>
        <w:rPr>
          <w:rFonts w:hint="default"/>
          <w:sz w:val="16"/>
        </w:rPr>
      </w:pPr>
    </w:p>
    <w:tbl>
      <w:tblPr>
        <w:tblStyle w:val="281"/>
        <w:tblW w:w="9214" w:type="dxa"/>
        <w:tblInd w:w="279" w:type="dxa"/>
        <w:tblLayout w:type="fixed"/>
        <w:tblLook w:firstRow="1" w:lastRow="0" w:firstColumn="1" w:lastColumn="0" w:noHBand="0" w:noVBand="1" w:val="04A0"/>
      </w:tblPr>
      <w:tblGrid>
        <w:gridCol w:w="9214"/>
      </w:tblGrid>
      <w:tr>
        <w:trPr/>
        <w:tc>
          <w:tcPr>
            <w:tcW w:w="9214" w:type="dxa"/>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１．差別の解消、権利擁護の推進及び虐待の防止</w:t>
            </w:r>
          </w:p>
        </w:tc>
      </w:tr>
      <w:tr>
        <w:trPr/>
        <w:tc>
          <w:tcPr>
            <w:tcW w:w="9214" w:type="dxa"/>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ascii="ＭＳ ゴシック" w:hAnsi="ＭＳ ゴシック" w:eastAsia="ＭＳ ゴシック"/>
                <w:sz w:val="18"/>
              </w:rPr>
              <w:t>○社会のあらゆる場面における障害者差別の解消</w:t>
            </w:r>
          </w:p>
        </w:tc>
      </w:tr>
      <w:tr>
        <w:trPr/>
        <w:tc>
          <w:tcPr>
            <w:tcW w:w="9214" w:type="dxa"/>
            <w:tcBorders>
              <w:top w:val="nil"/>
              <w:left w:val="none" w:color="auto" w:sz="0" w:space="0"/>
              <w:bottom w:val="none" w:color="auto" w:sz="0"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pacing w:val="-8"/>
                <w:w w:val="96"/>
                <w:sz w:val="18"/>
              </w:rPr>
            </w:pPr>
            <w:r>
              <w:rPr>
                <w:rFonts w:hint="eastAsia"/>
                <w:sz w:val="18"/>
              </w:rPr>
              <w:t>・</w:t>
            </w:r>
            <w:r>
              <w:rPr>
                <w:rFonts w:hint="eastAsia"/>
                <w:spacing w:val="-8"/>
                <w:w w:val="96"/>
                <w:sz w:val="18"/>
              </w:rPr>
              <w:t>家族に対する相談支援や障害福祉サービス事業所等における虐待防止委員会の設置等、虐待の早期発見や防止に向けた取組</w:t>
            </w:r>
          </w:p>
          <w:p>
            <w:pPr>
              <w:pStyle w:val="0"/>
              <w:widowControl w:val="1"/>
              <w:spacing w:line="0" w:lineRule="atLeast"/>
              <w:ind w:left="184" w:hanging="184" w:hangingChars="100"/>
              <w:rPr>
                <w:rFonts w:hint="default"/>
                <w:sz w:val="18"/>
              </w:rPr>
            </w:pPr>
            <w:r>
              <w:rPr>
                <w:rFonts w:hint="eastAsia"/>
                <w:sz w:val="18"/>
              </w:rPr>
              <w:t>・障害福祉サービスの提供に当たり、利用者の意思に反した異性介助が行われることがないよう、取組を推進</w:t>
            </w:r>
          </w:p>
          <w:p>
            <w:pPr>
              <w:pStyle w:val="0"/>
              <w:widowControl w:val="1"/>
              <w:spacing w:line="0" w:lineRule="atLeast"/>
              <w:ind w:left="184" w:hanging="184" w:hangingChars="100"/>
              <w:rPr>
                <w:rFonts w:hint="default" w:ascii="ＭＳ ゴシック" w:hAnsi="ＭＳ ゴシック" w:eastAsia="ＭＳ ゴシック"/>
                <w:sz w:val="18"/>
              </w:rPr>
            </w:pPr>
            <w:r>
              <w:rPr>
                <w:rFonts w:hint="eastAsia"/>
                <w:sz w:val="18"/>
              </w:rPr>
              <w:t>・改正障害者差別解消法の円滑な施行に向けた取組等の推進</w:t>
            </w:r>
          </w:p>
        </w:tc>
      </w:tr>
    </w:tbl>
    <w:p>
      <w:pPr>
        <w:pStyle w:val="0"/>
        <w:widowControl w:val="1"/>
        <w:spacing w:line="0" w:lineRule="atLeast"/>
        <w:ind w:left="420" w:firstLine="80"/>
        <w:jc w:val="left"/>
        <w:rPr>
          <w:rFonts w:hint="default"/>
          <w:sz w:val="8"/>
        </w:rPr>
      </w:pPr>
    </w:p>
    <w:tbl>
      <w:tblPr>
        <w:tblStyle w:val="281"/>
        <w:tblW w:w="9214" w:type="dxa"/>
        <w:tblInd w:w="279" w:type="dxa"/>
        <w:tblLayout w:type="fixed"/>
        <w:tblLook w:firstRow="1" w:lastRow="0" w:firstColumn="1" w:lastColumn="0" w:noHBand="0" w:noVBand="1" w:val="04A0"/>
      </w:tblPr>
      <w:tblGrid>
        <w:gridCol w:w="5623"/>
        <w:gridCol w:w="3591"/>
      </w:tblGrid>
      <w:tr>
        <w:trPr/>
        <w:tc>
          <w:tcPr>
            <w:tcW w:w="921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２．安全・安心な生活環境の整備</w:t>
            </w:r>
          </w:p>
        </w:tc>
      </w:tr>
      <w:tr>
        <w:trPr/>
        <w:tc>
          <w:tcPr>
            <w:tcW w:w="9214" w:type="dxa"/>
            <w:gridSpan w:val="2"/>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asciiTheme="majorEastAsia" w:hAnsiTheme="majorEastAsia" w:eastAsiaTheme="majorEastAsia"/>
                <w:sz w:val="18"/>
              </w:rPr>
            </w:pPr>
            <w:r>
              <w:rPr>
                <w:rFonts w:hint="eastAsia" w:ascii="ＭＳ ゴシック" w:hAnsi="ＭＳ ゴシック" w:eastAsia="ＭＳ ゴシック"/>
                <w:sz w:val="18"/>
              </w:rPr>
              <w:t>○移動しやすい環境の整備、まちづくりの総合的な推進</w:t>
            </w:r>
          </w:p>
        </w:tc>
      </w:tr>
      <w:tr>
        <w:trPr/>
        <w:tc>
          <w:tcPr>
            <w:tcW w:w="5623" w:type="dxa"/>
            <w:tcBorders>
              <w:top w:val="nil"/>
              <w:left w:val="none" w:color="auto" w:sz="0" w:space="0"/>
              <w:bottom w:val="none" w:color="auto" w:sz="0" w:space="0"/>
              <w:right w:val="nil"/>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sz w:val="18"/>
              </w:rPr>
              <w:t>・公共交通機関や多数の者が利用する建築物のバリアフリー化</w:t>
            </w:r>
          </w:p>
          <w:p>
            <w:pPr>
              <w:pStyle w:val="0"/>
              <w:widowControl w:val="1"/>
              <w:spacing w:line="0" w:lineRule="atLeast"/>
              <w:ind w:left="184" w:hanging="184" w:hangingChars="100"/>
              <w:rPr>
                <w:rFonts w:hint="default"/>
                <w:spacing w:val="-4"/>
                <w:sz w:val="18"/>
              </w:rPr>
            </w:pPr>
            <w:r>
              <w:rPr>
                <w:rFonts w:hint="eastAsia"/>
                <w:sz w:val="18"/>
              </w:rPr>
              <w:t>・</w:t>
            </w:r>
            <w:r>
              <w:rPr>
                <w:rFonts w:hint="eastAsia"/>
                <w:spacing w:val="-4"/>
                <w:sz w:val="18"/>
              </w:rPr>
              <w:t>接遇ガイドライン等の普及・啓発等の「心のバリアフリー」の推進</w:t>
            </w:r>
          </w:p>
          <w:p>
            <w:pPr>
              <w:pStyle w:val="0"/>
              <w:widowControl w:val="1"/>
              <w:spacing w:line="0" w:lineRule="atLeast"/>
              <w:ind w:left="184" w:hanging="184" w:hangingChars="100"/>
              <w:rPr>
                <w:rFonts w:hint="default"/>
                <w:sz w:val="18"/>
              </w:rPr>
            </w:pPr>
            <w:r>
              <w:rPr>
                <w:rFonts w:hint="eastAsia"/>
                <w:sz w:val="18"/>
              </w:rPr>
              <w:t>・</w:t>
            </w:r>
            <w:r>
              <w:rPr>
                <w:rFonts w:hint="eastAsia"/>
                <w:spacing w:val="-8"/>
                <w:w w:val="90"/>
                <w:sz w:val="18"/>
              </w:rPr>
              <w:t>歩道が設置されていない道路や踏切道の在り方について検討、信号機等の整備</w:t>
            </w:r>
          </w:p>
        </w:tc>
        <w:tc>
          <w:tcPr>
            <w:tcW w:w="3591" w:type="dxa"/>
            <w:tcBorders>
              <w:top w:val="nil"/>
              <w:left w:val="nil"/>
              <w:bottom w:val="none" w:color="auto" w:sz="0" w:space="0"/>
              <w:right w:val="none" w:color="auto" w:sz="0" w:space="0"/>
              <w:tl2br w:val="none" w:color="auto" w:sz="0" w:space="0"/>
              <w:tr2bl w:val="none" w:color="auto" w:sz="0" w:space="0"/>
            </w:tcBorders>
            <w:vAlign w:val="top"/>
          </w:tcPr>
          <w:p>
            <w:pPr>
              <w:pStyle w:val="0"/>
              <w:widowControl w:val="1"/>
              <w:spacing w:line="0" w:lineRule="atLeast"/>
              <w:ind w:left="184" w:hanging="184" w:hangingChars="100"/>
              <w:rPr>
                <w:rFonts w:hint="default"/>
                <w:sz w:val="18"/>
              </w:rPr>
            </w:pPr>
            <w:r>
              <w:rPr>
                <w:rFonts w:hint="eastAsia"/>
                <w:sz w:val="18"/>
              </w:rPr>
              <w:t>・国立公園等の主要な利用施設のバリアフリー化や情報提供等の推進</w:t>
            </w:r>
          </w:p>
        </w:tc>
      </w:tr>
    </w:tbl>
    <w:p>
      <w:pPr>
        <w:pStyle w:val="0"/>
        <w:widowControl w:val="1"/>
        <w:spacing w:line="0" w:lineRule="atLeast"/>
        <w:ind w:left="420" w:firstLine="80"/>
        <w:jc w:val="left"/>
        <w:rPr>
          <w:rFonts w:hint="default"/>
          <w:sz w:val="8"/>
        </w:rPr>
      </w:pPr>
    </w:p>
    <w:tbl>
      <w:tblPr>
        <w:tblStyle w:val="281"/>
        <w:tblW w:w="9214" w:type="dxa"/>
        <w:tblInd w:w="279" w:type="dxa"/>
        <w:tblLayout w:type="fixed"/>
        <w:tblLook w:firstRow="1" w:lastRow="0" w:firstColumn="1" w:lastColumn="0" w:noHBand="0" w:noVBand="1" w:val="04A0"/>
      </w:tblPr>
      <w:tblGrid>
        <w:gridCol w:w="5623"/>
        <w:gridCol w:w="3591"/>
      </w:tblGrid>
      <w:tr>
        <w:trPr/>
        <w:tc>
          <w:tcPr>
            <w:tcW w:w="921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３．情報アクセシビリティの向上及び意思疎通支援の充実</w:t>
            </w:r>
          </w:p>
        </w:tc>
      </w:tr>
      <w:tr>
        <w:trPr/>
        <w:tc>
          <w:tcPr>
            <w:tcW w:w="9214" w:type="dxa"/>
            <w:gridSpan w:val="2"/>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asciiTheme="majorEastAsia" w:hAnsiTheme="majorEastAsia" w:eastAsiaTheme="majorEastAsia"/>
                <w:sz w:val="18"/>
              </w:rPr>
            </w:pPr>
            <w:r>
              <w:rPr>
                <w:rFonts w:hint="eastAsia" w:ascii="ＭＳ ゴシック" w:hAnsi="ＭＳ ゴシック" w:eastAsia="ＭＳ ゴシック"/>
                <w:sz w:val="18"/>
              </w:rPr>
              <w:t>○障害者に配慮した情報通信・放送・出版の普及、意思疎通支援の人材育成やサービスの利用促進</w:t>
            </w:r>
          </w:p>
        </w:tc>
      </w:tr>
      <w:tr>
        <w:trPr/>
        <w:tc>
          <w:tcPr>
            <w:tcW w:w="5623" w:type="dxa"/>
            <w:tcBorders>
              <w:top w:val="nil"/>
              <w:left w:val="none" w:color="auto" w:sz="0" w:space="0"/>
              <w:bottom w:val="none" w:color="auto" w:sz="0" w:space="0"/>
              <w:right w:val="nil"/>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pacing w:val="-4"/>
                <w:w w:val="97"/>
                <w:sz w:val="18"/>
              </w:rPr>
            </w:pPr>
            <w:r>
              <w:rPr>
                <w:rFonts w:hint="eastAsia"/>
                <w:sz w:val="18"/>
              </w:rPr>
              <w:t>・</w:t>
            </w:r>
            <w:r>
              <w:rPr>
                <w:rFonts w:hint="eastAsia"/>
                <w:spacing w:val="-10"/>
                <w:w w:val="95"/>
                <w:sz w:val="18"/>
              </w:rPr>
              <w:t>情報アクセシビリティ・コミュニケーション施策推進法に基づく施策の充実</w:t>
            </w:r>
          </w:p>
          <w:p>
            <w:pPr>
              <w:pStyle w:val="0"/>
              <w:widowControl w:val="1"/>
              <w:spacing w:line="0" w:lineRule="atLeast"/>
              <w:ind w:left="184" w:hanging="184" w:hangingChars="100"/>
              <w:rPr>
                <w:rFonts w:hint="default"/>
                <w:sz w:val="18"/>
              </w:rPr>
            </w:pPr>
            <w:r>
              <w:rPr>
                <w:rFonts w:hint="eastAsia"/>
                <w:sz w:val="18"/>
              </w:rPr>
              <w:t>・公共インフラとしての電話リレーサービス提供の充実</w:t>
            </w:r>
          </w:p>
        </w:tc>
        <w:tc>
          <w:tcPr>
            <w:tcW w:w="3591" w:type="dxa"/>
            <w:tcBorders>
              <w:top w:val="nil"/>
              <w:left w:val="nil"/>
              <w:bottom w:val="none" w:color="auto" w:sz="0" w:space="0"/>
              <w:right w:val="none" w:color="auto" w:sz="0" w:space="0"/>
              <w:tl2br w:val="none" w:color="auto" w:sz="0" w:space="0"/>
              <w:tr2bl w:val="none" w:color="auto" w:sz="0" w:space="0"/>
            </w:tcBorders>
            <w:vAlign w:val="top"/>
          </w:tcPr>
          <w:p>
            <w:pPr>
              <w:pStyle w:val="0"/>
              <w:widowControl w:val="1"/>
              <w:spacing w:line="0" w:lineRule="atLeast"/>
              <w:ind w:left="184" w:hanging="184" w:hangingChars="100"/>
              <w:rPr>
                <w:rFonts w:hint="default"/>
                <w:sz w:val="18"/>
              </w:rPr>
            </w:pPr>
            <w:r>
              <w:rPr>
                <w:rFonts w:hint="eastAsia"/>
                <w:sz w:val="18"/>
              </w:rPr>
              <w:t>・</w:t>
            </w:r>
            <w:r>
              <w:rPr>
                <w:rFonts w:hint="eastAsia"/>
                <w:spacing w:val="-6"/>
                <w:sz w:val="18"/>
              </w:rPr>
              <w:t>手話通訳者や点訳者等の育成、確保、派遣</w:t>
            </w:r>
          </w:p>
        </w:tc>
      </w:tr>
    </w:tbl>
    <w:p>
      <w:pPr>
        <w:pStyle w:val="0"/>
        <w:widowControl w:val="1"/>
        <w:spacing w:line="0" w:lineRule="atLeast"/>
        <w:ind w:left="420" w:firstLine="80"/>
        <w:jc w:val="left"/>
        <w:rPr>
          <w:rFonts w:hint="default"/>
          <w:sz w:val="8"/>
        </w:rPr>
      </w:pPr>
    </w:p>
    <w:tbl>
      <w:tblPr>
        <w:tblStyle w:val="281"/>
        <w:tblW w:w="9214" w:type="dxa"/>
        <w:tblInd w:w="279" w:type="dxa"/>
        <w:tblLayout w:type="fixed"/>
        <w:tblLook w:firstRow="1" w:lastRow="0" w:firstColumn="1" w:lastColumn="0" w:noHBand="0" w:noVBand="1" w:val="04A0"/>
      </w:tblPr>
      <w:tblGrid>
        <w:gridCol w:w="5623"/>
        <w:gridCol w:w="3591"/>
      </w:tblGrid>
      <w:tr>
        <w:trPr/>
        <w:tc>
          <w:tcPr>
            <w:tcW w:w="921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４．防災、防犯等の推進</w:t>
            </w:r>
          </w:p>
        </w:tc>
      </w:tr>
      <w:tr>
        <w:trPr/>
        <w:tc>
          <w:tcPr>
            <w:tcW w:w="9214" w:type="dxa"/>
            <w:gridSpan w:val="2"/>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asciiTheme="majorEastAsia" w:hAnsiTheme="majorEastAsia" w:eastAsiaTheme="majorEastAsia"/>
                <w:sz w:val="18"/>
              </w:rPr>
            </w:pPr>
            <w:r>
              <w:rPr>
                <w:rFonts w:hint="eastAsia" w:ascii="ＭＳ ゴシック" w:hAnsi="ＭＳ ゴシック" w:eastAsia="ＭＳ ゴシック"/>
                <w:sz w:val="18"/>
              </w:rPr>
              <w:t>○災害発生時における障害特性に配慮した支援</w:t>
            </w:r>
          </w:p>
        </w:tc>
      </w:tr>
      <w:tr>
        <w:trPr/>
        <w:tc>
          <w:tcPr>
            <w:tcW w:w="5623" w:type="dxa"/>
            <w:tcBorders>
              <w:top w:val="nil"/>
              <w:left w:val="none" w:color="auto" w:sz="0" w:space="0"/>
              <w:bottom w:val="none" w:color="auto" w:sz="0" w:space="0"/>
              <w:right w:val="nil"/>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sz w:val="18"/>
              </w:rPr>
              <w:t>・福祉避難所、車いす利用者も使える仮設住宅の確保</w:t>
            </w:r>
          </w:p>
          <w:p>
            <w:pPr>
              <w:pStyle w:val="0"/>
              <w:widowControl w:val="1"/>
              <w:spacing w:line="0" w:lineRule="atLeast"/>
              <w:ind w:left="184" w:hanging="184" w:hangingChars="100"/>
              <w:rPr>
                <w:rFonts w:hint="default"/>
                <w:sz w:val="18"/>
              </w:rPr>
            </w:pPr>
            <w:r>
              <w:rPr>
                <w:rFonts w:hint="eastAsia"/>
                <w:sz w:val="18"/>
              </w:rPr>
              <w:t>・</w:t>
            </w:r>
            <w:r>
              <w:rPr>
                <w:rFonts w:hint="eastAsia"/>
                <w:spacing w:val="-6"/>
                <w:sz w:val="18"/>
              </w:rPr>
              <w:t>福祉・防災の関係者が連携した個別避難計画等の策定、実効性の確保</w:t>
            </w:r>
          </w:p>
        </w:tc>
        <w:tc>
          <w:tcPr>
            <w:tcW w:w="3591" w:type="dxa"/>
            <w:tcBorders>
              <w:top w:val="nil"/>
              <w:left w:val="nil"/>
              <w:bottom w:val="none" w:color="auto" w:sz="0" w:space="0"/>
              <w:right w:val="none" w:color="auto" w:sz="0" w:space="0"/>
              <w:tl2br w:val="none" w:color="auto" w:sz="0" w:space="0"/>
              <w:tr2bl w:val="none" w:color="auto" w:sz="0" w:space="0"/>
            </w:tcBorders>
            <w:vAlign w:val="top"/>
          </w:tcPr>
          <w:p>
            <w:pPr>
              <w:pStyle w:val="0"/>
              <w:widowControl w:val="1"/>
              <w:spacing w:line="0" w:lineRule="atLeast"/>
              <w:ind w:left="184" w:hanging="184" w:hangingChars="100"/>
              <w:rPr>
                <w:rFonts w:hint="default"/>
                <w:sz w:val="18"/>
              </w:rPr>
            </w:pPr>
            <w:r>
              <w:rPr>
                <w:rFonts w:hint="eastAsia"/>
                <w:sz w:val="18"/>
              </w:rPr>
              <w:t>・障害特性に配慮した事故や災害時の情報伝達体制の整備</w:t>
            </w:r>
          </w:p>
        </w:tc>
      </w:tr>
    </w:tbl>
    <w:p>
      <w:pPr>
        <w:pStyle w:val="0"/>
        <w:widowControl w:val="1"/>
        <w:spacing w:line="0" w:lineRule="atLeast"/>
        <w:ind w:left="420" w:firstLine="80"/>
        <w:jc w:val="left"/>
        <w:rPr>
          <w:rFonts w:hint="default"/>
          <w:sz w:val="8"/>
        </w:rPr>
      </w:pPr>
    </w:p>
    <w:tbl>
      <w:tblPr>
        <w:tblStyle w:val="281"/>
        <w:tblW w:w="9214" w:type="dxa"/>
        <w:tblInd w:w="279" w:type="dxa"/>
        <w:tblLayout w:type="fixed"/>
        <w:tblLook w:firstRow="1" w:lastRow="0" w:firstColumn="1" w:lastColumn="0" w:noHBand="0" w:noVBand="1" w:val="04A0"/>
      </w:tblPr>
      <w:tblGrid>
        <w:gridCol w:w="5623"/>
        <w:gridCol w:w="3591"/>
      </w:tblGrid>
      <w:tr>
        <w:trPr/>
        <w:tc>
          <w:tcPr>
            <w:tcW w:w="921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５．行政等における配慮の充実</w:t>
            </w:r>
          </w:p>
        </w:tc>
      </w:tr>
      <w:tr>
        <w:trPr/>
        <w:tc>
          <w:tcPr>
            <w:tcW w:w="9214" w:type="dxa"/>
            <w:gridSpan w:val="2"/>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asciiTheme="majorEastAsia" w:hAnsiTheme="majorEastAsia" w:eastAsiaTheme="majorEastAsia"/>
                <w:sz w:val="18"/>
              </w:rPr>
            </w:pPr>
            <w:r>
              <w:rPr>
                <w:rFonts w:hint="eastAsia" w:ascii="ＭＳ ゴシック" w:hAnsi="ＭＳ ゴシック" w:eastAsia="ＭＳ ゴシック"/>
                <w:sz w:val="18"/>
              </w:rPr>
              <w:t>○司法手続や選挙における合理的配慮の提供等</w:t>
            </w:r>
          </w:p>
        </w:tc>
      </w:tr>
      <w:tr>
        <w:trPr/>
        <w:tc>
          <w:tcPr>
            <w:tcW w:w="5623" w:type="dxa"/>
            <w:tcBorders>
              <w:top w:val="nil"/>
              <w:left w:val="none" w:color="auto" w:sz="0" w:space="0"/>
              <w:bottom w:val="none" w:color="auto" w:sz="0" w:space="0"/>
              <w:right w:val="nil"/>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sz w:val="18"/>
              </w:rPr>
              <w:t>・司法手続</w:t>
            </w:r>
            <w:r>
              <w:rPr>
                <w:rFonts w:hint="default"/>
                <w:sz w:val="18"/>
              </w:rPr>
              <w:t>(</w:t>
            </w:r>
            <w:r>
              <w:rPr>
                <w:rFonts w:hint="eastAsia"/>
                <w:sz w:val="18"/>
              </w:rPr>
              <w:t>民事・刑事</w:t>
            </w:r>
            <w:r>
              <w:rPr>
                <w:rFonts w:hint="default"/>
                <w:sz w:val="18"/>
              </w:rPr>
              <w:t>)</w:t>
            </w:r>
            <w:r>
              <w:rPr>
                <w:rFonts w:hint="eastAsia"/>
                <w:sz w:val="18"/>
              </w:rPr>
              <w:t>における意思疎通手段の確保</w:t>
            </w:r>
          </w:p>
          <w:p>
            <w:pPr>
              <w:pStyle w:val="0"/>
              <w:widowControl w:val="1"/>
              <w:spacing w:line="0" w:lineRule="atLeast"/>
              <w:ind w:left="184" w:hanging="184" w:hangingChars="100"/>
              <w:rPr>
                <w:rFonts w:hint="default"/>
                <w:sz w:val="18"/>
              </w:rPr>
            </w:pPr>
            <w:r>
              <w:rPr>
                <w:rFonts w:hint="eastAsia"/>
                <w:sz w:val="18"/>
              </w:rPr>
              <w:t>・</w:t>
            </w:r>
            <w:r>
              <w:rPr>
                <w:rFonts w:hint="eastAsia"/>
                <w:spacing w:val="-4"/>
                <w:sz w:val="18"/>
              </w:rPr>
              <w:t>障害特性に応じた選挙等に関する情報提供の充実、投票機会の確保</w:t>
            </w:r>
          </w:p>
        </w:tc>
        <w:tc>
          <w:tcPr>
            <w:tcW w:w="3591" w:type="dxa"/>
            <w:tcBorders>
              <w:top w:val="nil"/>
              <w:left w:val="nil"/>
              <w:bottom w:val="none" w:color="auto" w:sz="0" w:space="0"/>
              <w:right w:val="none" w:color="auto" w:sz="0" w:space="0"/>
              <w:tl2br w:val="none" w:color="auto" w:sz="0" w:space="0"/>
              <w:tr2bl w:val="none" w:color="auto" w:sz="0" w:space="0"/>
            </w:tcBorders>
            <w:vAlign w:val="top"/>
          </w:tcPr>
          <w:p>
            <w:pPr>
              <w:pStyle w:val="0"/>
              <w:widowControl w:val="1"/>
              <w:spacing w:line="0" w:lineRule="atLeast"/>
              <w:ind w:left="184" w:hanging="184" w:hangingChars="100"/>
              <w:rPr>
                <w:rFonts w:hint="default"/>
                <w:sz w:val="18"/>
              </w:rPr>
            </w:pPr>
            <w:r>
              <w:rPr>
                <w:rFonts w:hint="eastAsia"/>
                <w:sz w:val="18"/>
              </w:rPr>
              <w:t>・国家資格試験の実施等に当たり障害特性に応じた合理的配慮の提供</w:t>
            </w:r>
          </w:p>
        </w:tc>
      </w:tr>
    </w:tbl>
    <w:p>
      <w:pPr>
        <w:pStyle w:val="0"/>
        <w:widowControl w:val="1"/>
        <w:spacing w:line="0" w:lineRule="atLeast"/>
        <w:ind w:left="420" w:firstLine="80"/>
        <w:jc w:val="left"/>
        <w:rPr>
          <w:rFonts w:hint="default"/>
          <w:sz w:val="8"/>
        </w:rPr>
      </w:pPr>
    </w:p>
    <w:tbl>
      <w:tblPr>
        <w:tblStyle w:val="281"/>
        <w:tblW w:w="9214" w:type="dxa"/>
        <w:tblInd w:w="279" w:type="dxa"/>
        <w:tblLayout w:type="fixed"/>
        <w:tblLook w:firstRow="1" w:lastRow="0" w:firstColumn="1" w:lastColumn="0" w:noHBand="0" w:noVBand="1" w:val="04A0"/>
      </w:tblPr>
      <w:tblGrid>
        <w:gridCol w:w="9214"/>
      </w:tblGrid>
      <w:tr>
        <w:trPr/>
        <w:tc>
          <w:tcPr>
            <w:tcW w:w="9214" w:type="dxa"/>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６．保健・医療の推進</w:t>
            </w:r>
          </w:p>
        </w:tc>
      </w:tr>
      <w:tr>
        <w:trPr/>
        <w:tc>
          <w:tcPr>
            <w:tcW w:w="9214" w:type="dxa"/>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ascii="ＭＳ ゴシック" w:hAnsi="ＭＳ ゴシック" w:eastAsia="ＭＳ ゴシック"/>
                <w:sz w:val="18"/>
              </w:rPr>
              <w:t>○精神障害者の早期退院と地域移行、社会的入院の解消</w:t>
            </w:r>
          </w:p>
        </w:tc>
      </w:tr>
      <w:tr>
        <w:trPr/>
        <w:tc>
          <w:tcPr>
            <w:tcW w:w="9214" w:type="dxa"/>
            <w:tcBorders>
              <w:top w:val="nil"/>
              <w:left w:val="none" w:color="auto" w:sz="0" w:space="0"/>
              <w:bottom w:val="none" w:color="auto" w:sz="0"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sz w:val="18"/>
              </w:rPr>
              <w:t>・切れ目のない退院後の精神障害者への支援</w:t>
            </w:r>
          </w:p>
          <w:p>
            <w:pPr>
              <w:pStyle w:val="0"/>
              <w:widowControl w:val="1"/>
              <w:spacing w:line="0" w:lineRule="atLeast"/>
              <w:ind w:left="184" w:hanging="184" w:hangingChars="100"/>
              <w:rPr>
                <w:rFonts w:hint="default"/>
                <w:sz w:val="18"/>
              </w:rPr>
            </w:pPr>
            <w:r>
              <w:rPr>
                <w:rFonts w:hint="eastAsia"/>
                <w:sz w:val="18"/>
              </w:rPr>
              <w:t>・精神科病院に入院中の患者の権利擁護等のため、病院を訪問して行う相談支援の仕組みの構築</w:t>
            </w:r>
          </w:p>
          <w:p>
            <w:pPr>
              <w:pStyle w:val="0"/>
              <w:widowControl w:val="1"/>
              <w:spacing w:line="0" w:lineRule="atLeast"/>
              <w:ind w:left="184" w:hanging="184" w:hangingChars="100"/>
              <w:rPr>
                <w:rFonts w:hint="default" w:ascii="ＭＳ ゴシック" w:hAnsi="ＭＳ ゴシック" w:eastAsia="ＭＳ ゴシック"/>
                <w:sz w:val="18"/>
              </w:rPr>
            </w:pPr>
            <w:r>
              <w:rPr>
                <w:rFonts w:hint="eastAsia"/>
                <w:sz w:val="18"/>
              </w:rPr>
              <w:t>・</w:t>
            </w:r>
            <w:r>
              <w:rPr>
                <w:rFonts w:hint="eastAsia"/>
                <w:spacing w:val="-4"/>
                <w:w w:val="98"/>
                <w:sz w:val="18"/>
              </w:rPr>
              <w:t>精神科病院における非自発的入院のあり方及び身体拘束等に関する課題の整理を進め、必要な見直しについて検討</w:t>
            </w:r>
          </w:p>
        </w:tc>
      </w:tr>
    </w:tbl>
    <w:p>
      <w:pPr>
        <w:pStyle w:val="0"/>
        <w:widowControl w:val="1"/>
        <w:spacing w:line="0" w:lineRule="atLeast"/>
        <w:ind w:left="420" w:firstLine="80"/>
        <w:jc w:val="left"/>
        <w:rPr>
          <w:rFonts w:hint="default"/>
          <w:sz w:val="8"/>
        </w:rPr>
      </w:pPr>
    </w:p>
    <w:tbl>
      <w:tblPr>
        <w:tblStyle w:val="281"/>
        <w:tblW w:w="9214" w:type="dxa"/>
        <w:tblInd w:w="279" w:type="dxa"/>
        <w:tblLayout w:type="fixed"/>
        <w:tblLook w:firstRow="1" w:lastRow="0" w:firstColumn="1" w:lastColumn="0" w:noHBand="0" w:noVBand="1" w:val="04A0"/>
      </w:tblPr>
      <w:tblGrid>
        <w:gridCol w:w="5623"/>
        <w:gridCol w:w="3591"/>
      </w:tblGrid>
      <w:tr>
        <w:trPr/>
        <w:tc>
          <w:tcPr>
            <w:tcW w:w="921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７．自立した生活の支援・意思決定支援の推進</w:t>
            </w:r>
          </w:p>
        </w:tc>
      </w:tr>
      <w:tr>
        <w:trPr/>
        <w:tc>
          <w:tcPr>
            <w:tcW w:w="9214" w:type="dxa"/>
            <w:gridSpan w:val="2"/>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asciiTheme="majorEastAsia" w:hAnsiTheme="majorEastAsia" w:eastAsiaTheme="majorEastAsia"/>
                <w:sz w:val="18"/>
              </w:rPr>
            </w:pPr>
            <w:r>
              <w:rPr>
                <w:rFonts w:hint="eastAsia" w:ascii="ＭＳ ゴシック" w:hAnsi="ＭＳ ゴシック" w:eastAsia="ＭＳ ゴシック"/>
                <w:sz w:val="18"/>
              </w:rPr>
              <w:t>○意思決定支援の推進、相談支援体制の構築、地域移行支援・在宅サービス等の充実</w:t>
            </w:r>
          </w:p>
        </w:tc>
      </w:tr>
      <w:tr>
        <w:trPr/>
        <w:tc>
          <w:tcPr>
            <w:tcW w:w="5623" w:type="dxa"/>
            <w:tcBorders>
              <w:top w:val="nil"/>
              <w:left w:val="none" w:color="auto" w:sz="0" w:space="0"/>
              <w:bottom w:val="none" w:color="auto" w:sz="0" w:space="0"/>
              <w:right w:val="nil"/>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sz w:val="18"/>
              </w:rPr>
              <w:t>・ヤングケアラーを含む家族支援、サービス提供体制の確保</w:t>
            </w:r>
          </w:p>
        </w:tc>
        <w:tc>
          <w:tcPr>
            <w:tcW w:w="3591" w:type="dxa"/>
            <w:tcBorders>
              <w:top w:val="nil"/>
              <w:left w:val="nil"/>
              <w:bottom w:val="none" w:color="auto" w:sz="0" w:space="0"/>
              <w:right w:val="none" w:color="auto" w:sz="0" w:space="0"/>
              <w:tl2br w:val="none" w:color="auto" w:sz="0" w:space="0"/>
              <w:tr2bl w:val="none" w:color="auto" w:sz="0" w:space="0"/>
            </w:tcBorders>
            <w:vAlign w:val="top"/>
          </w:tcPr>
          <w:p>
            <w:pPr>
              <w:pStyle w:val="0"/>
              <w:widowControl w:val="1"/>
              <w:spacing w:line="0" w:lineRule="atLeast"/>
              <w:ind w:left="184" w:hanging="184" w:hangingChars="100"/>
              <w:rPr>
                <w:rFonts w:hint="default"/>
                <w:sz w:val="18"/>
              </w:rPr>
            </w:pPr>
            <w:r>
              <w:rPr>
                <w:rFonts w:hint="eastAsia"/>
                <w:sz w:val="18"/>
              </w:rPr>
              <w:t>・障害のあるこどもに対する支援の充実</w:t>
            </w:r>
          </w:p>
        </w:tc>
      </w:tr>
    </w:tbl>
    <w:p>
      <w:pPr>
        <w:pStyle w:val="0"/>
        <w:widowControl w:val="1"/>
        <w:spacing w:line="0" w:lineRule="atLeast"/>
        <w:ind w:left="420" w:firstLine="80"/>
        <w:jc w:val="left"/>
        <w:rPr>
          <w:rFonts w:hint="default"/>
          <w:sz w:val="8"/>
        </w:rPr>
      </w:pPr>
    </w:p>
    <w:tbl>
      <w:tblPr>
        <w:tblStyle w:val="281"/>
        <w:tblW w:w="9214" w:type="dxa"/>
        <w:tblInd w:w="279" w:type="dxa"/>
        <w:tblLayout w:type="fixed"/>
        <w:tblLook w:firstRow="1" w:lastRow="0" w:firstColumn="1" w:lastColumn="0" w:noHBand="0" w:noVBand="1" w:val="04A0"/>
      </w:tblPr>
      <w:tblGrid>
        <w:gridCol w:w="5623"/>
        <w:gridCol w:w="3591"/>
      </w:tblGrid>
      <w:tr>
        <w:trPr/>
        <w:tc>
          <w:tcPr>
            <w:tcW w:w="921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８．教育の振興</w:t>
            </w:r>
          </w:p>
        </w:tc>
      </w:tr>
      <w:tr>
        <w:trPr/>
        <w:tc>
          <w:tcPr>
            <w:tcW w:w="9214" w:type="dxa"/>
            <w:gridSpan w:val="2"/>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asciiTheme="majorEastAsia" w:hAnsiTheme="majorEastAsia" w:eastAsiaTheme="majorEastAsia"/>
                <w:sz w:val="18"/>
              </w:rPr>
            </w:pPr>
            <w:r>
              <w:rPr>
                <w:rFonts w:hint="eastAsia" w:ascii="ＭＳ ゴシック" w:hAnsi="ＭＳ ゴシック" w:eastAsia="ＭＳ ゴシック"/>
                <w:sz w:val="18"/>
              </w:rPr>
              <w:t>○インクルーシブ教育システムの推進・教育環境の整備</w:t>
            </w:r>
          </w:p>
        </w:tc>
      </w:tr>
      <w:tr>
        <w:trPr/>
        <w:tc>
          <w:tcPr>
            <w:tcW w:w="5623" w:type="dxa"/>
            <w:tcBorders>
              <w:top w:val="nil"/>
              <w:left w:val="none" w:color="auto" w:sz="0" w:space="0"/>
              <w:bottom w:val="none" w:color="auto" w:sz="0" w:space="0"/>
              <w:right w:val="nil"/>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w w:val="95"/>
                <w:sz w:val="18"/>
              </w:rPr>
            </w:pPr>
            <w:r>
              <w:rPr>
                <w:rFonts w:hint="eastAsia"/>
                <w:sz w:val="18"/>
              </w:rPr>
              <w:t>・</w:t>
            </w:r>
            <w:r>
              <w:rPr>
                <w:rFonts w:hint="eastAsia"/>
                <w:spacing w:val="-6"/>
                <w:w w:val="95"/>
                <w:sz w:val="18"/>
              </w:rPr>
              <w:t>自校通級、巡回通級の充実をはじめとする通級による指導の一層の普及</w:t>
            </w:r>
          </w:p>
          <w:p>
            <w:pPr>
              <w:pStyle w:val="0"/>
              <w:widowControl w:val="1"/>
              <w:spacing w:line="0" w:lineRule="atLeast"/>
              <w:ind w:left="184" w:hanging="184" w:hangingChars="100"/>
              <w:rPr>
                <w:rFonts w:hint="default"/>
                <w:sz w:val="18"/>
              </w:rPr>
            </w:pPr>
            <w:r>
              <w:rPr>
                <w:rFonts w:hint="eastAsia"/>
                <w:sz w:val="18"/>
              </w:rPr>
              <w:t>・</w:t>
            </w:r>
            <w:r>
              <w:rPr>
                <w:rFonts w:hint="eastAsia"/>
                <w:spacing w:val="-8"/>
                <w:w w:val="92"/>
                <w:sz w:val="18"/>
              </w:rPr>
              <w:t>教職員の障害に対する理解や特別支援教育に係る専門性を深める取組の推進</w:t>
            </w:r>
          </w:p>
        </w:tc>
        <w:tc>
          <w:tcPr>
            <w:tcW w:w="3591" w:type="dxa"/>
            <w:tcBorders>
              <w:top w:val="nil"/>
              <w:left w:val="nil"/>
              <w:bottom w:val="none" w:color="auto" w:sz="0" w:space="0"/>
              <w:right w:val="none" w:color="auto" w:sz="0" w:space="0"/>
              <w:tl2br w:val="none" w:color="auto" w:sz="0" w:space="0"/>
              <w:tr2bl w:val="none" w:color="auto" w:sz="0" w:space="0"/>
            </w:tcBorders>
            <w:vAlign w:val="top"/>
          </w:tcPr>
          <w:p>
            <w:pPr>
              <w:pStyle w:val="0"/>
              <w:widowControl w:val="1"/>
              <w:spacing w:line="0" w:lineRule="atLeast"/>
              <w:ind w:left="184" w:hanging="184" w:hangingChars="100"/>
              <w:rPr>
                <w:rFonts w:hint="default"/>
                <w:sz w:val="18"/>
              </w:rPr>
            </w:pPr>
            <w:r>
              <w:rPr>
                <w:rFonts w:hint="eastAsia"/>
                <w:sz w:val="18"/>
              </w:rPr>
              <w:t>・病気療養児へのＩＣＴを活用した学習機会の確保の促進</w:t>
            </w:r>
          </w:p>
        </w:tc>
      </w:tr>
    </w:tbl>
    <w:p>
      <w:pPr>
        <w:pStyle w:val="0"/>
        <w:widowControl w:val="1"/>
        <w:spacing w:line="0" w:lineRule="atLeast"/>
        <w:ind w:left="420" w:firstLine="80"/>
        <w:jc w:val="left"/>
        <w:rPr>
          <w:rFonts w:hint="default"/>
          <w:sz w:val="8"/>
        </w:rPr>
      </w:pPr>
    </w:p>
    <w:tbl>
      <w:tblPr>
        <w:tblStyle w:val="281"/>
        <w:tblW w:w="9214" w:type="dxa"/>
        <w:tblInd w:w="279" w:type="dxa"/>
        <w:tblLayout w:type="fixed"/>
        <w:tblLook w:firstRow="1" w:lastRow="0" w:firstColumn="1" w:lastColumn="0" w:noHBand="0" w:noVBand="1" w:val="04A0"/>
      </w:tblPr>
      <w:tblGrid>
        <w:gridCol w:w="9214"/>
      </w:tblGrid>
      <w:tr>
        <w:trPr/>
        <w:tc>
          <w:tcPr>
            <w:tcW w:w="9214" w:type="dxa"/>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９．雇用・就業、経済的自立の支援</w:t>
            </w:r>
          </w:p>
        </w:tc>
      </w:tr>
      <w:tr>
        <w:trPr/>
        <w:tc>
          <w:tcPr>
            <w:tcW w:w="9214" w:type="dxa"/>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asciiTheme="majorEastAsia" w:hAnsiTheme="majorEastAsia" w:eastAsiaTheme="majorEastAsia"/>
                <w:sz w:val="18"/>
              </w:rPr>
            </w:pPr>
            <w:r>
              <w:rPr>
                <w:rFonts w:hint="eastAsia" w:ascii="ＭＳ ゴシック" w:hAnsi="ＭＳ ゴシック" w:eastAsia="ＭＳ ゴシック"/>
                <w:sz w:val="18"/>
              </w:rPr>
              <w:t>○総合的な就労支援</w:t>
            </w:r>
          </w:p>
        </w:tc>
      </w:tr>
      <w:tr>
        <w:trPr/>
        <w:tc>
          <w:tcPr>
            <w:tcW w:w="9214" w:type="dxa"/>
            <w:tcBorders>
              <w:top w:val="nil"/>
              <w:left w:val="none" w:color="auto" w:sz="0" w:space="0"/>
              <w:bottom w:val="none" w:color="auto" w:sz="0"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sz w:val="18"/>
              </w:rPr>
              <w:t>・地域の関係機関が連携した雇用前・後の一貫した支援、就業・生活両面の一体的支援</w:t>
            </w:r>
          </w:p>
          <w:p>
            <w:pPr>
              <w:pStyle w:val="0"/>
              <w:widowControl w:val="1"/>
              <w:spacing w:line="0" w:lineRule="atLeast"/>
              <w:ind w:left="184" w:hanging="184" w:hangingChars="100"/>
              <w:rPr>
                <w:rFonts w:hint="default"/>
                <w:sz w:val="18"/>
              </w:rPr>
            </w:pPr>
            <w:r>
              <w:rPr>
                <w:rFonts w:hint="eastAsia"/>
                <w:sz w:val="18"/>
              </w:rPr>
              <w:t>・雇用・就業施策と福祉施策の組合せの下、年金や諸手当の支給、税制優遇措置、各種支援制度の運用</w:t>
            </w:r>
          </w:p>
          <w:p>
            <w:pPr>
              <w:pStyle w:val="0"/>
              <w:widowControl w:val="1"/>
              <w:spacing w:line="0" w:lineRule="atLeast"/>
              <w:jc w:val="left"/>
              <w:rPr>
                <w:rFonts w:hint="default"/>
                <w:sz w:val="18"/>
              </w:rPr>
            </w:pPr>
            <w:r>
              <w:rPr>
                <w:rFonts w:hint="eastAsia"/>
                <w:sz w:val="18"/>
              </w:rPr>
              <w:t>・農業分野での障害者の就労支援</w:t>
            </w:r>
            <w:r>
              <w:rPr>
                <w:rFonts w:hint="eastAsia"/>
                <w:sz w:val="18"/>
              </w:rPr>
              <w:t>(</w:t>
            </w:r>
            <w:r>
              <w:rPr>
                <w:rFonts w:hint="eastAsia"/>
                <w:sz w:val="18"/>
              </w:rPr>
              <w:t>農福連携</w:t>
            </w:r>
            <w:r>
              <w:rPr>
                <w:rFonts w:hint="eastAsia"/>
                <w:sz w:val="18"/>
              </w:rPr>
              <w:t>)</w:t>
            </w:r>
            <w:r>
              <w:rPr>
                <w:rFonts w:hint="eastAsia"/>
                <w:sz w:val="18"/>
              </w:rPr>
              <w:t>の推進</w:t>
            </w:r>
          </w:p>
        </w:tc>
      </w:tr>
    </w:tbl>
    <w:p>
      <w:pPr>
        <w:pStyle w:val="0"/>
        <w:widowControl w:val="1"/>
        <w:spacing w:line="0" w:lineRule="atLeast"/>
        <w:ind w:left="420" w:firstLine="80"/>
        <w:jc w:val="left"/>
        <w:rPr>
          <w:rFonts w:hint="default"/>
          <w:sz w:val="8"/>
        </w:rPr>
      </w:pPr>
    </w:p>
    <w:tbl>
      <w:tblPr>
        <w:tblStyle w:val="281"/>
        <w:tblW w:w="9214" w:type="dxa"/>
        <w:tblInd w:w="279" w:type="dxa"/>
        <w:tblLayout w:type="fixed"/>
        <w:tblLook w:firstRow="1" w:lastRow="0" w:firstColumn="1" w:lastColumn="0" w:noHBand="0" w:noVBand="1" w:val="04A0"/>
      </w:tblPr>
      <w:tblGrid>
        <w:gridCol w:w="5623"/>
        <w:gridCol w:w="3591"/>
      </w:tblGrid>
      <w:tr>
        <w:trPr/>
        <w:tc>
          <w:tcPr>
            <w:tcW w:w="921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default" w:asciiTheme="majorEastAsia" w:hAnsiTheme="majorEastAsia" w:eastAsiaTheme="majorEastAsia"/>
                <w:sz w:val="18"/>
              </w:rPr>
              <w:t>10</w:t>
            </w:r>
            <w:r>
              <w:rPr>
                <w:rFonts w:hint="eastAsia" w:asciiTheme="majorEastAsia" w:hAnsiTheme="majorEastAsia" w:eastAsiaTheme="majorEastAsia"/>
                <w:sz w:val="18"/>
              </w:rPr>
              <w:t>．文化芸術活動・スポーツ等の振興</w:t>
            </w:r>
          </w:p>
        </w:tc>
      </w:tr>
      <w:tr>
        <w:trPr/>
        <w:tc>
          <w:tcPr>
            <w:tcW w:w="9214" w:type="dxa"/>
            <w:gridSpan w:val="2"/>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asciiTheme="majorEastAsia" w:hAnsiTheme="majorEastAsia" w:eastAsiaTheme="majorEastAsia"/>
                <w:sz w:val="18"/>
              </w:rPr>
            </w:pPr>
            <w:r>
              <w:rPr>
                <w:rFonts w:hint="eastAsia" w:ascii="ＭＳ ゴシック" w:hAnsi="ＭＳ ゴシック" w:eastAsia="ＭＳ ゴシック"/>
                <w:sz w:val="18"/>
              </w:rPr>
              <w:t>○障害者の芸術文化活動への参加、スポーツに親しめる環境の整備</w:t>
            </w:r>
          </w:p>
        </w:tc>
      </w:tr>
      <w:tr>
        <w:trPr/>
        <w:tc>
          <w:tcPr>
            <w:tcW w:w="5623" w:type="dxa"/>
            <w:tcBorders>
              <w:top w:val="nil"/>
              <w:left w:val="none" w:color="auto" w:sz="0" w:space="0"/>
              <w:bottom w:val="none" w:color="auto" w:sz="0" w:space="0"/>
              <w:right w:val="nil"/>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sz w:val="18"/>
              </w:rPr>
              <w:t>・障害者の地域における文化芸術活動の環境づくり</w:t>
            </w:r>
          </w:p>
          <w:p>
            <w:pPr>
              <w:pStyle w:val="0"/>
              <w:widowControl w:val="1"/>
              <w:spacing w:line="0" w:lineRule="atLeast"/>
              <w:ind w:left="184" w:hanging="184" w:hangingChars="100"/>
              <w:rPr>
                <w:rFonts w:hint="default"/>
                <w:sz w:val="18"/>
              </w:rPr>
            </w:pPr>
            <w:r>
              <w:rPr>
                <w:rFonts w:hint="eastAsia"/>
                <w:sz w:val="18"/>
              </w:rPr>
              <w:t>・</w:t>
            </w:r>
            <w:r>
              <w:rPr>
                <w:rFonts w:hint="eastAsia"/>
                <w:spacing w:val="-8"/>
                <w:w w:val="88"/>
                <w:sz w:val="18"/>
              </w:rPr>
              <w:t>日本国際博覧会</w:t>
            </w:r>
            <w:r>
              <w:rPr>
                <w:rFonts w:hint="default"/>
                <w:spacing w:val="-8"/>
                <w:w w:val="88"/>
                <w:sz w:val="18"/>
              </w:rPr>
              <w:t>(</w:t>
            </w:r>
            <w:r>
              <w:rPr>
                <w:rFonts w:hint="eastAsia"/>
                <w:spacing w:val="-8"/>
                <w:w w:val="88"/>
                <w:sz w:val="18"/>
              </w:rPr>
              <w:t>大阪･関西万博</w:t>
            </w:r>
            <w:r>
              <w:rPr>
                <w:rFonts w:hint="default"/>
                <w:spacing w:val="-8"/>
                <w:w w:val="88"/>
                <w:sz w:val="18"/>
              </w:rPr>
              <w:t>)</w:t>
            </w:r>
            <w:r>
              <w:rPr>
                <w:rFonts w:hint="eastAsia"/>
                <w:spacing w:val="-8"/>
                <w:w w:val="88"/>
                <w:sz w:val="18"/>
              </w:rPr>
              <w:t>の施設整備、文化芸術の発信などの環境づくり</w:t>
            </w:r>
          </w:p>
        </w:tc>
        <w:tc>
          <w:tcPr>
            <w:tcW w:w="3591" w:type="dxa"/>
            <w:tcBorders>
              <w:top w:val="nil"/>
              <w:left w:val="nil"/>
              <w:bottom w:val="none" w:color="auto" w:sz="0" w:space="0"/>
              <w:right w:val="none" w:color="auto" w:sz="0" w:space="0"/>
              <w:tl2br w:val="none" w:color="auto" w:sz="0" w:space="0"/>
              <w:tr2bl w:val="none" w:color="auto" w:sz="0" w:space="0"/>
            </w:tcBorders>
            <w:vAlign w:val="top"/>
          </w:tcPr>
          <w:p>
            <w:pPr>
              <w:pStyle w:val="0"/>
              <w:widowControl w:val="1"/>
              <w:spacing w:line="0" w:lineRule="atLeast"/>
              <w:ind w:left="184" w:hanging="184" w:hangingChars="100"/>
              <w:rPr>
                <w:rFonts w:hint="default"/>
                <w:sz w:val="18"/>
              </w:rPr>
            </w:pPr>
            <w:r>
              <w:rPr>
                <w:rFonts w:hint="eastAsia"/>
                <w:sz w:val="18"/>
              </w:rPr>
              <w:t>・障害の有無に関わらずスポーツを行うことのできる環境づくり</w:t>
            </w:r>
          </w:p>
        </w:tc>
      </w:tr>
    </w:tbl>
    <w:p>
      <w:pPr>
        <w:pStyle w:val="0"/>
        <w:widowControl w:val="1"/>
        <w:spacing w:line="0" w:lineRule="atLeast"/>
        <w:ind w:left="420" w:firstLine="80"/>
        <w:jc w:val="left"/>
        <w:rPr>
          <w:rFonts w:hint="default"/>
          <w:sz w:val="8"/>
        </w:rPr>
      </w:pPr>
    </w:p>
    <w:tbl>
      <w:tblPr>
        <w:tblStyle w:val="281"/>
        <w:tblW w:w="9214" w:type="dxa"/>
        <w:tblInd w:w="279" w:type="dxa"/>
        <w:tblLayout w:type="fixed"/>
        <w:tblLook w:firstRow="1" w:lastRow="0" w:firstColumn="1" w:lastColumn="0" w:noHBand="0" w:noVBand="1" w:val="04A0"/>
      </w:tblPr>
      <w:tblGrid>
        <w:gridCol w:w="5623"/>
        <w:gridCol w:w="3591"/>
      </w:tblGrid>
      <w:tr>
        <w:trPr/>
        <w:tc>
          <w:tcPr>
            <w:tcW w:w="9214"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jc w:val="left"/>
              <w:rPr>
                <w:rFonts w:hint="default" w:asciiTheme="majorEastAsia" w:hAnsiTheme="majorEastAsia" w:eastAsiaTheme="majorEastAsia"/>
                <w:sz w:val="18"/>
              </w:rPr>
            </w:pPr>
            <w:r>
              <w:rPr>
                <w:rFonts w:hint="default" w:asciiTheme="majorEastAsia" w:hAnsiTheme="majorEastAsia" w:eastAsiaTheme="majorEastAsia"/>
                <w:sz w:val="18"/>
              </w:rPr>
              <w:t>11</w:t>
            </w:r>
            <w:r>
              <w:rPr>
                <w:rFonts w:hint="eastAsia" w:asciiTheme="majorEastAsia" w:hAnsiTheme="majorEastAsia" w:eastAsiaTheme="majorEastAsia"/>
                <w:sz w:val="18"/>
              </w:rPr>
              <w:t>．国際社会での協力・連携の推進</w:t>
            </w:r>
          </w:p>
        </w:tc>
      </w:tr>
      <w:tr>
        <w:trPr/>
        <w:tc>
          <w:tcPr>
            <w:tcW w:w="9214" w:type="dxa"/>
            <w:gridSpan w:val="2"/>
            <w:tcBorders>
              <w:top w:val="none" w:color="auto" w:sz="0" w:space="0"/>
              <w:left w:val="none" w:color="auto" w:sz="0" w:space="0"/>
              <w:bottom w:val="nil"/>
              <w:right w:val="none" w:color="auto" w:sz="0" w:space="0"/>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asciiTheme="majorEastAsia" w:hAnsiTheme="majorEastAsia" w:eastAsiaTheme="majorEastAsia"/>
                <w:sz w:val="18"/>
              </w:rPr>
            </w:pPr>
            <w:r>
              <w:rPr>
                <w:rFonts w:hint="eastAsia" w:ascii="ＭＳ ゴシック" w:hAnsi="ＭＳ ゴシック" w:eastAsia="ＭＳ ゴシック"/>
                <w:sz w:val="18"/>
              </w:rPr>
              <w:t>○文化芸術・スポーツを含む障害者の国際交流の推進</w:t>
            </w:r>
          </w:p>
        </w:tc>
      </w:tr>
      <w:tr>
        <w:trPr/>
        <w:tc>
          <w:tcPr>
            <w:tcW w:w="5623" w:type="dxa"/>
            <w:tcBorders>
              <w:top w:val="nil"/>
              <w:left w:val="none" w:color="auto" w:sz="0" w:space="0"/>
              <w:bottom w:val="none" w:color="auto" w:sz="0" w:space="0"/>
              <w:right w:val="nil"/>
              <w:tl2br w:val="none" w:color="auto" w:sz="0" w:space="0"/>
              <w:tr2bl w:val="none" w:color="auto" w:sz="0" w:space="0"/>
            </w:tcBorders>
            <w:tcMar>
              <w:top w:w="11" w:type="dxa"/>
              <w:bottom w:w="11" w:type="dxa"/>
            </w:tcMar>
            <w:vAlign w:val="top"/>
          </w:tcPr>
          <w:p>
            <w:pPr>
              <w:pStyle w:val="0"/>
              <w:widowControl w:val="1"/>
              <w:spacing w:line="0" w:lineRule="atLeast"/>
              <w:ind w:left="184" w:hanging="184" w:hangingChars="100"/>
              <w:rPr>
                <w:rFonts w:hint="default"/>
                <w:sz w:val="18"/>
              </w:rPr>
            </w:pPr>
            <w:r>
              <w:rPr>
                <w:rFonts w:hint="eastAsia"/>
                <w:sz w:val="18"/>
              </w:rPr>
              <w:t>・障害者分野における国際協力への積極的な取組</w:t>
            </w:r>
          </w:p>
        </w:tc>
        <w:tc>
          <w:tcPr>
            <w:tcW w:w="3591" w:type="dxa"/>
            <w:tcBorders>
              <w:top w:val="nil"/>
              <w:left w:val="nil"/>
              <w:bottom w:val="none" w:color="auto" w:sz="0" w:space="0"/>
              <w:right w:val="none" w:color="auto" w:sz="0" w:space="0"/>
              <w:tl2br w:val="none" w:color="auto" w:sz="0" w:space="0"/>
              <w:tr2bl w:val="none" w:color="auto" w:sz="0" w:space="0"/>
            </w:tcBorders>
            <w:vAlign w:val="top"/>
          </w:tcPr>
          <w:p>
            <w:pPr>
              <w:pStyle w:val="0"/>
              <w:widowControl w:val="1"/>
              <w:spacing w:line="0" w:lineRule="atLeast"/>
              <w:ind w:left="184" w:hanging="184" w:hangingChars="100"/>
              <w:rPr>
                <w:rFonts w:hint="default"/>
                <w:sz w:val="18"/>
              </w:rPr>
            </w:pPr>
            <w:r>
              <w:rPr>
                <w:rFonts w:hint="eastAsia"/>
                <w:sz w:val="18"/>
              </w:rPr>
              <w:t>・</w:t>
            </w:r>
            <w:r>
              <w:rPr>
                <w:rFonts w:hint="eastAsia"/>
                <w:spacing w:val="-6"/>
                <w:w w:val="90"/>
                <w:sz w:val="18"/>
              </w:rPr>
              <w:t>障害者の文化芸術など日本の多様な魅力を発信</w:t>
            </w:r>
          </w:p>
        </w:tc>
      </w:tr>
    </w:tbl>
    <w:p>
      <w:pPr>
        <w:pStyle w:val="0"/>
        <w:widowControl w:val="1"/>
        <w:spacing w:line="20" w:lineRule="exact"/>
        <w:jc w:val="left"/>
        <w:rPr>
          <w:rFonts w:hint="default"/>
        </w:rPr>
      </w:pPr>
    </w:p>
    <w:p>
      <w:pPr>
        <w:pStyle w:val="0"/>
        <w:spacing w:line="0" w:lineRule="atLeast"/>
        <w:ind w:left="876" w:leftChars="300" w:right="224" w:rightChars="100" w:hanging="204" w:hangingChars="100"/>
        <w:rPr>
          <w:rFonts w:hint="default"/>
          <w:sz w:val="20"/>
        </w:rPr>
      </w:pPr>
    </w:p>
    <w:p>
      <w:pPr>
        <w:pStyle w:val="0"/>
        <w:widowControl w:val="1"/>
        <w:jc w:val="left"/>
        <w:rPr>
          <w:rFonts w:hint="default"/>
        </w:rPr>
      </w:pPr>
      <w:r>
        <w:rPr>
          <w:rFonts w:hint="eastAsia" w:ascii="Segoe UI Symbol" w:hAnsi="Segoe UI Symbol" w:eastAsia="HG丸ｺﾞｼｯｸM-PRO"/>
        </w:rPr>
        <w:t>【参考資料】第７期障害福祉計画・第３期障害児福祉計画の</w:t>
      </w:r>
      <w:r>
        <w:rPr>
          <w:rFonts w:hint="eastAsia" w:ascii="HG丸ｺﾞｼｯｸM-PRO" w:hAnsi="HG丸ｺﾞｼｯｸM-PRO" w:eastAsia="HG丸ｺﾞｼｯｸM-PRO"/>
        </w:rPr>
        <w:t>策定基本指針について</w:t>
      </w:r>
    </w:p>
    <w:p>
      <w:pPr>
        <w:pStyle w:val="0"/>
        <w:spacing w:line="0" w:lineRule="atLeast"/>
        <w:ind w:left="876" w:leftChars="300" w:right="224" w:rightChars="100" w:hanging="204" w:hangingChars="100"/>
        <w:rPr>
          <w:rFonts w:hint="default"/>
          <w:sz w:val="20"/>
        </w:rPr>
      </w:pPr>
      <w:r>
        <w:rPr>
          <w:rFonts w:hint="default"/>
          <w:sz w:val="20"/>
        </w:rPr>
        <mc:AlternateContent>
          <mc:Choice Requires="wps">
            <w:drawing>
              <wp:anchor distT="0" distB="0" distL="114300" distR="114300" simplePos="0" relativeHeight="262" behindDoc="0" locked="0" layoutInCell="1" hidden="0" allowOverlap="1">
                <wp:simplePos x="0" y="0"/>
                <wp:positionH relativeFrom="column">
                  <wp:posOffset>130810</wp:posOffset>
                </wp:positionH>
                <wp:positionV relativeFrom="paragraph">
                  <wp:posOffset>52070</wp:posOffset>
                </wp:positionV>
                <wp:extent cx="5984875" cy="8763000"/>
                <wp:effectExtent l="635" t="635" r="29845" b="10795"/>
                <wp:wrapNone/>
                <wp:docPr id="1081" name="正方形/長方形 2"/>
                <a:graphic xmlns:a="http://schemas.openxmlformats.org/drawingml/2006/main">
                  <a:graphicData uri="http://schemas.microsoft.com/office/word/2010/wordprocessingShape">
                    <wps:wsp>
                      <wps:cNvPr id="1081" name="正方形/長方形 2"/>
                      <wps:cNvSpPr/>
                      <wps:spPr>
                        <a:xfrm>
                          <a:off x="0" y="0"/>
                          <a:ext cx="5984875" cy="8763000"/>
                        </a:xfrm>
                        <a:prstGeom prst="rect">
                          <a:avLst/>
                        </a:pr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 style="mso-wrap-distance-right:9pt;mso-wrap-distance-bottom:0pt;margin-top:4.09pt;mso-position-vertical-relative:text;mso-position-horizontal-relative:text;position:absolute;height:690pt;mso-wrap-distance-top:0pt;width:471.25pt;mso-wrap-distance-left:9pt;margin-left:10.3pt;z-index:262;" o:spid="_x0000_s1081" o:allowincell="t" o:allowoverlap="t" filled="f" stroked="t" strokecolor="#548235 [2409]" strokeweight="1.5pt" o:spt="1">
                <v:fill/>
                <v:stroke linestyle="single" miterlimit="8" endcap="flat" dashstyle="solid" filltype="solid"/>
                <v:textbox style="layout-flow:horizontal;"/>
                <v:imagedata o:title=""/>
                <w10:wrap type="none" anchorx="text" anchory="text"/>
              </v:rect>
            </w:pict>
          </mc:Fallback>
        </mc:AlternateContent>
      </w: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①入所等から地域生活への移行、地域生活の継続の支援</w:t>
      </w:r>
    </w:p>
    <w:p>
      <w:pPr>
        <w:pStyle w:val="0"/>
        <w:spacing w:line="0" w:lineRule="atLeast"/>
        <w:ind w:left="876" w:leftChars="300" w:right="224" w:rightChars="100" w:hanging="204" w:hangingChars="100"/>
        <w:rPr>
          <w:rFonts w:hint="default"/>
          <w:sz w:val="20"/>
        </w:rPr>
      </w:pPr>
      <w:r>
        <w:rPr>
          <w:rFonts w:hint="eastAsia"/>
          <w:sz w:val="20"/>
        </w:rPr>
        <w:t>・重度障害者等への支援に係る記載の拡充</w:t>
      </w:r>
    </w:p>
    <w:p>
      <w:pPr>
        <w:pStyle w:val="0"/>
        <w:spacing w:line="0" w:lineRule="atLeast"/>
        <w:ind w:left="876" w:leftChars="300" w:right="224" w:rightChars="100" w:hanging="204" w:hangingChars="100"/>
        <w:rPr>
          <w:rFonts w:hint="default"/>
          <w:sz w:val="20"/>
        </w:rPr>
      </w:pPr>
      <w:r>
        <w:rPr>
          <w:rFonts w:hint="eastAsia"/>
          <w:sz w:val="20"/>
        </w:rPr>
        <w:t>・障害者総合支援法の改正による地域生活支援拠点等の整備の努力義務化等を踏まえた見直し</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②精神障害にも対応した地域包括ケアシステムの構築</w:t>
      </w:r>
    </w:p>
    <w:p>
      <w:pPr>
        <w:pStyle w:val="0"/>
        <w:spacing w:line="0" w:lineRule="atLeast"/>
        <w:ind w:left="876" w:leftChars="300" w:right="224" w:rightChars="100" w:hanging="204" w:hangingChars="100"/>
        <w:rPr>
          <w:rFonts w:hint="default"/>
          <w:sz w:val="20"/>
        </w:rPr>
      </w:pPr>
      <w:r>
        <w:rPr>
          <w:rFonts w:hint="eastAsia"/>
          <w:sz w:val="20"/>
        </w:rPr>
        <w:t>・精神保健福祉法の改正等を踏まえた更なる体制整備</w:t>
      </w:r>
    </w:p>
    <w:p>
      <w:pPr>
        <w:pStyle w:val="0"/>
        <w:spacing w:line="0" w:lineRule="atLeast"/>
        <w:ind w:left="876" w:leftChars="300" w:right="224" w:rightChars="100" w:hanging="204" w:hangingChars="100"/>
        <w:rPr>
          <w:rFonts w:hint="default"/>
          <w:sz w:val="20"/>
        </w:rPr>
      </w:pPr>
      <w:r>
        <w:rPr>
          <w:rFonts w:hint="eastAsia"/>
          <w:sz w:val="20"/>
        </w:rPr>
        <w:t>・医療計画との連動性を踏まえた目標値の設定</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③福祉施設から一般就労への移行等</w:t>
      </w:r>
    </w:p>
    <w:p>
      <w:pPr>
        <w:pStyle w:val="0"/>
        <w:spacing w:line="0" w:lineRule="atLeast"/>
        <w:ind w:left="876" w:leftChars="300" w:right="224" w:rightChars="100" w:hanging="204" w:hangingChars="100"/>
        <w:rPr>
          <w:rFonts w:hint="default"/>
          <w:sz w:val="20"/>
        </w:rPr>
      </w:pPr>
      <w:r>
        <w:rPr>
          <w:rFonts w:hint="eastAsia"/>
          <w:sz w:val="20"/>
        </w:rPr>
        <w:t>・一般就労への移行及び定着に係る目標値の設定</w:t>
      </w:r>
    </w:p>
    <w:p>
      <w:pPr>
        <w:pStyle w:val="0"/>
        <w:spacing w:line="0" w:lineRule="atLeast"/>
        <w:ind w:left="876" w:leftChars="300" w:right="224" w:rightChars="100" w:hanging="204" w:hangingChars="100"/>
        <w:rPr>
          <w:rFonts w:hint="default"/>
          <w:sz w:val="20"/>
        </w:rPr>
      </w:pPr>
      <w:r>
        <w:rPr>
          <w:rFonts w:hint="eastAsia"/>
          <w:sz w:val="20"/>
        </w:rPr>
        <w:t>・一般就労中の就労系障害福祉サービスの一時利用に係る記載の追記</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④障害児のサービス提供体制の計画的な構築</w:t>
      </w:r>
    </w:p>
    <w:p>
      <w:pPr>
        <w:pStyle w:val="0"/>
        <w:spacing w:line="0" w:lineRule="atLeast"/>
        <w:ind w:left="876" w:leftChars="300" w:right="224" w:rightChars="100" w:hanging="204" w:hangingChars="100"/>
        <w:rPr>
          <w:rFonts w:hint="default"/>
          <w:sz w:val="20"/>
        </w:rPr>
      </w:pPr>
      <w:r>
        <w:rPr>
          <w:rFonts w:hint="eastAsia"/>
          <w:sz w:val="20"/>
        </w:rPr>
        <w:t>・児童発達支援センターの機能強化と地域の体制整備</w:t>
      </w:r>
    </w:p>
    <w:p>
      <w:pPr>
        <w:pStyle w:val="0"/>
        <w:spacing w:line="0" w:lineRule="atLeast"/>
        <w:ind w:left="876" w:leftChars="300" w:right="224" w:rightChars="100" w:hanging="204" w:hangingChars="100"/>
        <w:rPr>
          <w:rFonts w:hint="default"/>
          <w:sz w:val="20"/>
        </w:rPr>
      </w:pPr>
      <w:r>
        <w:rPr>
          <w:rFonts w:hint="eastAsia"/>
          <w:sz w:val="20"/>
        </w:rPr>
        <w:t>・障害児入所施設からの移行調整の取組の推進</w:t>
      </w:r>
    </w:p>
    <w:p>
      <w:pPr>
        <w:pStyle w:val="0"/>
        <w:spacing w:line="0" w:lineRule="atLeast"/>
        <w:ind w:left="876" w:leftChars="300" w:right="224" w:rightChars="100" w:hanging="204" w:hangingChars="100"/>
        <w:rPr>
          <w:rFonts w:hint="default"/>
          <w:sz w:val="20"/>
        </w:rPr>
      </w:pPr>
      <w:r>
        <w:rPr>
          <w:rFonts w:hint="eastAsia"/>
          <w:sz w:val="20"/>
        </w:rPr>
        <w:t>・医療的ケア児等支援法の施行による医療的ケア児等に対する支援体制の充実</w:t>
      </w:r>
    </w:p>
    <w:p>
      <w:pPr>
        <w:pStyle w:val="0"/>
        <w:spacing w:line="0" w:lineRule="atLeast"/>
        <w:ind w:left="876" w:leftChars="300" w:right="224" w:rightChars="100" w:hanging="204" w:hangingChars="100"/>
        <w:rPr>
          <w:rFonts w:hint="default"/>
          <w:sz w:val="20"/>
        </w:rPr>
      </w:pPr>
      <w:r>
        <w:rPr>
          <w:rFonts w:hint="eastAsia"/>
          <w:sz w:val="20"/>
        </w:rPr>
        <w:t>・聴覚障害児への早期支援の推進の拡充</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⑤発達障害者等支援の一層の充実</w:t>
      </w:r>
    </w:p>
    <w:p>
      <w:pPr>
        <w:pStyle w:val="0"/>
        <w:spacing w:line="0" w:lineRule="atLeast"/>
        <w:ind w:left="876" w:leftChars="300" w:right="224" w:rightChars="100" w:hanging="204" w:hangingChars="100"/>
        <w:rPr>
          <w:rFonts w:hint="default"/>
          <w:sz w:val="20"/>
        </w:rPr>
      </w:pPr>
      <w:r>
        <w:rPr>
          <w:rFonts w:hint="eastAsia"/>
          <w:sz w:val="20"/>
        </w:rPr>
        <w:t>・ペアレントトレーニング等プログラム実施者養成推進</w:t>
      </w:r>
    </w:p>
    <w:p>
      <w:pPr>
        <w:pStyle w:val="0"/>
        <w:spacing w:line="0" w:lineRule="atLeast"/>
        <w:ind w:left="876" w:leftChars="300" w:right="224" w:rightChars="100" w:hanging="204" w:hangingChars="100"/>
        <w:rPr>
          <w:rFonts w:hint="default"/>
          <w:sz w:val="20"/>
        </w:rPr>
      </w:pPr>
      <w:r>
        <w:rPr>
          <w:rFonts w:hint="eastAsia"/>
          <w:sz w:val="20"/>
        </w:rPr>
        <w:t>・発達障害者地域支援マネジャーによる困難事例に対する助言等の推進</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⑥地域における相談支援体制の充実強化</w:t>
      </w:r>
    </w:p>
    <w:p>
      <w:pPr>
        <w:pStyle w:val="0"/>
        <w:spacing w:line="0" w:lineRule="atLeast"/>
        <w:ind w:left="876" w:leftChars="300" w:right="224" w:rightChars="100" w:hanging="204" w:hangingChars="100"/>
        <w:rPr>
          <w:rFonts w:hint="default"/>
          <w:sz w:val="20"/>
        </w:rPr>
      </w:pPr>
      <w:r>
        <w:rPr>
          <w:rFonts w:hint="eastAsia"/>
          <w:sz w:val="20"/>
        </w:rPr>
        <w:t>・基幹相談支援センターの設置等の推進</w:t>
      </w:r>
    </w:p>
    <w:p>
      <w:pPr>
        <w:pStyle w:val="0"/>
        <w:spacing w:line="0" w:lineRule="atLeast"/>
        <w:ind w:left="876" w:leftChars="300" w:right="224" w:rightChars="100" w:hanging="204" w:hangingChars="100"/>
        <w:rPr>
          <w:rFonts w:hint="default"/>
          <w:sz w:val="20"/>
        </w:rPr>
      </w:pPr>
      <w:r>
        <w:rPr>
          <w:rFonts w:hint="eastAsia"/>
          <w:sz w:val="20"/>
        </w:rPr>
        <w:t>・協議会の活性化に向けた成果目標の新設</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⑦障害者等に対する虐待の防止</w:t>
      </w:r>
    </w:p>
    <w:p>
      <w:pPr>
        <w:pStyle w:val="0"/>
        <w:spacing w:line="0" w:lineRule="atLeast"/>
        <w:ind w:left="876" w:leftChars="300" w:right="224" w:rightChars="100" w:hanging="204" w:hangingChars="100"/>
        <w:rPr>
          <w:rFonts w:hint="default"/>
          <w:sz w:val="20"/>
        </w:rPr>
      </w:pPr>
      <w:r>
        <w:rPr>
          <w:rFonts w:hint="eastAsia"/>
          <w:sz w:val="20"/>
        </w:rPr>
        <w:t>・自治体による障害者虐待への組織的な対応の徹底</w:t>
      </w:r>
    </w:p>
    <w:p>
      <w:pPr>
        <w:pStyle w:val="0"/>
        <w:spacing w:line="0" w:lineRule="atLeast"/>
        <w:ind w:left="876" w:leftChars="300" w:right="224" w:rightChars="100" w:hanging="204" w:hangingChars="100"/>
        <w:rPr>
          <w:rFonts w:hint="default"/>
          <w:sz w:val="20"/>
        </w:rPr>
      </w:pPr>
      <w:r>
        <w:rPr>
          <w:rFonts w:hint="eastAsia"/>
          <w:sz w:val="20"/>
        </w:rPr>
        <w:t>・精神障害者に対する虐待の防止に係る記載の新設</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⑧「地域共生社会」の実現に向けた取組</w:t>
      </w:r>
    </w:p>
    <w:p>
      <w:pPr>
        <w:pStyle w:val="0"/>
        <w:spacing w:line="0" w:lineRule="atLeast"/>
        <w:ind w:left="876" w:leftChars="300" w:right="224" w:rightChars="100" w:hanging="204" w:hangingChars="100"/>
        <w:rPr>
          <w:rFonts w:hint="default"/>
          <w:spacing w:val="-6"/>
          <w:w w:val="98"/>
          <w:sz w:val="20"/>
        </w:rPr>
      </w:pPr>
      <w:r>
        <w:rPr>
          <w:rFonts w:hint="eastAsia"/>
          <w:sz w:val="20"/>
        </w:rPr>
        <w:t>・</w:t>
      </w:r>
      <w:r>
        <w:rPr>
          <w:rFonts w:hint="eastAsia"/>
          <w:spacing w:val="-6"/>
          <w:w w:val="98"/>
          <w:sz w:val="20"/>
        </w:rPr>
        <w:t>社会福祉法に基づく地域福祉計画等との連携や、市町村による包括的な支援体制の構築の推進に係る記載の新設</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⑨障害福祉サービスの質の確保</w:t>
      </w:r>
    </w:p>
    <w:p>
      <w:pPr>
        <w:pStyle w:val="0"/>
        <w:spacing w:line="0" w:lineRule="atLeast"/>
        <w:ind w:left="876" w:leftChars="300" w:right="224" w:rightChars="100" w:hanging="204" w:hangingChars="100"/>
        <w:rPr>
          <w:rFonts w:hint="default"/>
          <w:sz w:val="20"/>
        </w:rPr>
      </w:pPr>
      <w:r>
        <w:rPr>
          <w:rFonts w:hint="eastAsia"/>
          <w:sz w:val="20"/>
        </w:rPr>
        <w:t>・</w:t>
      </w:r>
      <w:r>
        <w:rPr>
          <w:rFonts w:hint="eastAsia"/>
          <w:spacing w:val="-6"/>
          <w:w w:val="98"/>
          <w:sz w:val="20"/>
        </w:rPr>
        <w:t>都道府県による相談支援専門員等への意思決定支援ガイドライン等を活用した研修等の実施を活動指標に追加</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⑩障害福祉人材の確保・定着</w:t>
      </w:r>
    </w:p>
    <w:p>
      <w:pPr>
        <w:pStyle w:val="0"/>
        <w:spacing w:line="0" w:lineRule="atLeast"/>
        <w:ind w:left="876" w:leftChars="300" w:right="224" w:rightChars="100" w:hanging="204" w:hangingChars="100"/>
        <w:rPr>
          <w:rFonts w:hint="default"/>
          <w:sz w:val="20"/>
        </w:rPr>
      </w:pPr>
      <w:r>
        <w:rPr>
          <w:rFonts w:hint="eastAsia"/>
          <w:sz w:val="20"/>
        </w:rPr>
        <w:t>・ＩＣＴの導入等による事務負担の軽減等に係る記載の新設</w:t>
      </w:r>
    </w:p>
    <w:p>
      <w:pPr>
        <w:pStyle w:val="0"/>
        <w:spacing w:line="0" w:lineRule="atLeast"/>
        <w:ind w:left="876" w:leftChars="300" w:right="224" w:rightChars="100" w:hanging="204" w:hangingChars="100"/>
        <w:rPr>
          <w:rFonts w:hint="default"/>
          <w:sz w:val="20"/>
        </w:rPr>
      </w:pPr>
      <w:r>
        <w:rPr>
          <w:rFonts w:hint="eastAsia"/>
          <w:sz w:val="20"/>
        </w:rPr>
        <w:t>・相談支援専門員及びサービス管理責任者等の研修修了者数等を活動指標に追加</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⑪よりきめ細かい地域ニーズを踏まえた障害</w:t>
      </w:r>
      <w:r>
        <w:rPr>
          <w:rFonts w:hint="eastAsia" w:ascii="ＭＳ ゴシック" w:hAnsi="ＭＳ ゴシック" w:eastAsia="ＭＳ ゴシック"/>
          <w:sz w:val="20"/>
          <w:u w:val="single" w:color="auto"/>
        </w:rPr>
        <w:t>(</w:t>
      </w:r>
      <w:r>
        <w:rPr>
          <w:rFonts w:hint="eastAsia" w:ascii="ＭＳ ゴシック" w:hAnsi="ＭＳ ゴシック" w:eastAsia="ＭＳ ゴシック"/>
          <w:sz w:val="20"/>
          <w:u w:val="single" w:color="auto"/>
        </w:rPr>
        <w:t>児</w:t>
      </w:r>
      <w:r>
        <w:rPr>
          <w:rFonts w:hint="eastAsia" w:ascii="ＭＳ ゴシック" w:hAnsi="ＭＳ ゴシック" w:eastAsia="ＭＳ ゴシック"/>
          <w:sz w:val="20"/>
          <w:u w:val="single" w:color="auto"/>
        </w:rPr>
        <w:t>)</w:t>
      </w:r>
      <w:r>
        <w:rPr>
          <w:rFonts w:hint="eastAsia" w:ascii="ＭＳ ゴシック" w:hAnsi="ＭＳ ゴシック" w:eastAsia="ＭＳ ゴシック"/>
          <w:sz w:val="20"/>
          <w:u w:val="single" w:color="auto"/>
        </w:rPr>
        <w:t>福祉計画の策定</w:t>
      </w:r>
    </w:p>
    <w:p>
      <w:pPr>
        <w:pStyle w:val="0"/>
        <w:spacing w:line="0" w:lineRule="atLeast"/>
        <w:ind w:left="876" w:leftChars="300" w:right="224" w:rightChars="100" w:hanging="204" w:hangingChars="100"/>
        <w:rPr>
          <w:rFonts w:hint="default"/>
          <w:sz w:val="20"/>
        </w:rPr>
      </w:pPr>
      <w:r>
        <w:rPr>
          <w:rFonts w:hint="eastAsia"/>
          <w:sz w:val="20"/>
        </w:rPr>
        <w:t>・障害福祉ＤＢの活用等による計画策定の推進</w:t>
      </w:r>
    </w:p>
    <w:p>
      <w:pPr>
        <w:pStyle w:val="0"/>
        <w:spacing w:line="0" w:lineRule="atLeast"/>
        <w:ind w:left="876" w:leftChars="300" w:right="224" w:rightChars="100" w:hanging="204" w:hangingChars="100"/>
        <w:rPr>
          <w:rFonts w:hint="default"/>
          <w:sz w:val="20"/>
        </w:rPr>
      </w:pPr>
      <w:r>
        <w:rPr>
          <w:rFonts w:hint="eastAsia"/>
          <w:sz w:val="20"/>
        </w:rPr>
        <w:t>・市町村内のより細かな地域単位や重度障害者等のニーズ把握の推進</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⑫障害者による情報の取得利用・意思疎通の推進</w:t>
      </w:r>
    </w:p>
    <w:p>
      <w:pPr>
        <w:pStyle w:val="0"/>
        <w:spacing w:line="0" w:lineRule="atLeast"/>
        <w:ind w:left="876" w:leftChars="300" w:right="224" w:rightChars="100" w:hanging="204" w:hangingChars="100"/>
        <w:rPr>
          <w:rFonts w:hint="default"/>
          <w:sz w:val="20"/>
        </w:rPr>
      </w:pPr>
      <w:r>
        <w:rPr>
          <w:rFonts w:hint="eastAsia"/>
          <w:sz w:val="20"/>
        </w:rPr>
        <w:t>・障害特性に配慮した意思疎通支援や支援者の養成等の促進に係る記載の新設</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⑬障害者総合支援法に基づく難病患者への支援の明確化</w:t>
      </w:r>
    </w:p>
    <w:p>
      <w:pPr>
        <w:pStyle w:val="0"/>
        <w:spacing w:line="0" w:lineRule="atLeast"/>
        <w:ind w:left="876" w:leftChars="300" w:right="224" w:rightChars="100" w:hanging="204" w:hangingChars="100"/>
        <w:rPr>
          <w:rFonts w:hint="default"/>
          <w:sz w:val="20"/>
        </w:rPr>
      </w:pPr>
      <w:r>
        <w:rPr>
          <w:rFonts w:hint="eastAsia"/>
          <w:sz w:val="20"/>
        </w:rPr>
        <w:t>・障害福祉計画等の策定時における難病患者、難病相談支援センター等からの意見の尊重</w:t>
      </w:r>
    </w:p>
    <w:p>
      <w:pPr>
        <w:pStyle w:val="0"/>
        <w:spacing w:line="0" w:lineRule="atLeast"/>
        <w:ind w:left="876" w:leftChars="300" w:right="224" w:rightChars="100" w:hanging="204" w:hangingChars="100"/>
        <w:rPr>
          <w:rFonts w:hint="default"/>
          <w:sz w:val="20"/>
        </w:rPr>
      </w:pPr>
      <w:r>
        <w:rPr>
          <w:rFonts w:hint="eastAsia"/>
          <w:sz w:val="20"/>
        </w:rPr>
        <w:t>・支援ニーズの把握及び特性に配慮した支援体制の整備</w:t>
      </w:r>
    </w:p>
    <w:p>
      <w:pPr>
        <w:pStyle w:val="0"/>
        <w:spacing w:line="0" w:lineRule="atLeast"/>
        <w:ind w:left="816" w:leftChars="300" w:right="224" w:rightChars="100" w:hanging="144" w:hangingChars="100"/>
        <w:rPr>
          <w:rFonts w:hint="default"/>
          <w:sz w:val="14"/>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⑭その他：地方分権提案に対する対応</w:t>
      </w:r>
    </w:p>
    <w:p>
      <w:pPr>
        <w:pStyle w:val="0"/>
        <w:spacing w:line="0" w:lineRule="atLeast"/>
        <w:ind w:left="876" w:leftChars="300" w:right="224" w:rightChars="100" w:hanging="204" w:hangingChars="100"/>
        <w:rPr>
          <w:rFonts w:hint="default"/>
          <w:sz w:val="20"/>
        </w:rPr>
      </w:pPr>
      <w:r>
        <w:rPr>
          <w:rFonts w:hint="eastAsia"/>
          <w:sz w:val="20"/>
        </w:rPr>
        <w:t>・計画期間の柔軟化</w:t>
      </w:r>
    </w:p>
    <w:p>
      <w:pPr>
        <w:pStyle w:val="0"/>
        <w:spacing w:line="0" w:lineRule="atLeast"/>
        <w:ind w:left="876" w:leftChars="300" w:right="224" w:rightChars="100" w:hanging="204" w:hangingChars="100"/>
        <w:rPr>
          <w:rFonts w:hint="default"/>
        </w:rPr>
      </w:pPr>
      <w:r>
        <w:rPr>
          <w:rFonts w:hint="eastAsia"/>
          <w:sz w:val="20"/>
        </w:rPr>
        <w:t>・サービスの見込量以外の活動指標の策定を任意化</w:t>
      </w:r>
      <w:r>
        <w:rPr>
          <w:rFonts w:hint="default"/>
        </w:rPr>
        <w:br w:type="page"/>
      </w:r>
    </w:p>
    <w:p>
      <w:pPr>
        <w:pStyle w:val="0"/>
        <w:widowControl w:val="1"/>
        <w:jc w:val="left"/>
        <w:rPr>
          <w:rFonts w:hint="default" w:ascii="Segoe UI Symbol" w:hAnsi="Segoe UI Symbol" w:eastAsia="HG丸ｺﾞｼｯｸM-PRO"/>
        </w:rPr>
      </w:pPr>
      <w:r>
        <w:rPr>
          <w:rFonts w:hint="eastAsia" w:ascii="Segoe UI Symbol" w:hAnsi="Segoe UI Symbol" w:eastAsia="HG丸ｺﾞｼｯｸM-PRO"/>
        </w:rPr>
        <w:t>【参考資料】第７期障害福祉計画・第３期障害児福祉計画の成果目標</w:t>
      </w:r>
    </w:p>
    <w:p>
      <w:pPr>
        <w:pStyle w:val="0"/>
        <w:rPr>
          <w:rFonts w:hint="default"/>
        </w:rPr>
      </w:pPr>
      <w:r>
        <w:rPr>
          <w:rFonts w:hint="default"/>
        </w:rPr>
        <mc:AlternateContent>
          <mc:Choice Requires="wps">
            <w:drawing>
              <wp:anchor distT="0" distB="0" distL="114300" distR="114300" simplePos="0" relativeHeight="263" behindDoc="0" locked="0" layoutInCell="1" hidden="0" allowOverlap="1">
                <wp:simplePos x="0" y="0"/>
                <wp:positionH relativeFrom="column">
                  <wp:posOffset>128270</wp:posOffset>
                </wp:positionH>
                <wp:positionV relativeFrom="paragraph">
                  <wp:posOffset>55880</wp:posOffset>
                </wp:positionV>
                <wp:extent cx="5984875" cy="7257415"/>
                <wp:effectExtent l="635" t="635" r="29845" b="10795"/>
                <wp:wrapNone/>
                <wp:docPr id="1082" name="正方形/長方形 2"/>
                <a:graphic xmlns:a="http://schemas.openxmlformats.org/drawingml/2006/main">
                  <a:graphicData uri="http://schemas.microsoft.com/office/word/2010/wordprocessingShape">
                    <wps:wsp>
                      <wps:cNvPr id="1082" name="正方形/長方形 2"/>
                      <wps:cNvSpPr/>
                      <wps:spPr>
                        <a:xfrm>
                          <a:off x="0" y="0"/>
                          <a:ext cx="5984875" cy="7257415"/>
                        </a:xfrm>
                        <a:prstGeom prst="rect">
                          <a:avLst/>
                        </a:pr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 style="mso-wrap-distance-right:9pt;mso-wrap-distance-bottom:0pt;margin-top:4.4000000000000004pt;mso-position-vertical-relative:text;mso-position-horizontal-relative:text;position:absolute;height:571.45000000000005pt;mso-wrap-distance-top:0pt;width:471.25pt;mso-wrap-distance-left:9pt;margin-left:10.1pt;z-index:263;" o:spid="_x0000_s1082" o:allowincell="t" o:allowoverlap="t" filled="f" stroked="t" strokecolor="#548235 [2409]" strokeweight="1.5pt" o:spt="1">
                <v:fill/>
                <v:stroke linestyle="single" miterlimit="8" endcap="flat" dashstyle="solid" filltype="solid"/>
                <v:textbox style="layout-flow:horizontal;"/>
                <v:imagedata o:title=""/>
                <w10:wrap type="none" anchorx="text" anchory="text"/>
              </v:rect>
            </w:pict>
          </mc:Fallback>
        </mc:AlternateContent>
      </w: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①施設入所者の地域生活への移行</w:t>
      </w:r>
    </w:p>
    <w:p>
      <w:pPr>
        <w:pStyle w:val="0"/>
        <w:spacing w:line="0" w:lineRule="atLeast"/>
        <w:ind w:left="876" w:leftChars="300" w:right="224" w:rightChars="100" w:hanging="204" w:hangingChars="100"/>
        <w:rPr>
          <w:rFonts w:hint="default"/>
          <w:sz w:val="20"/>
        </w:rPr>
      </w:pPr>
      <w:r>
        <w:rPr>
          <w:rFonts w:hint="eastAsia"/>
          <w:sz w:val="20"/>
        </w:rPr>
        <w:t>・地域移行者数：令和４年度末施設入所者数の６％以上</w:t>
      </w:r>
    </w:p>
    <w:p>
      <w:pPr>
        <w:pStyle w:val="0"/>
        <w:spacing w:line="0" w:lineRule="atLeast"/>
        <w:ind w:left="876" w:leftChars="300" w:right="224" w:rightChars="100" w:hanging="204" w:hangingChars="100"/>
        <w:rPr>
          <w:rFonts w:hint="default"/>
          <w:sz w:val="20"/>
        </w:rPr>
      </w:pPr>
      <w:r>
        <w:rPr>
          <w:rFonts w:hint="eastAsia"/>
          <w:sz w:val="20"/>
        </w:rPr>
        <w:t>・施設入所者数：令和４年度末の５％以上削減</w:t>
      </w:r>
    </w:p>
    <w:p>
      <w:pPr>
        <w:pStyle w:val="0"/>
        <w:spacing w:line="0" w:lineRule="atLeast"/>
        <w:ind w:left="876" w:leftChars="300" w:right="224" w:rightChars="100" w:hanging="204" w:hangingChars="100"/>
        <w:rPr>
          <w:rFonts w:hint="default"/>
          <w:sz w:val="20"/>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②精神障害にも対応した地域包括ケアシステムの構築</w:t>
      </w:r>
    </w:p>
    <w:p>
      <w:pPr>
        <w:pStyle w:val="0"/>
        <w:spacing w:line="0" w:lineRule="atLeast"/>
        <w:ind w:left="876" w:leftChars="300" w:right="224" w:rightChars="100" w:hanging="204" w:hangingChars="100"/>
        <w:rPr>
          <w:rFonts w:hint="default"/>
          <w:sz w:val="20"/>
        </w:rPr>
      </w:pPr>
      <w:r>
        <w:rPr>
          <w:rFonts w:hint="eastAsia"/>
          <w:sz w:val="20"/>
        </w:rPr>
        <w:t>・精神障害者の精神病床から退院後１年以内の地域における平均生活日数：</w:t>
      </w:r>
      <w:r>
        <w:rPr>
          <w:rFonts w:hint="eastAsia"/>
          <w:sz w:val="20"/>
        </w:rPr>
        <w:t>325.3</w:t>
      </w:r>
      <w:r>
        <w:rPr>
          <w:rFonts w:hint="eastAsia"/>
          <w:sz w:val="20"/>
        </w:rPr>
        <w:t>日以上</w:t>
      </w:r>
    </w:p>
    <w:p>
      <w:pPr>
        <w:pStyle w:val="0"/>
        <w:spacing w:line="0" w:lineRule="atLeast"/>
        <w:ind w:left="876" w:leftChars="300" w:right="224" w:rightChars="100" w:hanging="204" w:hangingChars="100"/>
        <w:rPr>
          <w:rFonts w:hint="default"/>
          <w:sz w:val="20"/>
        </w:rPr>
      </w:pPr>
      <w:r>
        <w:rPr>
          <w:rFonts w:hint="eastAsia"/>
          <w:sz w:val="20"/>
        </w:rPr>
        <w:t>・精神病床における１年以上入院患者数</w:t>
      </w:r>
    </w:p>
    <w:p>
      <w:pPr>
        <w:pStyle w:val="0"/>
        <w:spacing w:line="0" w:lineRule="atLeast"/>
        <w:ind w:left="876" w:leftChars="300" w:right="224" w:rightChars="100" w:hanging="204" w:hangingChars="100"/>
        <w:rPr>
          <w:rFonts w:hint="default"/>
          <w:sz w:val="20"/>
        </w:rPr>
      </w:pPr>
      <w:r>
        <w:rPr>
          <w:rFonts w:hint="eastAsia"/>
          <w:sz w:val="20"/>
        </w:rPr>
        <w:t>・精神病床における早期退院率：３か月後</w:t>
      </w:r>
      <w:r>
        <w:rPr>
          <w:rFonts w:hint="eastAsia"/>
          <w:sz w:val="20"/>
        </w:rPr>
        <w:t>68.9</w:t>
      </w:r>
      <w:r>
        <w:rPr>
          <w:rFonts w:hint="eastAsia"/>
          <w:sz w:val="20"/>
        </w:rPr>
        <w:t>％以上、６か月後</w:t>
      </w:r>
      <w:r>
        <w:rPr>
          <w:rFonts w:hint="eastAsia"/>
          <w:sz w:val="20"/>
        </w:rPr>
        <w:t>84.5</w:t>
      </w:r>
      <w:r>
        <w:rPr>
          <w:rFonts w:hint="eastAsia"/>
          <w:sz w:val="20"/>
        </w:rPr>
        <w:t>％以上、１年後</w:t>
      </w:r>
      <w:r>
        <w:rPr>
          <w:rFonts w:hint="eastAsia"/>
          <w:sz w:val="20"/>
        </w:rPr>
        <w:t>91.0</w:t>
      </w:r>
      <w:r>
        <w:rPr>
          <w:rFonts w:hint="eastAsia"/>
          <w:sz w:val="20"/>
        </w:rPr>
        <w:t>％以上</w:t>
      </w:r>
    </w:p>
    <w:p>
      <w:pPr>
        <w:pStyle w:val="0"/>
        <w:spacing w:line="0" w:lineRule="atLeast"/>
        <w:ind w:left="876" w:leftChars="300" w:right="224" w:rightChars="100" w:hanging="204" w:hangingChars="100"/>
        <w:rPr>
          <w:rFonts w:hint="default"/>
          <w:sz w:val="20"/>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③地域生活支援の充実</w:t>
      </w:r>
    </w:p>
    <w:p>
      <w:pPr>
        <w:pStyle w:val="0"/>
        <w:spacing w:line="0" w:lineRule="atLeast"/>
        <w:ind w:left="876" w:leftChars="300" w:right="224" w:rightChars="100" w:hanging="204" w:hangingChars="100"/>
        <w:rPr>
          <w:rFonts w:hint="default"/>
          <w:sz w:val="20"/>
        </w:rPr>
      </w:pPr>
      <w:r>
        <w:rPr>
          <w:rFonts w:hint="eastAsia"/>
          <w:sz w:val="20"/>
        </w:rPr>
        <w:t>・各市町村において地域生活支援拠点等を整備するとともに、コーディネーターの配置などによる効果的な支援体制及び緊急時の連絡体制の構築を進め、また、年１回以上、支援の実績等を踏まえ運用状況の検証・検討を行うこと</w:t>
      </w:r>
    </w:p>
    <w:p>
      <w:pPr>
        <w:pStyle w:val="0"/>
        <w:spacing w:line="0" w:lineRule="atLeast"/>
        <w:ind w:left="876" w:leftChars="300" w:right="224" w:rightChars="100" w:hanging="204" w:hangingChars="100"/>
        <w:rPr>
          <w:rFonts w:hint="default"/>
          <w:sz w:val="20"/>
        </w:rPr>
      </w:pPr>
      <w:r>
        <w:rPr>
          <w:rFonts w:hint="eastAsia"/>
          <w:sz w:val="20"/>
        </w:rPr>
        <w:t>・強度行動障害を有する者に関し、各市町村又は圏域において支援ニーズを把握し、支援体制の整備を進めること【新規】</w:t>
      </w:r>
    </w:p>
    <w:p>
      <w:pPr>
        <w:pStyle w:val="0"/>
        <w:spacing w:line="0" w:lineRule="atLeast"/>
        <w:ind w:left="876" w:leftChars="300" w:right="224" w:rightChars="100" w:hanging="204" w:hangingChars="100"/>
        <w:rPr>
          <w:rFonts w:hint="default"/>
          <w:sz w:val="20"/>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④福祉施設から一般就労への移行等</w:t>
      </w:r>
    </w:p>
    <w:p>
      <w:pPr>
        <w:pStyle w:val="0"/>
        <w:spacing w:line="0" w:lineRule="atLeast"/>
        <w:ind w:left="876" w:leftChars="300" w:right="224" w:rightChars="100" w:hanging="204" w:hangingChars="100"/>
        <w:rPr>
          <w:rFonts w:hint="default"/>
          <w:sz w:val="20"/>
        </w:rPr>
      </w:pPr>
      <w:r>
        <w:rPr>
          <w:rFonts w:hint="eastAsia"/>
          <w:sz w:val="20"/>
        </w:rPr>
        <w:t>・一般就労への移行者数：令和３年度実績の</w:t>
      </w:r>
      <w:r>
        <w:rPr>
          <w:rFonts w:hint="eastAsia"/>
          <w:sz w:val="20"/>
        </w:rPr>
        <w:t>1.28</w:t>
      </w:r>
      <w:r>
        <w:rPr>
          <w:rFonts w:hint="eastAsia"/>
          <w:sz w:val="20"/>
        </w:rPr>
        <w:t>倍以上</w:t>
      </w:r>
    </w:p>
    <w:p>
      <w:pPr>
        <w:pStyle w:val="0"/>
        <w:spacing w:line="0" w:lineRule="atLeast"/>
        <w:ind w:left="876" w:leftChars="300" w:right="224" w:rightChars="100" w:hanging="204" w:hangingChars="100"/>
        <w:rPr>
          <w:rFonts w:hint="default"/>
          <w:sz w:val="20"/>
        </w:rPr>
      </w:pPr>
      <w:r>
        <w:rPr>
          <w:rFonts w:hint="eastAsia"/>
          <w:sz w:val="20"/>
        </w:rPr>
        <w:t>・就労移行支援事業利用終了者に占める一般就労へ移行した者の割合が５割以上の事業所：就労移行支援事業所の５割以上【新規】</w:t>
      </w:r>
    </w:p>
    <w:p>
      <w:pPr>
        <w:pStyle w:val="0"/>
        <w:spacing w:line="0" w:lineRule="atLeast"/>
        <w:ind w:left="876" w:leftChars="300" w:right="224" w:rightChars="100" w:hanging="204" w:hangingChars="100"/>
        <w:rPr>
          <w:rFonts w:hint="default"/>
          <w:sz w:val="20"/>
        </w:rPr>
      </w:pPr>
      <w:r>
        <w:rPr>
          <w:rFonts w:hint="eastAsia"/>
          <w:sz w:val="20"/>
        </w:rPr>
        <w:t>・各都道府県は地域の就労支援ネットワークの強化、関係機関の連携した支援体制を構築するため、協議会を活用して推進【新規】</w:t>
      </w:r>
    </w:p>
    <w:p>
      <w:pPr>
        <w:pStyle w:val="0"/>
        <w:spacing w:line="0" w:lineRule="atLeast"/>
        <w:ind w:left="876" w:leftChars="300" w:right="224" w:rightChars="100" w:hanging="204" w:hangingChars="100"/>
        <w:rPr>
          <w:rFonts w:hint="default"/>
          <w:sz w:val="20"/>
        </w:rPr>
      </w:pPr>
      <w:r>
        <w:rPr>
          <w:rFonts w:hint="eastAsia"/>
          <w:sz w:val="20"/>
        </w:rPr>
        <w:t>・就労定着支援事業の利用者数：令和３年度末実績の</w:t>
      </w:r>
      <w:r>
        <w:rPr>
          <w:rFonts w:hint="eastAsia"/>
          <w:sz w:val="20"/>
        </w:rPr>
        <w:t>1.41</w:t>
      </w:r>
      <w:r>
        <w:rPr>
          <w:rFonts w:hint="eastAsia"/>
          <w:sz w:val="20"/>
        </w:rPr>
        <w:t>倍以上</w:t>
      </w:r>
    </w:p>
    <w:p>
      <w:pPr>
        <w:pStyle w:val="0"/>
        <w:spacing w:line="0" w:lineRule="atLeast"/>
        <w:ind w:left="876" w:leftChars="300" w:right="224" w:rightChars="100" w:hanging="204" w:hangingChars="100"/>
        <w:rPr>
          <w:rFonts w:hint="default"/>
          <w:sz w:val="20"/>
        </w:rPr>
      </w:pPr>
      <w:r>
        <w:rPr>
          <w:rFonts w:hint="eastAsia"/>
          <w:sz w:val="20"/>
        </w:rPr>
        <w:t>・就労定着支援事業利用終了後一定期間の就労定着率が７割以上となる就労定着支援事業所の割合：２割５分以上</w:t>
      </w:r>
    </w:p>
    <w:p>
      <w:pPr>
        <w:pStyle w:val="0"/>
        <w:spacing w:line="0" w:lineRule="atLeast"/>
        <w:ind w:left="876" w:leftChars="300" w:right="224" w:rightChars="100" w:hanging="204" w:hangingChars="100"/>
        <w:rPr>
          <w:rFonts w:hint="default"/>
          <w:sz w:val="20"/>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⑤障害児支援の提供体制の整備等</w:t>
      </w:r>
    </w:p>
    <w:p>
      <w:pPr>
        <w:pStyle w:val="0"/>
        <w:spacing w:line="0" w:lineRule="atLeast"/>
        <w:ind w:left="876" w:leftChars="300" w:right="224" w:rightChars="100" w:hanging="204" w:hangingChars="100"/>
        <w:rPr>
          <w:rFonts w:hint="default"/>
          <w:sz w:val="20"/>
        </w:rPr>
      </w:pPr>
      <w:r>
        <w:rPr>
          <w:rFonts w:hint="eastAsia"/>
          <w:sz w:val="20"/>
        </w:rPr>
        <w:t>・児童発達支援センターの設置：各市町村又は各圏域に１か所以上</w:t>
      </w:r>
    </w:p>
    <w:p>
      <w:pPr>
        <w:pStyle w:val="0"/>
        <w:spacing w:line="0" w:lineRule="atLeast"/>
        <w:ind w:left="876" w:leftChars="300" w:right="224" w:rightChars="100" w:hanging="204" w:hangingChars="100"/>
        <w:rPr>
          <w:rFonts w:hint="default"/>
          <w:sz w:val="20"/>
        </w:rPr>
      </w:pPr>
      <w:r>
        <w:rPr>
          <w:rFonts w:hint="eastAsia"/>
          <w:sz w:val="20"/>
        </w:rPr>
        <w:t>・全市町村において、障害児の地域社会への参加・包容の</w:t>
      </w:r>
      <w:r>
        <w:rPr>
          <w:rFonts w:hint="default"/>
          <w:sz w:val="20"/>
        </w:rPr>
        <w:t>(</w:t>
      </w:r>
      <w:r>
        <w:rPr>
          <w:rFonts w:hint="eastAsia"/>
          <w:sz w:val="20"/>
        </w:rPr>
        <w:t>インクルージョン</w:t>
      </w:r>
      <w:r>
        <w:rPr>
          <w:rFonts w:hint="default"/>
          <w:sz w:val="20"/>
        </w:rPr>
        <w:t>)</w:t>
      </w:r>
      <w:r>
        <w:rPr>
          <w:rFonts w:hint="eastAsia"/>
          <w:sz w:val="20"/>
        </w:rPr>
        <w:t>推進体制の構築</w:t>
      </w:r>
    </w:p>
    <w:p>
      <w:pPr>
        <w:pStyle w:val="0"/>
        <w:spacing w:line="0" w:lineRule="atLeast"/>
        <w:ind w:left="876" w:leftChars="300" w:right="224" w:rightChars="100" w:hanging="204" w:hangingChars="100"/>
        <w:rPr>
          <w:rFonts w:hint="default"/>
          <w:sz w:val="20"/>
        </w:rPr>
      </w:pPr>
      <w:r>
        <w:rPr>
          <w:rFonts w:hint="eastAsia"/>
          <w:sz w:val="20"/>
        </w:rPr>
        <w:t>・各都道府県は難聴児支援を総合的に推進するための計画を策定するとともに、各都道府県及び必要に応じて政令市は、難聴児支援の中核的機能を果たす体制を構築</w:t>
      </w:r>
    </w:p>
    <w:p>
      <w:pPr>
        <w:pStyle w:val="0"/>
        <w:spacing w:line="0" w:lineRule="atLeast"/>
        <w:ind w:left="876" w:leftChars="300" w:right="224" w:rightChars="100" w:hanging="204" w:hangingChars="100"/>
        <w:rPr>
          <w:rFonts w:hint="default"/>
          <w:sz w:val="20"/>
        </w:rPr>
      </w:pPr>
      <w:r>
        <w:rPr>
          <w:rFonts w:hint="eastAsia"/>
          <w:sz w:val="20"/>
        </w:rPr>
        <w:t>・重症心身障害児を支援する児童発達支援事業所等：各市町村又は圏域に１か所以上</w:t>
      </w:r>
    </w:p>
    <w:p>
      <w:pPr>
        <w:pStyle w:val="0"/>
        <w:spacing w:line="0" w:lineRule="atLeast"/>
        <w:ind w:left="876" w:leftChars="300" w:right="224" w:rightChars="100" w:hanging="204" w:hangingChars="100"/>
        <w:rPr>
          <w:rFonts w:hint="default"/>
          <w:sz w:val="20"/>
        </w:rPr>
      </w:pPr>
      <w:r>
        <w:rPr>
          <w:rFonts w:hint="eastAsia"/>
          <w:sz w:val="20"/>
        </w:rPr>
        <w:t>・各都道府県は医療的ケア児支援センターを設置【新規】</w:t>
      </w:r>
    </w:p>
    <w:p>
      <w:pPr>
        <w:pStyle w:val="0"/>
        <w:spacing w:line="0" w:lineRule="atLeast"/>
        <w:ind w:left="876" w:leftChars="300" w:right="224" w:rightChars="100" w:hanging="204" w:hangingChars="100"/>
        <w:rPr>
          <w:rFonts w:hint="default"/>
          <w:sz w:val="20"/>
        </w:rPr>
      </w:pPr>
      <w:r>
        <w:rPr>
          <w:rFonts w:hint="eastAsia"/>
          <w:sz w:val="20"/>
        </w:rPr>
        <w:t>・</w:t>
      </w:r>
      <w:r>
        <w:rPr>
          <w:rFonts w:hint="eastAsia"/>
          <w:spacing w:val="-4"/>
          <w:sz w:val="20"/>
        </w:rPr>
        <w:t>各都道府県及び各政令市において、障害児入所施設からの移行調整に係る協議の場を設置【新規】</w:t>
      </w:r>
    </w:p>
    <w:p>
      <w:pPr>
        <w:pStyle w:val="0"/>
        <w:spacing w:line="0" w:lineRule="atLeast"/>
        <w:ind w:left="876" w:leftChars="300" w:right="224" w:rightChars="100" w:hanging="204" w:hangingChars="100"/>
        <w:rPr>
          <w:rFonts w:hint="default"/>
          <w:sz w:val="20"/>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⑥相談支援体制の充実・強化等</w:t>
      </w:r>
    </w:p>
    <w:p>
      <w:pPr>
        <w:pStyle w:val="0"/>
        <w:spacing w:line="0" w:lineRule="atLeast"/>
        <w:ind w:left="876" w:leftChars="300" w:right="224" w:rightChars="100" w:hanging="204" w:hangingChars="100"/>
        <w:rPr>
          <w:rFonts w:hint="default"/>
          <w:sz w:val="20"/>
        </w:rPr>
      </w:pPr>
      <w:r>
        <w:rPr>
          <w:rFonts w:hint="eastAsia"/>
          <w:sz w:val="20"/>
        </w:rPr>
        <w:t>・各市町村において、基幹相談支援センターを設置等</w:t>
      </w:r>
    </w:p>
    <w:p>
      <w:pPr>
        <w:pStyle w:val="0"/>
        <w:spacing w:line="0" w:lineRule="atLeast"/>
        <w:ind w:left="876" w:leftChars="300" w:right="224" w:rightChars="100" w:hanging="204" w:hangingChars="100"/>
        <w:rPr>
          <w:rFonts w:hint="default"/>
          <w:sz w:val="20"/>
        </w:rPr>
      </w:pPr>
      <w:r>
        <w:rPr>
          <w:rFonts w:hint="eastAsia"/>
          <w:sz w:val="20"/>
        </w:rPr>
        <w:t>・協議会における個別事例の検討を通じた地域サービス基盤の開発・改善等【新規】</w:t>
      </w:r>
    </w:p>
    <w:p>
      <w:pPr>
        <w:pStyle w:val="0"/>
        <w:spacing w:line="0" w:lineRule="atLeast"/>
        <w:ind w:left="876" w:leftChars="300" w:right="224" w:rightChars="100" w:hanging="204" w:hangingChars="100"/>
        <w:rPr>
          <w:rFonts w:hint="default"/>
          <w:sz w:val="20"/>
        </w:rPr>
      </w:pPr>
    </w:p>
    <w:p>
      <w:pPr>
        <w:pStyle w:val="0"/>
        <w:spacing w:line="0" w:lineRule="atLeast"/>
        <w:ind w:left="652" w:leftChars="200" w:right="224" w:rightChars="100" w:hanging="204" w:hanging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⑦障害福祉サービス等の質を向上させるための取組に係る体制の構築</w:t>
      </w:r>
    </w:p>
    <w:p>
      <w:pPr>
        <w:pStyle w:val="0"/>
        <w:spacing w:line="0" w:lineRule="atLeast"/>
        <w:ind w:left="876" w:leftChars="300" w:right="224" w:rightChars="100" w:hanging="204" w:hangingChars="100"/>
        <w:rPr>
          <w:rFonts w:hint="default"/>
          <w:sz w:val="20"/>
        </w:rPr>
      </w:pPr>
      <w:r>
        <w:rPr>
          <w:rFonts w:hint="eastAsia"/>
          <w:sz w:val="20"/>
        </w:rPr>
        <w:t>・各都道府県及び各市町村において、サービスの質向上のための体制を構築</w:t>
      </w:r>
    </w:p>
    <w:p>
      <w:pPr>
        <w:pStyle w:val="0"/>
        <w:spacing w:line="0" w:lineRule="atLeast"/>
        <w:ind w:left="876" w:leftChars="300" w:right="224" w:rightChars="100" w:hanging="204" w:hangingChars="100"/>
        <w:rPr>
          <w:rFonts w:hint="default"/>
          <w:sz w:val="20"/>
        </w:rPr>
      </w:pPr>
    </w:p>
    <w:p>
      <w:pPr>
        <w:pStyle w:val="0"/>
        <w:widowControl w:val="1"/>
        <w:jc w:val="left"/>
        <w:rPr>
          <w:rFonts w:hint="default" w:asciiTheme="majorEastAsia" w:hAnsiTheme="majorEastAsia" w:eastAsiaTheme="majorEastAsia"/>
          <w:sz w:val="24"/>
        </w:rPr>
      </w:pPr>
      <w:r>
        <w:rPr>
          <w:rFonts w:hint="default" w:asciiTheme="majorEastAsia" w:hAnsiTheme="majorEastAsia" w:eastAsiaTheme="majorEastAsia"/>
          <w:sz w:val="24"/>
        </w:rPr>
        <w:br w:type="page"/>
      </w:r>
    </w:p>
    <w:p>
      <w:pPr>
        <w:pStyle w:val="0"/>
        <w:widowControl w:val="1"/>
        <w:jc w:val="left"/>
        <w:rPr>
          <w:rFonts w:hint="default" w:ascii="Segoe UI Symbol" w:hAnsi="Segoe UI Symbol" w:eastAsia="HG丸ｺﾞｼｯｸM-PRO"/>
        </w:rPr>
      </w:pPr>
      <w:r>
        <w:rPr>
          <w:rFonts w:hint="eastAsia" w:ascii="Segoe UI Symbol" w:hAnsi="Segoe UI Symbol" w:eastAsia="HG丸ｺﾞｼｯｸM-PRO"/>
        </w:rPr>
        <w:t>【参考資料】第７期障害福祉計画・第３期障害児福祉計画の活動指標</w:t>
      </w:r>
    </w:p>
    <w:p>
      <w:pPr>
        <w:pStyle w:val="0"/>
        <w:spacing w:line="0" w:lineRule="atLeast"/>
        <w:ind w:left="164" w:hanging="164" w:hangingChars="100"/>
        <w:rPr>
          <w:rFonts w:hint="default" w:ascii="ＭＳ ゴシック" w:hAnsi="ＭＳ ゴシック" w:eastAsia="ＭＳ ゴシック"/>
          <w:spacing w:val="-2"/>
          <w:w w:val="90"/>
          <w:sz w:val="16"/>
          <w:u w:val="single" w:color="auto"/>
        </w:rPr>
      </w:pPr>
      <w:r>
        <w:rPr>
          <w:rFonts w:hint="default"/>
          <w:sz w:val="16"/>
        </w:rPr>
        <mc:AlternateContent>
          <mc:Choice Requires="wps">
            <w:drawing>
              <wp:anchor distT="0" distB="0" distL="114300" distR="114300" simplePos="0" relativeHeight="264" behindDoc="0" locked="0" layoutInCell="1" hidden="0" allowOverlap="1">
                <wp:simplePos x="0" y="0"/>
                <wp:positionH relativeFrom="column">
                  <wp:posOffset>130175</wp:posOffset>
                </wp:positionH>
                <wp:positionV relativeFrom="paragraph">
                  <wp:posOffset>54610</wp:posOffset>
                </wp:positionV>
                <wp:extent cx="5984875" cy="8711565"/>
                <wp:effectExtent l="635" t="635" r="29845" b="10795"/>
                <wp:wrapNone/>
                <wp:docPr id="1083" name="正方形/長方形 2"/>
                <a:graphic xmlns:a="http://schemas.openxmlformats.org/drawingml/2006/main">
                  <a:graphicData uri="http://schemas.microsoft.com/office/word/2010/wordprocessingShape">
                    <wps:wsp>
                      <wps:cNvPr id="1083" name="正方形/長方形 2"/>
                      <wps:cNvSpPr/>
                      <wps:spPr>
                        <a:xfrm>
                          <a:off x="0" y="0"/>
                          <a:ext cx="5984875" cy="8711565"/>
                        </a:xfrm>
                        <a:prstGeom prst="rect">
                          <a:avLst/>
                        </a:pr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 style="mso-wrap-distance-right:9pt;mso-wrap-distance-bottom:0pt;margin-top:4.3pt;mso-position-vertical-relative:text;mso-position-horizontal-relative:text;position:absolute;height:685.95pt;mso-wrap-distance-top:0pt;width:471.25pt;mso-wrap-distance-left:9pt;margin-left:10.25pt;z-index:264;" o:spid="_x0000_s1083" o:allowincell="t" o:allowoverlap="t" filled="f" stroked="t" strokecolor="#548235 [2409]" strokeweight="1.5pt" o:spt="1">
                <v:fill/>
                <v:stroke linestyle="single" miterlimit="8" endcap="flat" dashstyle="solid" filltype="solid"/>
                <v:textbox style="layout-flow:horizontal;"/>
                <v:imagedata o:title=""/>
                <w10:wrap type="none" anchorx="text" anchory="text"/>
              </v:rect>
            </w:pict>
          </mc:Fallback>
        </mc:AlternateContent>
      </w:r>
    </w:p>
    <w:tbl>
      <w:tblPr>
        <w:tblStyle w:val="281"/>
        <w:tblW w:w="9214"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57" w:type="dxa"/>
          <w:right w:w="57" w:type="dxa"/>
        </w:tblCellMar>
        <w:tblLook w:firstRow="1" w:lastRow="0" w:firstColumn="1" w:lastColumn="0" w:noHBand="0" w:noVBand="1" w:val="04A0"/>
      </w:tblPr>
      <w:tblGrid>
        <w:gridCol w:w="997"/>
        <w:gridCol w:w="8217"/>
      </w:tblGrid>
      <w:tr>
        <w:trPr/>
        <w:tc>
          <w:tcPr>
            <w:tcW w:w="9214" w:type="dxa"/>
            <w:gridSpan w:val="2"/>
            <w:tcMar>
              <w:top w:w="17" w:type="dxa"/>
              <w:bottom w:w="17" w:type="dxa"/>
            </w:tcMar>
            <w:vAlign w:val="top"/>
          </w:tcPr>
          <w:p>
            <w:pPr>
              <w:pStyle w:val="0"/>
              <w:spacing w:line="0" w:lineRule="atLeast"/>
              <w:ind w:right="224" w:right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①施設入所者の地域生活への移行等</w:t>
            </w:r>
          </w:p>
        </w:tc>
      </w:tr>
      <w:tr>
        <w:trPr/>
        <w:tc>
          <w:tcPr>
            <w:tcW w:w="997" w:type="dxa"/>
            <w:tcMar>
              <w:top w:w="17" w:type="dxa"/>
              <w:bottom w:w="17" w:type="dxa"/>
            </w:tcMar>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p>
          <w:p>
            <w:pPr>
              <w:pStyle w:val="0"/>
              <w:spacing w:line="0" w:lineRule="atLeast"/>
              <w:ind w:left="176" w:hanging="176" w:hangingChars="100"/>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 xml:space="preserve"> </w:t>
            </w:r>
            <w:r>
              <w:rPr>
                <w:rFonts w:hint="default" w:ascii="ＭＳ ゴシック" w:hAnsi="ＭＳ ゴシック" w:eastAsia="ＭＳ ゴシック"/>
                <w:spacing w:val="-4"/>
                <w:w w:val="90"/>
                <w:sz w:val="20"/>
              </w:rPr>
              <w:t>･市町村</w:t>
            </w:r>
            <w:r>
              <w:rPr>
                <w:rFonts w:hint="default" w:ascii="ＭＳ ゴシック" w:hAnsi="ＭＳ ゴシック" w:eastAsia="ＭＳ ゴシック"/>
                <w:spacing w:val="-4"/>
                <w:w w:val="90"/>
                <w:sz w:val="20"/>
              </w:rPr>
              <w:t>)</w:t>
            </w:r>
          </w:p>
        </w:tc>
        <w:tc>
          <w:tcPr>
            <w:tcW w:w="8217" w:type="dxa"/>
            <w:tcMar>
              <w:top w:w="17" w:type="dxa"/>
              <w:bottom w:w="17" w:type="dxa"/>
            </w:tcMar>
            <w:vAlign w:val="center"/>
          </w:tcPr>
          <w:p>
            <w:pPr>
              <w:pStyle w:val="0"/>
              <w:spacing w:line="0" w:lineRule="atLeast"/>
              <w:ind w:left="152" w:hanging="152" w:hangingChars="100"/>
              <w:rPr>
                <w:rFonts w:hint="default"/>
                <w:spacing w:val="-7"/>
                <w:w w:val="90"/>
                <w:sz w:val="18"/>
              </w:rPr>
            </w:pPr>
            <w:r>
              <w:rPr>
                <w:rFonts w:hint="eastAsia"/>
                <w:spacing w:val="-7"/>
                <w:w w:val="90"/>
                <w:sz w:val="18"/>
              </w:rPr>
              <w:t>○居宅介護の利用者数､利用時間数</w:t>
            </w:r>
            <w:r>
              <w:rPr>
                <w:rFonts w:hint="eastAsia"/>
                <w:spacing w:val="-7"/>
                <w:w w:val="70"/>
                <w:sz w:val="16"/>
              </w:rPr>
              <w:t>※</w:t>
            </w:r>
            <w:r>
              <w:rPr>
                <w:rFonts w:hint="eastAsia"/>
                <w:spacing w:val="-7"/>
                <w:w w:val="90"/>
                <w:sz w:val="18"/>
              </w:rPr>
              <w:t>　○重度訪問介護の利用者数、利用時間数</w:t>
            </w:r>
            <w:r>
              <w:rPr>
                <w:rFonts w:hint="eastAsia"/>
                <w:spacing w:val="-7"/>
                <w:w w:val="70"/>
                <w:sz w:val="16"/>
              </w:rPr>
              <w:t>※</w:t>
            </w:r>
            <w:r>
              <w:rPr>
                <w:rFonts w:hint="eastAsia"/>
                <w:spacing w:val="-7"/>
                <w:w w:val="90"/>
                <w:sz w:val="18"/>
              </w:rPr>
              <w:t>　○同行援護の利用者数､利用時間数</w:t>
            </w:r>
            <w:r>
              <w:rPr>
                <w:rFonts w:hint="eastAsia"/>
                <w:spacing w:val="-7"/>
                <w:w w:val="70"/>
                <w:sz w:val="16"/>
              </w:rPr>
              <w:t>※</w:t>
            </w:r>
          </w:p>
          <w:p>
            <w:pPr>
              <w:pStyle w:val="0"/>
              <w:spacing w:line="0" w:lineRule="atLeast"/>
              <w:ind w:left="152" w:hanging="152" w:hangingChars="100"/>
              <w:rPr>
                <w:rFonts w:hint="default"/>
                <w:spacing w:val="-7"/>
                <w:w w:val="90"/>
                <w:sz w:val="18"/>
              </w:rPr>
            </w:pPr>
            <w:r>
              <w:rPr>
                <w:rFonts w:hint="eastAsia"/>
                <w:spacing w:val="-7"/>
                <w:w w:val="90"/>
                <w:sz w:val="18"/>
              </w:rPr>
              <w:t>○行動援護の利用者数､利用時間数</w:t>
            </w:r>
            <w:r>
              <w:rPr>
                <w:rFonts w:hint="eastAsia"/>
                <w:spacing w:val="-7"/>
                <w:w w:val="70"/>
                <w:sz w:val="16"/>
              </w:rPr>
              <w:t>※</w:t>
            </w:r>
            <w:r>
              <w:rPr>
                <w:rFonts w:hint="eastAsia"/>
                <w:spacing w:val="-7"/>
                <w:w w:val="90"/>
                <w:sz w:val="18"/>
              </w:rPr>
              <w:t>　○重度障害者等包括支援の利用者数､利用単位数</w:t>
            </w:r>
            <w:r>
              <w:rPr>
                <w:rFonts w:hint="eastAsia"/>
                <w:spacing w:val="-7"/>
                <w:w w:val="70"/>
                <w:sz w:val="16"/>
              </w:rPr>
              <w:t>※</w:t>
            </w:r>
            <w:r>
              <w:rPr>
                <w:rFonts w:hint="eastAsia"/>
                <w:spacing w:val="-7"/>
                <w:w w:val="90"/>
                <w:sz w:val="18"/>
              </w:rPr>
              <w:t xml:space="preserve"> </w:t>
            </w:r>
            <w:r>
              <w:rPr>
                <w:rFonts w:hint="eastAsia"/>
                <w:spacing w:val="-7"/>
                <w:w w:val="85"/>
                <w:sz w:val="16"/>
              </w:rPr>
              <w:t>※</w:t>
            </w:r>
            <w:r>
              <w:rPr>
                <w:rFonts w:hint="eastAsia"/>
                <w:spacing w:val="-7"/>
                <w:w w:val="80"/>
                <w:sz w:val="16"/>
              </w:rPr>
              <w:t>個々の</w:t>
            </w:r>
            <w:r>
              <w:rPr>
                <w:rFonts w:hint="eastAsia"/>
                <w:spacing w:val="-7"/>
                <w:w w:val="70"/>
                <w:sz w:val="16"/>
              </w:rPr>
              <w:t>サービス</w:t>
            </w:r>
            <w:r>
              <w:rPr>
                <w:rFonts w:hint="eastAsia"/>
                <w:spacing w:val="-7"/>
                <w:w w:val="80"/>
                <w:sz w:val="16"/>
              </w:rPr>
              <w:t>としての指標は初めて</w:t>
            </w:r>
          </w:p>
          <w:p>
            <w:pPr>
              <w:pStyle w:val="0"/>
              <w:spacing w:line="0" w:lineRule="atLeast"/>
              <w:ind w:left="152" w:hanging="152" w:hangingChars="100"/>
              <w:rPr>
                <w:rFonts w:hint="default"/>
                <w:spacing w:val="-7"/>
                <w:w w:val="90"/>
                <w:sz w:val="18"/>
              </w:rPr>
            </w:pPr>
            <w:r>
              <w:rPr>
                <w:rFonts w:hint="eastAsia"/>
                <w:spacing w:val="-7"/>
                <w:w w:val="90"/>
                <w:sz w:val="18"/>
              </w:rPr>
              <w:t>○生活介護の利用者数､利用日数　　</w:t>
            </w:r>
            <w:r>
              <w:rPr>
                <w:rFonts w:hint="eastAsia"/>
                <w:spacing w:val="-7"/>
                <w:w w:val="90"/>
                <w:sz w:val="18"/>
              </w:rPr>
              <w:t xml:space="preserve"> </w:t>
            </w:r>
            <w:r>
              <w:rPr>
                <w:rFonts w:hint="eastAsia"/>
                <w:spacing w:val="-7"/>
                <w:w w:val="90"/>
                <w:sz w:val="18"/>
              </w:rPr>
              <w:t>○自立訓練</w:t>
            </w:r>
            <w:r>
              <w:rPr>
                <w:rFonts w:hint="default"/>
                <w:spacing w:val="-7"/>
                <w:w w:val="90"/>
                <w:sz w:val="18"/>
              </w:rPr>
              <w:t>(</w:t>
            </w:r>
            <w:r>
              <w:rPr>
                <w:rFonts w:hint="eastAsia"/>
                <w:spacing w:val="-7"/>
                <w:w w:val="90"/>
                <w:sz w:val="18"/>
              </w:rPr>
              <w:t>機能訓練・生活訓練</w:t>
            </w:r>
            <w:r>
              <w:rPr>
                <w:rFonts w:hint="default"/>
                <w:spacing w:val="-7"/>
                <w:w w:val="90"/>
                <w:sz w:val="18"/>
              </w:rPr>
              <w:t>)</w:t>
            </w:r>
            <w:r>
              <w:rPr>
                <w:rFonts w:hint="default"/>
                <w:spacing w:val="-7"/>
                <w:w w:val="90"/>
                <w:sz w:val="18"/>
              </w:rPr>
              <w:t>の</w:t>
            </w:r>
            <w:r>
              <w:rPr>
                <w:rFonts w:hint="eastAsia"/>
                <w:spacing w:val="-7"/>
                <w:w w:val="90"/>
                <w:sz w:val="18"/>
              </w:rPr>
              <w:t>利用者数､利用日数</w:t>
            </w:r>
          </w:p>
          <w:p>
            <w:pPr>
              <w:pStyle w:val="0"/>
              <w:spacing w:line="0" w:lineRule="atLeast"/>
              <w:ind w:left="152" w:hanging="152" w:hangingChars="100"/>
              <w:rPr>
                <w:rFonts w:hint="default"/>
                <w:spacing w:val="-7"/>
                <w:w w:val="90"/>
                <w:sz w:val="18"/>
              </w:rPr>
            </w:pPr>
            <w:r>
              <w:rPr>
                <w:rFonts w:hint="eastAsia"/>
                <w:spacing w:val="-7"/>
                <w:w w:val="90"/>
                <w:sz w:val="18"/>
              </w:rPr>
              <w:t>○就労選択支援の利用者数､利用日数【新設】　　　　</w:t>
            </w:r>
            <w:r>
              <w:rPr>
                <w:rFonts w:hint="eastAsia"/>
                <w:spacing w:val="-7"/>
                <w:w w:val="90"/>
                <w:sz w:val="18"/>
              </w:rPr>
              <w:t xml:space="preserve"> </w:t>
            </w:r>
            <w:r>
              <w:rPr>
                <w:rFonts w:hint="eastAsia"/>
                <w:spacing w:val="-7"/>
                <w:w w:val="90"/>
                <w:sz w:val="18"/>
              </w:rPr>
              <w:t>○就労移行支援の利用者数､利用日数</w:t>
            </w:r>
          </w:p>
          <w:p>
            <w:pPr>
              <w:pStyle w:val="0"/>
              <w:spacing w:line="0" w:lineRule="atLeast"/>
              <w:ind w:left="152" w:hanging="152" w:hangingChars="100"/>
              <w:rPr>
                <w:rFonts w:hint="default"/>
                <w:spacing w:val="-7"/>
                <w:w w:val="90"/>
                <w:sz w:val="18"/>
              </w:rPr>
            </w:pPr>
            <w:r>
              <w:rPr>
                <w:rFonts w:hint="eastAsia"/>
                <w:spacing w:val="-7"/>
                <w:w w:val="90"/>
                <w:sz w:val="18"/>
              </w:rPr>
              <w:t>○就労継続支援</w:t>
            </w:r>
            <w:r>
              <w:rPr>
                <w:rFonts w:hint="default"/>
                <w:spacing w:val="-7"/>
                <w:w w:val="90"/>
                <w:sz w:val="18"/>
              </w:rPr>
              <w:t>(</w:t>
            </w:r>
            <w:r>
              <w:rPr>
                <w:rFonts w:hint="eastAsia"/>
                <w:spacing w:val="-7"/>
                <w:w w:val="90"/>
                <w:sz w:val="18"/>
              </w:rPr>
              <w:t>Ａ型・Ｂ型</w:t>
            </w:r>
            <w:r>
              <w:rPr>
                <w:rFonts w:hint="default"/>
                <w:spacing w:val="-7"/>
                <w:w w:val="90"/>
                <w:sz w:val="18"/>
              </w:rPr>
              <w:t>)</w:t>
            </w:r>
            <w:r>
              <w:rPr>
                <w:rFonts w:hint="default"/>
                <w:spacing w:val="-7"/>
                <w:w w:val="90"/>
                <w:sz w:val="18"/>
              </w:rPr>
              <w:t>の</w:t>
            </w:r>
            <w:r>
              <w:rPr>
                <w:rFonts w:hint="eastAsia"/>
                <w:spacing w:val="-7"/>
                <w:w w:val="90"/>
                <w:sz w:val="18"/>
              </w:rPr>
              <w:t>利用者数、利用日数　　○就労定着支援の利用者数</w:t>
            </w:r>
          </w:p>
          <w:p>
            <w:pPr>
              <w:pStyle w:val="0"/>
              <w:spacing w:line="0" w:lineRule="atLeast"/>
              <w:ind w:left="152" w:hanging="152" w:hangingChars="100"/>
              <w:rPr>
                <w:rFonts w:hint="default"/>
                <w:spacing w:val="-7"/>
                <w:w w:val="90"/>
                <w:sz w:val="18"/>
              </w:rPr>
            </w:pPr>
            <w:r>
              <w:rPr>
                <w:rFonts w:hint="eastAsia"/>
                <w:spacing w:val="-7"/>
                <w:w w:val="90"/>
                <w:sz w:val="18"/>
              </w:rPr>
              <w:t>○短期入所</w:t>
            </w:r>
            <w:r>
              <w:rPr>
                <w:rFonts w:hint="default"/>
                <w:spacing w:val="-7"/>
                <w:w w:val="90"/>
                <w:sz w:val="18"/>
              </w:rPr>
              <w:t>(</w:t>
            </w:r>
            <w:r>
              <w:rPr>
                <w:rFonts w:hint="eastAsia"/>
                <w:spacing w:val="-7"/>
                <w:w w:val="90"/>
                <w:sz w:val="18"/>
              </w:rPr>
              <w:t>福祉型、医療型</w:t>
            </w:r>
            <w:r>
              <w:rPr>
                <w:rFonts w:hint="default"/>
                <w:spacing w:val="-7"/>
                <w:w w:val="90"/>
                <w:sz w:val="18"/>
              </w:rPr>
              <w:t>)</w:t>
            </w:r>
            <w:r>
              <w:rPr>
                <w:rFonts w:hint="eastAsia"/>
                <w:spacing w:val="-7"/>
                <w:w w:val="90"/>
                <w:sz w:val="18"/>
              </w:rPr>
              <w:t>の利用者数、利用日数</w:t>
            </w:r>
          </w:p>
          <w:p>
            <w:pPr>
              <w:pStyle w:val="0"/>
              <w:spacing w:line="0" w:lineRule="atLeast"/>
              <w:ind w:left="152" w:hanging="152" w:hangingChars="100"/>
              <w:rPr>
                <w:rFonts w:hint="default"/>
                <w:spacing w:val="-7"/>
                <w:w w:val="90"/>
                <w:sz w:val="18"/>
              </w:rPr>
            </w:pPr>
            <w:r>
              <w:rPr>
                <w:rFonts w:hint="eastAsia"/>
                <w:spacing w:val="-7"/>
                <w:w w:val="90"/>
                <w:sz w:val="18"/>
              </w:rPr>
              <w:t>○自立生活援助の利用者数　　○共同生活援助の利用者数</w:t>
            </w:r>
            <w:r>
              <w:rPr>
                <w:rFonts w:hint="eastAsia"/>
                <w:spacing w:val="-7"/>
                <w:w w:val="90"/>
                <w:sz w:val="18"/>
              </w:rPr>
              <w:t xml:space="preserve"> </w:t>
            </w:r>
            <w:r>
              <w:rPr>
                <w:rFonts w:hint="eastAsia"/>
                <w:spacing w:val="-7"/>
                <w:w w:val="80"/>
                <w:sz w:val="16"/>
              </w:rPr>
              <w:t>※重度障害者の利用者数を追加</w:t>
            </w:r>
          </w:p>
          <w:p>
            <w:pPr>
              <w:pStyle w:val="0"/>
              <w:spacing w:line="0" w:lineRule="atLeast"/>
              <w:ind w:left="152" w:hanging="152" w:hangingChars="100"/>
              <w:rPr>
                <w:rFonts w:hint="default"/>
                <w:spacing w:val="-7"/>
                <w:w w:val="90"/>
                <w:sz w:val="18"/>
              </w:rPr>
            </w:pPr>
            <w:r>
              <w:rPr>
                <w:rFonts w:hint="eastAsia"/>
                <w:spacing w:val="-7"/>
                <w:w w:val="90"/>
                <w:sz w:val="18"/>
              </w:rPr>
              <w:t>○計画相談支援の利用者数　　○地域移行支援の利用者数　　○地域定着支援の利用者数</w:t>
            </w:r>
          </w:p>
          <w:p>
            <w:pPr>
              <w:pStyle w:val="0"/>
              <w:spacing w:line="0" w:lineRule="atLeast"/>
              <w:ind w:left="152" w:hanging="152" w:hangingChars="100"/>
              <w:rPr>
                <w:rFonts w:hint="default"/>
                <w:spacing w:val="-7"/>
                <w:w w:val="90"/>
                <w:sz w:val="18"/>
              </w:rPr>
            </w:pPr>
            <w:r>
              <w:rPr>
                <w:rFonts w:hint="eastAsia"/>
                <w:spacing w:val="-7"/>
                <w:w w:val="90"/>
                <w:sz w:val="18"/>
              </w:rPr>
              <w:t>○施設入所支援の利用者数</w:t>
            </w:r>
            <w:r>
              <w:rPr>
                <w:rFonts w:hint="eastAsia"/>
                <w:spacing w:val="-7"/>
                <w:w w:val="90"/>
                <w:sz w:val="18"/>
              </w:rPr>
              <w:t xml:space="preserve"> </w:t>
            </w:r>
            <w:r>
              <w:rPr>
                <w:rFonts w:hint="eastAsia"/>
                <w:spacing w:val="-7"/>
                <w:w w:val="80"/>
                <w:sz w:val="16"/>
              </w:rPr>
              <w:t>※新たな入所希望者のニーズ・環境の確認</w:t>
            </w:r>
          </w:p>
        </w:tc>
      </w:tr>
    </w:tbl>
    <w:p>
      <w:pPr>
        <w:pStyle w:val="0"/>
        <w:spacing w:line="0" w:lineRule="atLeast"/>
        <w:ind w:left="762" w:leftChars="300" w:right="224" w:rightChars="100" w:hanging="90" w:hangingChars="100"/>
        <w:rPr>
          <w:rFonts w:hint="default"/>
          <w:spacing w:val="-2"/>
          <w:w w:val="90"/>
          <w:sz w:val="10"/>
        </w:rPr>
      </w:pPr>
    </w:p>
    <w:tbl>
      <w:tblPr>
        <w:tblStyle w:val="281"/>
        <w:tblW w:w="9214"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57" w:type="dxa"/>
          <w:right w:w="57" w:type="dxa"/>
        </w:tblCellMar>
        <w:tblLook w:firstRow="1" w:lastRow="0" w:firstColumn="1" w:lastColumn="0" w:noHBand="0" w:noVBand="1" w:val="04A0"/>
      </w:tblPr>
      <w:tblGrid>
        <w:gridCol w:w="997"/>
        <w:gridCol w:w="8217"/>
      </w:tblGrid>
      <w:tr>
        <w:trPr/>
        <w:tc>
          <w:tcPr>
            <w:tcW w:w="9214" w:type="dxa"/>
            <w:gridSpan w:val="2"/>
            <w:tcMar>
              <w:top w:w="17" w:type="dxa"/>
              <w:bottom w:w="17" w:type="dxa"/>
            </w:tcMar>
            <w:vAlign w:val="top"/>
          </w:tcPr>
          <w:p>
            <w:pPr>
              <w:pStyle w:val="0"/>
              <w:spacing w:line="0" w:lineRule="atLeast"/>
              <w:ind w:right="224" w:right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②精神障害にも対応した地域包括ケアシステムの構築</w:t>
            </w:r>
          </w:p>
        </w:tc>
      </w:tr>
      <w:tr>
        <w:trPr/>
        <w:tc>
          <w:tcPr>
            <w:tcW w:w="997" w:type="dxa"/>
            <w:tcMar>
              <w:top w:w="17" w:type="dxa"/>
              <w:bottom w:w="17" w:type="dxa"/>
            </w:tcMar>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p>
          <w:p>
            <w:pPr>
              <w:pStyle w:val="0"/>
              <w:spacing w:line="0" w:lineRule="atLeast"/>
              <w:ind w:left="176" w:hanging="176" w:hangingChars="100"/>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 xml:space="preserve"> </w:t>
            </w:r>
            <w:r>
              <w:rPr>
                <w:rFonts w:hint="default" w:ascii="ＭＳ ゴシック" w:hAnsi="ＭＳ ゴシック" w:eastAsia="ＭＳ ゴシック"/>
                <w:spacing w:val="-4"/>
                <w:w w:val="90"/>
                <w:sz w:val="20"/>
              </w:rPr>
              <w:t>･市町村</w:t>
            </w:r>
            <w:r>
              <w:rPr>
                <w:rFonts w:hint="default" w:ascii="ＭＳ ゴシック" w:hAnsi="ＭＳ ゴシック" w:eastAsia="ＭＳ ゴシック"/>
                <w:spacing w:val="-4"/>
                <w:w w:val="90"/>
                <w:sz w:val="20"/>
              </w:rPr>
              <w:t>)</w:t>
            </w:r>
          </w:p>
        </w:tc>
        <w:tc>
          <w:tcPr>
            <w:tcW w:w="8217" w:type="dxa"/>
            <w:tcMar>
              <w:top w:w="17" w:type="dxa"/>
              <w:bottom w:w="17" w:type="dxa"/>
            </w:tcMar>
            <w:vAlign w:val="center"/>
          </w:tcPr>
          <w:p>
            <w:pPr>
              <w:pStyle w:val="0"/>
              <w:spacing w:line="0" w:lineRule="atLeast"/>
              <w:ind w:left="170" w:hanging="170" w:hangingChars="100"/>
              <w:rPr>
                <w:rFonts w:hint="default"/>
                <w:spacing w:val="-7"/>
                <w:sz w:val="18"/>
              </w:rPr>
            </w:pPr>
            <w:r>
              <w:rPr>
                <w:rFonts w:hint="eastAsia"/>
                <w:spacing w:val="-7"/>
                <w:sz w:val="18"/>
              </w:rPr>
              <w:t>○保健、医療・福祉関係者による協議の場の開催回数</w:t>
            </w:r>
          </w:p>
          <w:p>
            <w:pPr>
              <w:pStyle w:val="0"/>
              <w:spacing w:line="0" w:lineRule="atLeast"/>
              <w:ind w:left="170" w:hanging="170" w:hangingChars="100"/>
              <w:rPr>
                <w:rFonts w:hint="default"/>
                <w:spacing w:val="-7"/>
                <w:sz w:val="18"/>
              </w:rPr>
            </w:pPr>
            <w:r>
              <w:rPr>
                <w:rFonts w:hint="eastAsia"/>
                <w:spacing w:val="-7"/>
                <w:sz w:val="18"/>
              </w:rPr>
              <w:t>○保健、医療</w:t>
            </w:r>
            <w:r>
              <w:rPr>
                <w:rFonts w:hint="eastAsia"/>
                <w:spacing w:val="-7"/>
                <w:sz w:val="18"/>
              </w:rPr>
              <w:t>(</w:t>
            </w:r>
            <w:r>
              <w:rPr>
                <w:rFonts w:hint="eastAsia"/>
                <w:spacing w:val="-7"/>
                <w:sz w:val="18"/>
              </w:rPr>
              <w:t>精神科、精神科以外の医療機関別</w:t>
            </w:r>
            <w:r>
              <w:rPr>
                <w:rFonts w:hint="eastAsia"/>
                <w:spacing w:val="-7"/>
                <w:sz w:val="18"/>
              </w:rPr>
              <w:t>)</w:t>
            </w:r>
            <w:r>
              <w:rPr>
                <w:rFonts w:hint="eastAsia"/>
                <w:spacing w:val="-7"/>
                <w:sz w:val="18"/>
              </w:rPr>
              <w:t>、福祉、介護、当事者、家族等の関係者ごとの参加者数</w:t>
            </w:r>
          </w:p>
          <w:p>
            <w:pPr>
              <w:pStyle w:val="0"/>
              <w:spacing w:line="0" w:lineRule="atLeast"/>
              <w:ind w:left="170" w:hanging="170" w:hangingChars="100"/>
              <w:rPr>
                <w:rFonts w:hint="default"/>
                <w:spacing w:val="-7"/>
                <w:sz w:val="18"/>
              </w:rPr>
            </w:pPr>
            <w:r>
              <w:rPr>
                <w:rFonts w:hint="eastAsia"/>
                <w:spacing w:val="-7"/>
                <w:sz w:val="18"/>
              </w:rPr>
              <w:t>○保健、医療、福祉関係者による協議の場における目標設定及び評価の実施回数</w:t>
            </w:r>
          </w:p>
          <w:p>
            <w:pPr>
              <w:pStyle w:val="0"/>
              <w:spacing w:line="0" w:lineRule="atLeast"/>
              <w:ind w:left="170" w:hanging="170" w:hangingChars="100"/>
              <w:rPr>
                <w:rFonts w:hint="default"/>
                <w:spacing w:val="-7"/>
                <w:sz w:val="18"/>
              </w:rPr>
            </w:pPr>
            <w:r>
              <w:rPr>
                <w:rFonts w:hint="eastAsia"/>
                <w:spacing w:val="-7"/>
                <w:sz w:val="18"/>
              </w:rPr>
              <w:t>○</w:t>
            </w:r>
            <w:r>
              <w:rPr>
                <w:rFonts w:hint="eastAsia"/>
                <w:spacing w:val="-7"/>
                <w:w w:val="85"/>
                <w:sz w:val="18"/>
              </w:rPr>
              <w:t>精神障害者の地域移行支援の利用者数　</w:t>
            </w:r>
            <w:r>
              <w:rPr>
                <w:rFonts w:hint="eastAsia"/>
                <w:spacing w:val="-7"/>
                <w:sz w:val="18"/>
              </w:rPr>
              <w:t>○</w:t>
            </w:r>
            <w:r>
              <w:rPr>
                <w:rFonts w:hint="eastAsia"/>
                <w:spacing w:val="-7"/>
                <w:w w:val="85"/>
                <w:sz w:val="18"/>
              </w:rPr>
              <w:t>精神障害者の地域定着支援の利用者数</w:t>
            </w:r>
            <w:r>
              <w:rPr>
                <w:rFonts w:hint="eastAsia"/>
                <w:spacing w:val="-7"/>
                <w:sz w:val="18"/>
              </w:rPr>
              <w:t>　○</w:t>
            </w:r>
            <w:r>
              <w:rPr>
                <w:rFonts w:hint="eastAsia"/>
                <w:spacing w:val="-7"/>
                <w:w w:val="85"/>
                <w:sz w:val="18"/>
              </w:rPr>
              <w:t>精神障害者の共同生活援助の利用者数</w:t>
            </w:r>
          </w:p>
          <w:p>
            <w:pPr>
              <w:pStyle w:val="0"/>
              <w:spacing w:line="0" w:lineRule="atLeast"/>
              <w:ind w:left="170" w:hanging="170" w:hangingChars="100"/>
              <w:rPr>
                <w:rFonts w:hint="default"/>
                <w:spacing w:val="-7"/>
                <w:sz w:val="18"/>
              </w:rPr>
            </w:pPr>
            <w:r>
              <w:rPr>
                <w:rFonts w:hint="eastAsia"/>
                <w:spacing w:val="-7"/>
                <w:sz w:val="18"/>
              </w:rPr>
              <w:t>○精神障害者の自立生活援助の利用者数　○精神障害者の自立訓練（生活訓練）【新設】</w:t>
            </w:r>
          </w:p>
        </w:tc>
      </w:tr>
      <w:tr>
        <w:trPr/>
        <w:tc>
          <w:tcPr>
            <w:tcW w:w="997" w:type="dxa"/>
            <w:tcMar>
              <w:top w:w="17" w:type="dxa"/>
              <w:bottom w:w="17" w:type="dxa"/>
            </w:tcMar>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r>
              <w:rPr>
                <w:rFonts w:hint="default" w:ascii="ＭＳ ゴシック" w:hAnsi="ＭＳ ゴシック" w:eastAsia="ＭＳ ゴシック"/>
                <w:spacing w:val="-4"/>
                <w:w w:val="90"/>
                <w:sz w:val="20"/>
              </w:rPr>
              <w:t>)</w:t>
            </w:r>
          </w:p>
        </w:tc>
        <w:tc>
          <w:tcPr>
            <w:tcW w:w="8217" w:type="dxa"/>
            <w:tcMar>
              <w:top w:w="17" w:type="dxa"/>
              <w:bottom w:w="17" w:type="dxa"/>
            </w:tcMar>
            <w:vAlign w:val="center"/>
          </w:tcPr>
          <w:p>
            <w:pPr>
              <w:pStyle w:val="0"/>
              <w:spacing w:line="0" w:lineRule="atLeast"/>
              <w:ind w:left="184" w:hanging="184" w:hangingChars="100"/>
              <w:rPr>
                <w:rFonts w:hint="default"/>
                <w:sz w:val="18"/>
              </w:rPr>
            </w:pPr>
            <w:r>
              <w:rPr>
                <w:rFonts w:hint="eastAsia"/>
                <w:sz w:val="18"/>
              </w:rPr>
              <w:t>○精神病床からの退院後の行き先別の退院患者数</w:t>
            </w:r>
          </w:p>
        </w:tc>
      </w:tr>
    </w:tbl>
    <w:p>
      <w:pPr>
        <w:pStyle w:val="0"/>
        <w:spacing w:line="0" w:lineRule="atLeast"/>
        <w:ind w:left="762" w:leftChars="300" w:right="224" w:rightChars="100" w:hanging="90" w:hangingChars="100"/>
        <w:rPr>
          <w:rFonts w:hint="default"/>
          <w:spacing w:val="-2"/>
          <w:w w:val="90"/>
          <w:sz w:val="10"/>
        </w:rPr>
      </w:pPr>
    </w:p>
    <w:tbl>
      <w:tblPr>
        <w:tblStyle w:val="281"/>
        <w:tblW w:w="9214"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57" w:type="dxa"/>
          <w:right w:w="57" w:type="dxa"/>
        </w:tblCellMar>
        <w:tblLook w:firstRow="1" w:lastRow="0" w:firstColumn="1" w:lastColumn="0" w:noHBand="0" w:noVBand="1" w:val="04A0"/>
      </w:tblPr>
      <w:tblGrid>
        <w:gridCol w:w="997"/>
        <w:gridCol w:w="8217"/>
      </w:tblGrid>
      <w:tr>
        <w:trPr/>
        <w:tc>
          <w:tcPr>
            <w:tcW w:w="9214" w:type="dxa"/>
            <w:gridSpan w:val="2"/>
            <w:vAlign w:val="top"/>
          </w:tcPr>
          <w:p>
            <w:pPr>
              <w:pStyle w:val="0"/>
              <w:spacing w:line="0" w:lineRule="atLeast"/>
              <w:ind w:right="224" w:right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③地域生活支援の充実</w:t>
            </w:r>
          </w:p>
        </w:tc>
      </w:tr>
      <w:tr>
        <w:trPr/>
        <w:tc>
          <w:tcPr>
            <w:tcW w:w="997" w:type="dxa"/>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p>
          <w:p>
            <w:pPr>
              <w:pStyle w:val="0"/>
              <w:spacing w:line="0" w:lineRule="atLeast"/>
              <w:ind w:left="176" w:hanging="176" w:hangingChars="100"/>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 xml:space="preserve"> </w:t>
            </w:r>
            <w:r>
              <w:rPr>
                <w:rFonts w:hint="default" w:ascii="ＭＳ ゴシック" w:hAnsi="ＭＳ ゴシック" w:eastAsia="ＭＳ ゴシック"/>
                <w:spacing w:val="-4"/>
                <w:w w:val="90"/>
                <w:sz w:val="20"/>
              </w:rPr>
              <w:t>･市町村</w:t>
            </w:r>
            <w:r>
              <w:rPr>
                <w:rFonts w:hint="default" w:ascii="ＭＳ ゴシック" w:hAnsi="ＭＳ ゴシック" w:eastAsia="ＭＳ ゴシック"/>
                <w:spacing w:val="-4"/>
                <w:w w:val="90"/>
                <w:sz w:val="20"/>
              </w:rPr>
              <w:t>)</w:t>
            </w:r>
          </w:p>
        </w:tc>
        <w:tc>
          <w:tcPr>
            <w:tcW w:w="8217" w:type="dxa"/>
            <w:vAlign w:val="center"/>
          </w:tcPr>
          <w:p>
            <w:pPr>
              <w:pStyle w:val="0"/>
              <w:spacing w:line="0" w:lineRule="atLeast"/>
              <w:ind w:left="184" w:hanging="184" w:hangingChars="100"/>
              <w:rPr>
                <w:rFonts w:hint="default"/>
                <w:sz w:val="18"/>
              </w:rPr>
            </w:pPr>
            <w:r>
              <w:rPr>
                <w:rFonts w:hint="eastAsia"/>
                <w:sz w:val="18"/>
              </w:rPr>
              <w:t>○地域生活支援拠点等の設置箇所数とコーディネーターの配置人数、地域生活支援拠点等における機能の充実に向けた支援の実績等を踏まえた検証及び検討の実施回数</w:t>
            </w:r>
          </w:p>
        </w:tc>
      </w:tr>
    </w:tbl>
    <w:p>
      <w:pPr>
        <w:pStyle w:val="0"/>
        <w:spacing w:line="0" w:lineRule="atLeast"/>
        <w:ind w:left="762" w:leftChars="300" w:right="224" w:rightChars="100" w:hanging="90" w:hangingChars="100"/>
        <w:rPr>
          <w:rFonts w:hint="default"/>
          <w:spacing w:val="-2"/>
          <w:w w:val="90"/>
          <w:sz w:val="10"/>
        </w:rPr>
      </w:pPr>
    </w:p>
    <w:tbl>
      <w:tblPr>
        <w:tblStyle w:val="281"/>
        <w:tblW w:w="9214"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57" w:type="dxa"/>
          <w:right w:w="57" w:type="dxa"/>
        </w:tblCellMar>
        <w:tblLook w:firstRow="1" w:lastRow="0" w:firstColumn="1" w:lastColumn="0" w:noHBand="0" w:noVBand="1" w:val="04A0"/>
      </w:tblPr>
      <w:tblGrid>
        <w:gridCol w:w="997"/>
        <w:gridCol w:w="8217"/>
      </w:tblGrid>
      <w:tr>
        <w:trPr/>
        <w:tc>
          <w:tcPr>
            <w:tcW w:w="9214" w:type="dxa"/>
            <w:gridSpan w:val="2"/>
            <w:vAlign w:val="top"/>
          </w:tcPr>
          <w:p>
            <w:pPr>
              <w:pStyle w:val="0"/>
              <w:spacing w:line="0" w:lineRule="atLeast"/>
              <w:ind w:right="224" w:right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④福祉施設から一般就労への移行等</w:t>
            </w:r>
          </w:p>
        </w:tc>
      </w:tr>
      <w:tr>
        <w:trPr/>
        <w:tc>
          <w:tcPr>
            <w:tcW w:w="997" w:type="dxa"/>
            <w:vAlign w:val="top"/>
          </w:tcPr>
          <w:p>
            <w:pPr>
              <w:pStyle w:val="0"/>
              <w:spacing w:line="220" w:lineRule="exact"/>
              <w:textAlignment w:val="center"/>
              <w:rPr>
                <w:rFonts w:hint="default" w:ascii="ＭＳ ゴシック" w:hAnsi="ＭＳ ゴシック" w:eastAsia="ＭＳ ゴシック"/>
                <w:spacing w:val="-2"/>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r>
              <w:rPr>
                <w:rFonts w:hint="default" w:ascii="ＭＳ ゴシック" w:hAnsi="ＭＳ ゴシック" w:eastAsia="ＭＳ ゴシック"/>
                <w:spacing w:val="-4"/>
                <w:w w:val="90"/>
                <w:sz w:val="20"/>
              </w:rPr>
              <w:t>)</w:t>
            </w:r>
          </w:p>
        </w:tc>
        <w:tc>
          <w:tcPr>
            <w:tcW w:w="8217" w:type="dxa"/>
            <w:vAlign w:val="center"/>
          </w:tcPr>
          <w:p>
            <w:pPr>
              <w:pStyle w:val="0"/>
              <w:spacing w:line="0" w:lineRule="atLeast"/>
              <w:ind w:left="170" w:hanging="170" w:hangingChars="100"/>
              <w:rPr>
                <w:rFonts w:hint="default"/>
                <w:spacing w:val="-7"/>
                <w:sz w:val="18"/>
              </w:rPr>
            </w:pPr>
            <w:r>
              <w:rPr>
                <w:rFonts w:hint="eastAsia"/>
                <w:spacing w:val="-7"/>
                <w:sz w:val="18"/>
              </w:rPr>
              <w:t>○福祉施設から公共職業安定所に誘導した福祉施設利用者数</w:t>
            </w:r>
          </w:p>
          <w:p>
            <w:pPr>
              <w:pStyle w:val="0"/>
              <w:spacing w:line="0" w:lineRule="atLeast"/>
              <w:ind w:left="170" w:hanging="170" w:hangingChars="100"/>
              <w:rPr>
                <w:rFonts w:hint="default"/>
                <w:spacing w:val="-7"/>
                <w:sz w:val="18"/>
              </w:rPr>
            </w:pPr>
            <w:r>
              <w:rPr>
                <w:rFonts w:hint="eastAsia"/>
                <w:spacing w:val="-7"/>
                <w:sz w:val="18"/>
              </w:rPr>
              <w:t>○福祉施設から障害者就業・生活支援センターに誘導した福祉施設利用者数</w:t>
            </w:r>
          </w:p>
          <w:p>
            <w:pPr>
              <w:pStyle w:val="0"/>
              <w:spacing w:line="0" w:lineRule="atLeast"/>
              <w:ind w:left="170" w:hanging="170" w:hangingChars="100"/>
              <w:rPr>
                <w:rFonts w:hint="default"/>
                <w:spacing w:val="-7"/>
                <w:sz w:val="18"/>
              </w:rPr>
            </w:pPr>
            <w:r>
              <w:rPr>
                <w:rFonts w:hint="eastAsia"/>
                <w:spacing w:val="-7"/>
                <w:sz w:val="18"/>
              </w:rPr>
              <w:t>○</w:t>
            </w:r>
            <w:r>
              <w:rPr>
                <w:rFonts w:hint="eastAsia"/>
                <w:spacing w:val="-7"/>
                <w:w w:val="94"/>
                <w:sz w:val="18"/>
              </w:rPr>
              <w:t>福祉施設利用者のうち公共職業安定所の支援を受けて就職した者の数　</w:t>
            </w:r>
            <w:r>
              <w:rPr>
                <w:rFonts w:hint="default"/>
                <w:spacing w:val="-7"/>
                <w:w w:val="94"/>
                <w:sz w:val="18"/>
              </w:rPr>
              <w:t xml:space="preserve"> </w:t>
            </w:r>
            <w:r>
              <w:rPr>
                <w:rFonts w:hint="eastAsia"/>
                <w:spacing w:val="-7"/>
                <w:sz w:val="18"/>
              </w:rPr>
              <w:t>○</w:t>
            </w:r>
            <w:r>
              <w:rPr>
                <w:rFonts w:hint="eastAsia"/>
                <w:spacing w:val="-7"/>
                <w:w w:val="94"/>
                <w:sz w:val="18"/>
              </w:rPr>
              <w:t>障害者に対する職業訓練の受講者数</w:t>
            </w:r>
          </w:p>
        </w:tc>
      </w:tr>
    </w:tbl>
    <w:p>
      <w:pPr>
        <w:pStyle w:val="0"/>
        <w:spacing w:line="0" w:lineRule="atLeast"/>
        <w:ind w:left="762" w:leftChars="300" w:right="224" w:rightChars="100" w:hanging="90" w:hangingChars="100"/>
        <w:rPr>
          <w:rFonts w:hint="default"/>
          <w:spacing w:val="-2"/>
          <w:w w:val="90"/>
          <w:sz w:val="10"/>
        </w:rPr>
      </w:pPr>
    </w:p>
    <w:tbl>
      <w:tblPr>
        <w:tblStyle w:val="281"/>
        <w:tblW w:w="9214"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57" w:type="dxa"/>
          <w:right w:w="57" w:type="dxa"/>
        </w:tblCellMar>
        <w:tblLook w:firstRow="1" w:lastRow="0" w:firstColumn="1" w:lastColumn="0" w:noHBand="0" w:noVBand="1" w:val="04A0"/>
      </w:tblPr>
      <w:tblGrid>
        <w:gridCol w:w="997"/>
        <w:gridCol w:w="8217"/>
      </w:tblGrid>
      <w:tr>
        <w:trPr/>
        <w:tc>
          <w:tcPr>
            <w:tcW w:w="9214" w:type="dxa"/>
            <w:gridSpan w:val="2"/>
            <w:vAlign w:val="top"/>
          </w:tcPr>
          <w:p>
            <w:pPr>
              <w:pStyle w:val="0"/>
              <w:spacing w:line="0" w:lineRule="atLeast"/>
              <w:ind w:right="224" w:right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⑤発達障害者等に対する支援</w:t>
            </w:r>
          </w:p>
        </w:tc>
      </w:tr>
      <w:tr>
        <w:trPr/>
        <w:tc>
          <w:tcPr>
            <w:tcW w:w="997" w:type="dxa"/>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p>
          <w:p>
            <w:pPr>
              <w:pStyle w:val="0"/>
              <w:spacing w:line="220" w:lineRule="exact"/>
              <w:textAlignment w:val="center"/>
              <w:rPr>
                <w:rFonts w:hint="default" w:ascii="ＭＳ ゴシック" w:hAnsi="ＭＳ ゴシック" w:eastAsia="ＭＳ ゴシック"/>
                <w:spacing w:val="-12"/>
                <w:w w:val="68"/>
                <w:sz w:val="20"/>
              </w:rPr>
            </w:pPr>
            <w:r>
              <w:rPr>
                <w:rFonts w:hint="default" w:ascii="ＭＳ ゴシック" w:hAnsi="ＭＳ ゴシック" w:eastAsia="ＭＳ ゴシック"/>
                <w:spacing w:val="-4"/>
                <w:w w:val="90"/>
                <w:sz w:val="20"/>
              </w:rPr>
              <w:t xml:space="preserve"> </w:t>
            </w:r>
            <w:r>
              <w:rPr>
                <w:rFonts w:hint="default" w:ascii="ＭＳ ゴシック" w:hAnsi="ＭＳ ゴシック" w:eastAsia="ＭＳ ゴシック"/>
                <w:spacing w:val="-4"/>
                <w:w w:val="90"/>
                <w:sz w:val="20"/>
              </w:rPr>
              <w:t>･市町村</w:t>
            </w:r>
            <w:r>
              <w:rPr>
                <w:rFonts w:hint="default" w:ascii="ＭＳ ゴシック" w:hAnsi="ＭＳ ゴシック" w:eastAsia="ＭＳ ゴシック"/>
                <w:spacing w:val="-4"/>
                <w:w w:val="90"/>
                <w:sz w:val="20"/>
              </w:rPr>
              <w:t>)</w:t>
            </w:r>
          </w:p>
        </w:tc>
        <w:tc>
          <w:tcPr>
            <w:tcW w:w="8217" w:type="dxa"/>
            <w:vAlign w:val="center"/>
          </w:tcPr>
          <w:p>
            <w:pPr>
              <w:pStyle w:val="0"/>
              <w:spacing w:line="0" w:lineRule="atLeast"/>
              <w:ind w:left="170" w:hanging="170" w:hangingChars="100"/>
              <w:rPr>
                <w:rFonts w:hint="default"/>
                <w:spacing w:val="-7"/>
                <w:sz w:val="18"/>
              </w:rPr>
            </w:pPr>
            <w:r>
              <w:rPr>
                <w:rFonts w:hint="eastAsia"/>
                <w:spacing w:val="-7"/>
                <w:sz w:val="18"/>
              </w:rPr>
              <w:t>○発達障害者地域支援協議会の開催回数　　　　　○発達障害者支援センターによる相談支援の件数</w:t>
            </w:r>
          </w:p>
          <w:p>
            <w:pPr>
              <w:pStyle w:val="0"/>
              <w:spacing w:line="0" w:lineRule="atLeast"/>
              <w:ind w:left="170" w:hanging="170" w:hangingChars="100"/>
              <w:rPr>
                <w:rFonts w:hint="default"/>
                <w:spacing w:val="-7"/>
                <w:sz w:val="18"/>
              </w:rPr>
            </w:pPr>
            <w:r>
              <w:rPr>
                <w:rFonts w:hint="eastAsia"/>
                <w:spacing w:val="-7"/>
                <w:sz w:val="18"/>
              </w:rPr>
              <w:t>○発達障害者支援センター及び発達障害者地域支援マネジャーの関係機関への助言件数</w:t>
            </w:r>
          </w:p>
          <w:p>
            <w:pPr>
              <w:pStyle w:val="0"/>
              <w:spacing w:line="0" w:lineRule="atLeast"/>
              <w:ind w:left="170" w:hanging="170" w:hangingChars="100"/>
              <w:rPr>
                <w:rFonts w:hint="default"/>
                <w:spacing w:val="-7"/>
                <w:sz w:val="18"/>
              </w:rPr>
            </w:pPr>
            <w:r>
              <w:rPr>
                <w:rFonts w:hint="eastAsia"/>
                <w:spacing w:val="-7"/>
                <w:sz w:val="18"/>
              </w:rPr>
              <w:t>○発達障害者支援センター及び発達障害者地域支援マネジャーの外部機関や地域住民への研修、啓発の件数</w:t>
            </w:r>
          </w:p>
          <w:p>
            <w:pPr>
              <w:pStyle w:val="0"/>
              <w:spacing w:line="0" w:lineRule="atLeast"/>
              <w:ind w:left="170" w:hanging="170" w:hangingChars="100"/>
              <w:rPr>
                <w:rFonts w:hint="default"/>
                <w:spacing w:val="-7"/>
                <w:sz w:val="18"/>
              </w:rPr>
            </w:pPr>
            <w:r>
              <w:rPr>
                <w:rFonts w:hint="eastAsia"/>
                <w:spacing w:val="-7"/>
                <w:sz w:val="18"/>
              </w:rPr>
              <w:t>○ペアレントトレーニングやペアレントプログラム等の支援プログラム等の実施者数</w:t>
            </w:r>
          </w:p>
          <w:p>
            <w:pPr>
              <w:pStyle w:val="0"/>
              <w:spacing w:line="0" w:lineRule="atLeast"/>
              <w:ind w:left="170" w:hanging="170" w:hangingChars="100"/>
              <w:rPr>
                <w:rFonts w:hint="default"/>
                <w:spacing w:val="-7"/>
                <w:sz w:val="18"/>
              </w:rPr>
            </w:pPr>
            <w:r>
              <w:rPr>
                <w:rFonts w:hint="eastAsia"/>
                <w:spacing w:val="-7"/>
                <w:sz w:val="18"/>
              </w:rPr>
              <w:t>○ペアレントメンターの人数　　　　　　　　　　○ピアサポートの活動への参加人数</w:t>
            </w:r>
          </w:p>
        </w:tc>
      </w:tr>
    </w:tbl>
    <w:p>
      <w:pPr>
        <w:pStyle w:val="0"/>
        <w:spacing w:line="0" w:lineRule="atLeast"/>
        <w:ind w:left="762" w:leftChars="300" w:right="224" w:rightChars="100" w:hanging="90" w:hangingChars="100"/>
        <w:rPr>
          <w:rFonts w:hint="default"/>
          <w:spacing w:val="-2"/>
          <w:w w:val="90"/>
          <w:sz w:val="10"/>
        </w:rPr>
      </w:pPr>
    </w:p>
    <w:tbl>
      <w:tblPr>
        <w:tblStyle w:val="281"/>
        <w:tblW w:w="9214"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57" w:type="dxa"/>
          <w:right w:w="57" w:type="dxa"/>
        </w:tblCellMar>
        <w:tblLook w:firstRow="1" w:lastRow="0" w:firstColumn="1" w:lastColumn="0" w:noHBand="0" w:noVBand="1" w:val="04A0"/>
      </w:tblPr>
      <w:tblGrid>
        <w:gridCol w:w="997"/>
        <w:gridCol w:w="8217"/>
      </w:tblGrid>
      <w:tr>
        <w:trPr/>
        <w:tc>
          <w:tcPr>
            <w:tcW w:w="9214" w:type="dxa"/>
            <w:gridSpan w:val="2"/>
            <w:vAlign w:val="top"/>
          </w:tcPr>
          <w:p>
            <w:pPr>
              <w:pStyle w:val="0"/>
              <w:spacing w:line="0" w:lineRule="atLeast"/>
              <w:ind w:right="224" w:right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⑥障害児支援の提供体制の整備等</w:t>
            </w:r>
          </w:p>
        </w:tc>
      </w:tr>
      <w:tr>
        <w:trPr/>
        <w:tc>
          <w:tcPr>
            <w:tcW w:w="997" w:type="dxa"/>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p>
          <w:p>
            <w:pPr>
              <w:pStyle w:val="0"/>
              <w:spacing w:line="220" w:lineRule="exact"/>
              <w:textAlignment w:val="center"/>
              <w:rPr>
                <w:rFonts w:hint="default" w:ascii="ＭＳ ゴシック" w:hAnsi="ＭＳ ゴシック" w:eastAsia="ＭＳ ゴシック"/>
                <w:spacing w:val="-2"/>
                <w:w w:val="90"/>
                <w:sz w:val="20"/>
              </w:rPr>
            </w:pPr>
            <w:r>
              <w:rPr>
                <w:rFonts w:hint="default" w:ascii="ＭＳ ゴシック" w:hAnsi="ＭＳ ゴシック" w:eastAsia="ＭＳ ゴシック"/>
                <w:spacing w:val="-4"/>
                <w:w w:val="90"/>
                <w:sz w:val="20"/>
              </w:rPr>
              <w:t xml:space="preserve"> </w:t>
            </w:r>
            <w:r>
              <w:rPr>
                <w:rFonts w:hint="default" w:ascii="ＭＳ ゴシック" w:hAnsi="ＭＳ ゴシック" w:eastAsia="ＭＳ ゴシック"/>
                <w:spacing w:val="-4"/>
                <w:w w:val="90"/>
                <w:sz w:val="20"/>
              </w:rPr>
              <w:t>･市町村</w:t>
            </w:r>
            <w:r>
              <w:rPr>
                <w:rFonts w:hint="default" w:ascii="ＭＳ ゴシック" w:hAnsi="ＭＳ ゴシック" w:eastAsia="ＭＳ ゴシック"/>
                <w:spacing w:val="-4"/>
                <w:w w:val="90"/>
                <w:sz w:val="20"/>
              </w:rPr>
              <w:t>)</w:t>
            </w:r>
          </w:p>
        </w:tc>
        <w:tc>
          <w:tcPr>
            <w:tcW w:w="8217" w:type="dxa"/>
            <w:vAlign w:val="center"/>
          </w:tcPr>
          <w:p>
            <w:pPr>
              <w:pStyle w:val="0"/>
              <w:spacing w:line="0" w:lineRule="atLeast"/>
              <w:ind w:left="170" w:hanging="170" w:hangingChars="100"/>
              <w:rPr>
                <w:rFonts w:hint="default"/>
                <w:spacing w:val="-7"/>
                <w:sz w:val="18"/>
              </w:rPr>
            </w:pPr>
            <w:r>
              <w:rPr>
                <w:rFonts w:hint="eastAsia"/>
                <w:spacing w:val="-7"/>
                <w:sz w:val="18"/>
              </w:rPr>
              <w:t>○児童発達支援の利用児童数、利用日数　　　　○放課後等デイサービスの利用児童数、利用日数</w:t>
            </w:r>
          </w:p>
          <w:p>
            <w:pPr>
              <w:pStyle w:val="0"/>
              <w:spacing w:line="0" w:lineRule="atLeast"/>
              <w:ind w:left="170" w:hanging="170" w:hangingChars="100"/>
              <w:rPr>
                <w:rFonts w:hint="default"/>
                <w:spacing w:val="-7"/>
                <w:sz w:val="18"/>
              </w:rPr>
            </w:pPr>
            <w:r>
              <w:rPr>
                <w:rFonts w:hint="eastAsia"/>
                <w:spacing w:val="-7"/>
                <w:sz w:val="18"/>
              </w:rPr>
              <w:t>○保育所等訪問支援の利用児童数、利用日数　　○訪問型児童発達支援の利用児童数、利用日数</w:t>
            </w:r>
          </w:p>
          <w:p>
            <w:pPr>
              <w:pStyle w:val="0"/>
              <w:spacing w:line="0" w:lineRule="atLeast"/>
              <w:ind w:left="170" w:hanging="170" w:hangingChars="100"/>
              <w:rPr>
                <w:rFonts w:hint="default"/>
                <w:spacing w:val="-7"/>
                <w:sz w:val="18"/>
              </w:rPr>
            </w:pPr>
            <w:r>
              <w:rPr>
                <w:rFonts w:hint="eastAsia"/>
                <w:spacing w:val="-7"/>
                <w:sz w:val="18"/>
              </w:rPr>
              <w:t>○障害児相談支援の利用児童数</w:t>
            </w:r>
          </w:p>
          <w:p>
            <w:pPr>
              <w:pStyle w:val="0"/>
              <w:spacing w:line="0" w:lineRule="atLeast"/>
              <w:ind w:left="170" w:hanging="170" w:hangingChars="100"/>
              <w:rPr>
                <w:rFonts w:hint="default"/>
                <w:spacing w:val="-7"/>
                <w:sz w:val="18"/>
              </w:rPr>
            </w:pPr>
            <w:r>
              <w:rPr>
                <w:rFonts w:hint="eastAsia"/>
                <w:spacing w:val="-7"/>
                <w:sz w:val="18"/>
              </w:rPr>
              <w:t>○医療的ケア児等に対する関連分野の支援を調整するコーディネーターの配置人数</w:t>
            </w:r>
          </w:p>
        </w:tc>
      </w:tr>
      <w:tr>
        <w:trPr/>
        <w:tc>
          <w:tcPr>
            <w:tcW w:w="997" w:type="dxa"/>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r>
              <w:rPr>
                <w:rFonts w:hint="default" w:ascii="ＭＳ ゴシック" w:hAnsi="ＭＳ ゴシック" w:eastAsia="ＭＳ ゴシック"/>
                <w:spacing w:val="-4"/>
                <w:w w:val="90"/>
                <w:sz w:val="20"/>
              </w:rPr>
              <w:t>)</w:t>
            </w:r>
          </w:p>
        </w:tc>
        <w:tc>
          <w:tcPr>
            <w:tcW w:w="8217" w:type="dxa"/>
            <w:vAlign w:val="center"/>
          </w:tcPr>
          <w:p>
            <w:pPr>
              <w:pStyle w:val="0"/>
              <w:spacing w:line="0" w:lineRule="atLeast"/>
              <w:ind w:left="184" w:hanging="184" w:hangingChars="100"/>
              <w:rPr>
                <w:rFonts w:hint="default"/>
                <w:sz w:val="18"/>
              </w:rPr>
            </w:pPr>
            <w:r>
              <w:rPr>
                <w:rFonts w:hint="eastAsia"/>
                <w:sz w:val="18"/>
              </w:rPr>
              <w:t>○福祉型障害児入所施設の利用児童数　　　　　　○医療型障害児入所施設の利用児童数</w:t>
            </w:r>
          </w:p>
          <w:p>
            <w:pPr>
              <w:pStyle w:val="0"/>
              <w:spacing w:line="0" w:lineRule="atLeast"/>
              <w:ind w:left="184" w:hanging="184" w:hangingChars="100"/>
              <w:rPr>
                <w:rFonts w:hint="default"/>
                <w:sz w:val="18"/>
              </w:rPr>
            </w:pPr>
            <w:r>
              <w:rPr>
                <w:rFonts w:hint="eastAsia"/>
                <w:sz w:val="18"/>
              </w:rPr>
              <w:t>○医療的ケア児等の支援を総合調整するコーディネーターの配置人数【新設】</w:t>
            </w:r>
          </w:p>
        </w:tc>
      </w:tr>
    </w:tbl>
    <w:p>
      <w:pPr>
        <w:pStyle w:val="0"/>
        <w:spacing w:line="0" w:lineRule="atLeast"/>
        <w:ind w:left="762" w:leftChars="300" w:right="224" w:rightChars="100" w:hanging="90" w:hangingChars="100"/>
        <w:rPr>
          <w:rFonts w:hint="default"/>
          <w:spacing w:val="-2"/>
          <w:w w:val="90"/>
          <w:sz w:val="10"/>
        </w:rPr>
      </w:pPr>
    </w:p>
    <w:tbl>
      <w:tblPr>
        <w:tblStyle w:val="281"/>
        <w:tblW w:w="9214"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57" w:type="dxa"/>
          <w:right w:w="57" w:type="dxa"/>
        </w:tblCellMar>
        <w:tblLook w:firstRow="1" w:lastRow="0" w:firstColumn="1" w:lastColumn="0" w:noHBand="0" w:noVBand="1" w:val="04A0"/>
      </w:tblPr>
      <w:tblGrid>
        <w:gridCol w:w="997"/>
        <w:gridCol w:w="8217"/>
      </w:tblGrid>
      <w:tr>
        <w:trPr/>
        <w:tc>
          <w:tcPr>
            <w:tcW w:w="9214" w:type="dxa"/>
            <w:gridSpan w:val="2"/>
            <w:vAlign w:val="top"/>
          </w:tcPr>
          <w:p>
            <w:pPr>
              <w:pStyle w:val="0"/>
              <w:spacing w:line="0" w:lineRule="atLeast"/>
              <w:ind w:right="224" w:right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⑦相談支援体制の充実・強化等</w:t>
            </w:r>
          </w:p>
        </w:tc>
      </w:tr>
      <w:tr>
        <w:trPr/>
        <w:tc>
          <w:tcPr>
            <w:tcW w:w="997" w:type="dxa"/>
            <w:vAlign w:val="top"/>
          </w:tcPr>
          <w:p>
            <w:pPr>
              <w:pStyle w:val="0"/>
              <w:spacing w:line="0" w:lineRule="atLeast"/>
              <w:ind w:left="176" w:hanging="176" w:hangingChars="100"/>
              <w:rPr>
                <w:rFonts w:hint="default" w:ascii="ＭＳ ゴシック" w:hAnsi="ＭＳ ゴシック" w:eastAsia="ＭＳ ゴシック"/>
                <w:spacing w:val="-2"/>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市町村</w:t>
            </w:r>
            <w:r>
              <w:rPr>
                <w:rFonts w:hint="default" w:ascii="ＭＳ ゴシック" w:hAnsi="ＭＳ ゴシック" w:eastAsia="ＭＳ ゴシック"/>
                <w:spacing w:val="-4"/>
                <w:w w:val="90"/>
                <w:sz w:val="20"/>
              </w:rPr>
              <w:t>)</w:t>
            </w:r>
          </w:p>
        </w:tc>
        <w:tc>
          <w:tcPr>
            <w:tcW w:w="8217" w:type="dxa"/>
            <w:vAlign w:val="center"/>
          </w:tcPr>
          <w:p>
            <w:pPr>
              <w:pStyle w:val="0"/>
              <w:spacing w:line="0" w:lineRule="atLeast"/>
              <w:ind w:left="180" w:hanging="180" w:hangingChars="100"/>
              <w:rPr>
                <w:rFonts w:hint="default"/>
                <w:spacing w:val="-2"/>
                <w:sz w:val="18"/>
              </w:rPr>
            </w:pPr>
            <w:r>
              <w:rPr>
                <w:rFonts w:hint="eastAsia"/>
                <w:spacing w:val="-2"/>
                <w:sz w:val="18"/>
              </w:rPr>
              <w:t>○基幹相談支援センターの設置【新設】</w:t>
            </w:r>
          </w:p>
          <w:p>
            <w:pPr>
              <w:pStyle w:val="0"/>
              <w:spacing w:line="0" w:lineRule="atLeast"/>
              <w:ind w:left="180" w:hanging="180" w:hangingChars="100"/>
              <w:rPr>
                <w:rFonts w:hint="default"/>
                <w:spacing w:val="-2"/>
                <w:sz w:val="18"/>
              </w:rPr>
            </w:pPr>
            <w:r>
              <w:rPr>
                <w:rFonts w:hint="eastAsia"/>
                <w:spacing w:val="-2"/>
                <w:sz w:val="18"/>
              </w:rPr>
              <w:t>○基幹相談支援センターによる地域の相談支援事業者に対する訪問等による専門的な指導・助言件数</w:t>
            </w:r>
          </w:p>
          <w:p>
            <w:pPr>
              <w:pStyle w:val="0"/>
              <w:spacing w:line="0" w:lineRule="atLeast"/>
              <w:ind w:left="180" w:hanging="180" w:hangingChars="100"/>
              <w:rPr>
                <w:rFonts w:hint="default"/>
                <w:spacing w:val="-2"/>
                <w:sz w:val="18"/>
              </w:rPr>
            </w:pPr>
            <w:r>
              <w:rPr>
                <w:rFonts w:hint="eastAsia"/>
                <w:spacing w:val="-2"/>
                <w:sz w:val="18"/>
              </w:rPr>
              <w:t>○基幹相談支援センターによる地域の相談支援事業者の人材育成の支援件数</w:t>
            </w:r>
          </w:p>
          <w:p>
            <w:pPr>
              <w:pStyle w:val="0"/>
              <w:spacing w:line="0" w:lineRule="atLeast"/>
              <w:ind w:left="180" w:hanging="180" w:hangingChars="100"/>
              <w:rPr>
                <w:rFonts w:hint="default"/>
                <w:spacing w:val="-2"/>
                <w:sz w:val="18"/>
              </w:rPr>
            </w:pPr>
            <w:r>
              <w:rPr>
                <w:rFonts w:hint="eastAsia"/>
                <w:spacing w:val="-2"/>
                <w:sz w:val="18"/>
              </w:rPr>
              <w:t>○基幹相談支援センターによる地域の相談機関との連携強化の取組の実施回数</w:t>
            </w:r>
          </w:p>
          <w:p>
            <w:pPr>
              <w:pStyle w:val="0"/>
              <w:spacing w:line="0" w:lineRule="atLeast"/>
              <w:ind w:left="180" w:hanging="180" w:hangingChars="100"/>
              <w:rPr>
                <w:rFonts w:hint="default"/>
                <w:spacing w:val="-2"/>
                <w:sz w:val="18"/>
              </w:rPr>
            </w:pPr>
            <w:r>
              <w:rPr>
                <w:rFonts w:hint="eastAsia"/>
                <w:spacing w:val="-2"/>
                <w:sz w:val="18"/>
              </w:rPr>
              <w:t>○協議会における個別事例の検討を通じた地域のサービスの開発・改善【新設】</w:t>
            </w:r>
          </w:p>
        </w:tc>
      </w:tr>
    </w:tbl>
    <w:p>
      <w:pPr>
        <w:pStyle w:val="0"/>
        <w:spacing w:line="0" w:lineRule="atLeast"/>
        <w:ind w:left="762" w:leftChars="300" w:right="224" w:rightChars="100" w:hanging="90" w:hangingChars="100"/>
        <w:rPr>
          <w:rFonts w:hint="default"/>
          <w:spacing w:val="-2"/>
          <w:w w:val="90"/>
          <w:sz w:val="10"/>
        </w:rPr>
      </w:pPr>
    </w:p>
    <w:tbl>
      <w:tblPr>
        <w:tblStyle w:val="281"/>
        <w:tblW w:w="9214"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57" w:type="dxa"/>
          <w:right w:w="57" w:type="dxa"/>
        </w:tblCellMar>
        <w:tblLook w:firstRow="1" w:lastRow="0" w:firstColumn="1" w:lastColumn="0" w:noHBand="0" w:noVBand="1" w:val="04A0"/>
      </w:tblPr>
      <w:tblGrid>
        <w:gridCol w:w="997"/>
        <w:gridCol w:w="8217"/>
      </w:tblGrid>
      <w:tr>
        <w:trPr/>
        <w:tc>
          <w:tcPr>
            <w:tcW w:w="9214" w:type="dxa"/>
            <w:gridSpan w:val="2"/>
            <w:vAlign w:val="top"/>
          </w:tcPr>
          <w:p>
            <w:pPr>
              <w:pStyle w:val="0"/>
              <w:spacing w:line="0" w:lineRule="atLeast"/>
              <w:ind w:right="224" w:rightChars="100"/>
              <w:rPr>
                <w:rFonts w:hint="default" w:ascii="ＭＳ ゴシック" w:hAnsi="ＭＳ ゴシック" w:eastAsia="ＭＳ ゴシック"/>
                <w:sz w:val="20"/>
                <w:u w:val="single" w:color="auto"/>
              </w:rPr>
            </w:pPr>
            <w:r>
              <w:rPr>
                <w:rFonts w:hint="eastAsia" w:ascii="ＭＳ ゴシック" w:hAnsi="ＭＳ ゴシック" w:eastAsia="ＭＳ ゴシック"/>
                <w:sz w:val="20"/>
                <w:u w:val="single" w:color="auto"/>
              </w:rPr>
              <w:t>⑧障害福祉サービス等の質を向上させるための取組に係る体制の構築</w:t>
            </w:r>
          </w:p>
        </w:tc>
      </w:tr>
      <w:tr>
        <w:trPr/>
        <w:tc>
          <w:tcPr>
            <w:tcW w:w="997" w:type="dxa"/>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市町村</w:t>
            </w:r>
            <w:r>
              <w:rPr>
                <w:rFonts w:hint="default" w:ascii="ＭＳ ゴシック" w:hAnsi="ＭＳ ゴシック" w:eastAsia="ＭＳ ゴシック"/>
                <w:spacing w:val="-4"/>
                <w:w w:val="90"/>
                <w:sz w:val="20"/>
              </w:rPr>
              <w:t>)</w:t>
            </w:r>
          </w:p>
        </w:tc>
        <w:tc>
          <w:tcPr>
            <w:tcW w:w="8217" w:type="dxa"/>
            <w:vAlign w:val="center"/>
          </w:tcPr>
          <w:p>
            <w:pPr>
              <w:pStyle w:val="0"/>
              <w:spacing w:line="0" w:lineRule="atLeast"/>
              <w:ind w:left="170" w:hanging="170" w:hangingChars="100"/>
              <w:rPr>
                <w:rFonts w:hint="default"/>
                <w:spacing w:val="-7"/>
                <w:sz w:val="18"/>
              </w:rPr>
            </w:pPr>
            <w:r>
              <w:rPr>
                <w:rFonts w:hint="eastAsia"/>
                <w:spacing w:val="-7"/>
                <w:sz w:val="18"/>
              </w:rPr>
              <w:t>○</w:t>
            </w:r>
            <w:r>
              <w:rPr>
                <w:rFonts w:hint="eastAsia"/>
                <w:spacing w:val="-7"/>
                <w:w w:val="90"/>
                <w:sz w:val="18"/>
              </w:rPr>
              <w:t>都道府県が実施する障害福祉サービス等に係る研修の参加や都道府県が市町村職員に対して実施する研修の参加人数</w:t>
            </w:r>
          </w:p>
          <w:p>
            <w:pPr>
              <w:pStyle w:val="0"/>
              <w:spacing w:line="0" w:lineRule="atLeast"/>
              <w:ind w:left="170" w:hanging="170" w:hangingChars="100"/>
              <w:rPr>
                <w:rFonts w:hint="default"/>
                <w:spacing w:val="-7"/>
                <w:sz w:val="18"/>
              </w:rPr>
            </w:pPr>
            <w:r>
              <w:rPr>
                <w:rFonts w:hint="eastAsia"/>
                <w:spacing w:val="-7"/>
                <w:sz w:val="18"/>
              </w:rPr>
              <w:t>○障害者自立支援審査支払等システム等での審査結果を分析してその結果を活用し、事業所や関係自治体等と共有する体制の有無及びそれに基づく実施回数</w:t>
            </w:r>
          </w:p>
        </w:tc>
      </w:tr>
      <w:tr>
        <w:trPr/>
        <w:tc>
          <w:tcPr>
            <w:tcW w:w="997" w:type="dxa"/>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p>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 xml:space="preserve"> </w:t>
            </w:r>
            <w:r>
              <w:rPr>
                <w:rFonts w:hint="default" w:ascii="ＭＳ ゴシック" w:hAnsi="ＭＳ ゴシック" w:eastAsia="ＭＳ ゴシック"/>
                <w:spacing w:val="-4"/>
                <w:w w:val="90"/>
                <w:sz w:val="20"/>
              </w:rPr>
              <w:t>･市町村</w:t>
            </w:r>
            <w:r>
              <w:rPr>
                <w:rFonts w:hint="default" w:ascii="ＭＳ ゴシック" w:hAnsi="ＭＳ ゴシック" w:eastAsia="ＭＳ ゴシック"/>
                <w:spacing w:val="-4"/>
                <w:w w:val="90"/>
                <w:sz w:val="20"/>
              </w:rPr>
              <w:t>)</w:t>
            </w:r>
          </w:p>
        </w:tc>
        <w:tc>
          <w:tcPr>
            <w:tcW w:w="8217" w:type="dxa"/>
            <w:vAlign w:val="center"/>
          </w:tcPr>
          <w:p>
            <w:pPr>
              <w:pStyle w:val="0"/>
              <w:spacing w:line="0" w:lineRule="atLeast"/>
              <w:ind w:left="170" w:hanging="170" w:hangingChars="100"/>
              <w:rPr>
                <w:rFonts w:hint="default"/>
                <w:spacing w:val="-7"/>
                <w:sz w:val="18"/>
              </w:rPr>
            </w:pPr>
            <w:r>
              <w:rPr>
                <w:rFonts w:hint="eastAsia"/>
                <w:spacing w:val="-7"/>
                <w:sz w:val="18"/>
              </w:rPr>
              <w:t>○都道府県等が実施する指定障害福祉サービス事業者及び指定障害児通所支援事業者等に対する指導監査の適正な実施とその結果の関係自治体との共有する体制の有無及びそれに基づく共有回数</w:t>
            </w:r>
          </w:p>
        </w:tc>
      </w:tr>
      <w:tr>
        <w:trPr/>
        <w:tc>
          <w:tcPr>
            <w:tcW w:w="997" w:type="dxa"/>
            <w:vAlign w:val="top"/>
          </w:tcPr>
          <w:p>
            <w:pPr>
              <w:pStyle w:val="0"/>
              <w:spacing w:line="220" w:lineRule="exact"/>
              <w:textAlignment w:val="center"/>
              <w:rPr>
                <w:rFonts w:hint="default" w:ascii="ＭＳ ゴシック" w:hAnsi="ＭＳ ゴシック" w:eastAsia="ＭＳ ゴシック"/>
                <w:spacing w:val="-4"/>
                <w:w w:val="90"/>
                <w:sz w:val="20"/>
              </w:rPr>
            </w:pPr>
            <w:r>
              <w:rPr>
                <w:rFonts w:hint="default" w:ascii="ＭＳ ゴシック" w:hAnsi="ＭＳ ゴシック" w:eastAsia="ＭＳ ゴシック"/>
                <w:spacing w:val="-4"/>
                <w:w w:val="90"/>
                <w:sz w:val="20"/>
              </w:rPr>
              <w:t>(</w:t>
            </w:r>
            <w:r>
              <w:rPr>
                <w:rFonts w:hint="default" w:ascii="ＭＳ ゴシック" w:hAnsi="ＭＳ ゴシック" w:eastAsia="ＭＳ ゴシック"/>
                <w:spacing w:val="-4"/>
                <w:w w:val="90"/>
                <w:sz w:val="20"/>
              </w:rPr>
              <w:t>都道府県</w:t>
            </w:r>
            <w:r>
              <w:rPr>
                <w:rFonts w:hint="default" w:ascii="ＭＳ ゴシック" w:hAnsi="ＭＳ ゴシック" w:eastAsia="ＭＳ ゴシック"/>
                <w:spacing w:val="-4"/>
                <w:w w:val="90"/>
                <w:sz w:val="20"/>
              </w:rPr>
              <w:t>)</w:t>
            </w:r>
          </w:p>
        </w:tc>
        <w:tc>
          <w:tcPr>
            <w:tcW w:w="8217" w:type="dxa"/>
            <w:vAlign w:val="center"/>
          </w:tcPr>
          <w:p>
            <w:pPr>
              <w:pStyle w:val="0"/>
              <w:spacing w:line="0" w:lineRule="atLeast"/>
              <w:ind w:left="170" w:hanging="170" w:hangingChars="100"/>
              <w:rPr>
                <w:rFonts w:hint="default"/>
                <w:spacing w:val="-7"/>
                <w:sz w:val="18"/>
              </w:rPr>
            </w:pPr>
            <w:r>
              <w:rPr>
                <w:rFonts w:hint="eastAsia"/>
                <w:spacing w:val="-7"/>
                <w:sz w:val="18"/>
              </w:rPr>
              <w:t>○相談支援専門員研修及びサービス管理責任者・児童発達支援管理責任者研修の修了者数の見込み【新設】</w:t>
            </w:r>
          </w:p>
          <w:p>
            <w:pPr>
              <w:pStyle w:val="0"/>
              <w:spacing w:line="0" w:lineRule="atLeast"/>
              <w:ind w:left="170" w:hanging="170" w:hangingChars="100"/>
              <w:rPr>
                <w:rFonts w:hint="default"/>
                <w:spacing w:val="-7"/>
                <w:sz w:val="18"/>
              </w:rPr>
            </w:pPr>
            <w:r>
              <w:rPr>
                <w:rFonts w:hint="eastAsia"/>
                <w:spacing w:val="-7"/>
                <w:sz w:val="18"/>
              </w:rPr>
              <w:t>○相談支援専門員及びサービス管理責任者・児童発達支援管理責任者への意思決定支援ガイドライン等を活用した研修の実施回数及び修了者数の見込み【新設】</w:t>
            </w:r>
          </w:p>
        </w:tc>
      </w:tr>
    </w:tbl>
    <w:p>
      <w:pPr>
        <w:pStyle w:val="19"/>
        <w:spacing w:line="200" w:lineRule="exact"/>
        <w:rPr>
          <w:rFonts w:hint="default"/>
        </w:rPr>
      </w:pPr>
    </w:p>
    <w:p>
      <w:pPr>
        <w:pStyle w:val="0"/>
        <w:widowControl w:val="1"/>
        <w:spacing w:line="20" w:lineRule="exact"/>
        <w:jc w:val="left"/>
        <w:rPr>
          <w:rFonts w:hint="default" w:ascii="HGｺﾞｼｯｸM" w:hAnsi="HGｺﾞｼｯｸM" w:eastAsia="ＭＳ ゴシック"/>
          <w:sz w:val="26"/>
        </w:rPr>
      </w:pPr>
      <w:bookmarkEnd w:id="10"/>
      <w:bookmarkStart w:id="13" w:name="_Toc505592278"/>
      <w:r>
        <w:rPr>
          <w:rFonts w:hint="default"/>
        </w:rPr>
        <w:br w:type="page"/>
      </w:r>
    </w:p>
    <w:p>
      <w:pPr>
        <w:pStyle w:val="23"/>
        <w:rPr>
          <w:rFonts w:hint="default"/>
        </w:rPr>
      </w:pPr>
      <w:bookmarkEnd w:id="13"/>
      <w:bookmarkStart w:id="14" w:name="_Toc158300400"/>
      <w:r>
        <w:rPr>
          <w:rFonts w:hint="eastAsia"/>
        </w:rPr>
        <w:t>５．計画の期間</w:t>
      </w:r>
      <w:bookmarkEnd w:id="14"/>
    </w:p>
    <w:p>
      <w:pPr>
        <w:pStyle w:val="19"/>
        <w:rPr>
          <w:rFonts w:hint="default"/>
          <w:spacing w:val="-3"/>
        </w:rPr>
      </w:pPr>
      <w:r>
        <w:rPr>
          <w:rFonts w:hint="eastAsia"/>
        </w:rPr>
        <w:t>障がい福祉計画及び障がい児福祉計画は、基本指針で３年を１期とすることが定められているため、本計画の期間は、令和６年度から令和８年度までの３年間とし、令和８年度に見直しを行います。</w:t>
      </w:r>
      <w:r>
        <w:rPr>
          <w:rFonts w:hint="eastAsia"/>
          <w:spacing w:val="-3"/>
        </w:rPr>
        <w:t>また、障がい者計画についても、</w:t>
      </w:r>
      <w:r>
        <w:rPr>
          <w:rFonts w:hint="eastAsia"/>
        </w:rPr>
        <w:t>障がい福祉計画、障がい児福祉計画との整合性を図る観点から、計画期間並びに</w:t>
      </w:r>
      <w:r>
        <w:rPr>
          <w:rFonts w:hint="eastAsia"/>
        </w:rPr>
        <mc:AlternateContent>
          <mc:Choice Requires="wpg">
            <w:drawing>
              <wp:anchor distT="0" distB="0" distL="114300" distR="114300" simplePos="0" relativeHeight="84" behindDoc="0" locked="1" layoutInCell="1" hidden="0" allowOverlap="1">
                <wp:simplePos x="0" y="0"/>
                <wp:positionH relativeFrom="column">
                  <wp:posOffset>2333625</wp:posOffset>
                </wp:positionH>
                <wp:positionV relativeFrom="paragraph">
                  <wp:posOffset>2069465</wp:posOffset>
                </wp:positionV>
                <wp:extent cx="760730" cy="255270"/>
                <wp:effectExtent l="635" t="0" r="29845" b="635"/>
                <wp:wrapNone/>
                <wp:docPr id="1084" name="Group 807"/>
                <a:graphic xmlns:a="http://schemas.openxmlformats.org/drawingml/2006/main">
                  <a:graphicData uri="http://schemas.microsoft.com/office/word/2010/wordprocessingGroup">
                    <wpg:wgp>
                      <wpg:cNvGrpSpPr/>
                      <wpg:grpSpPr>
                        <a:xfrm>
                          <a:off x="0" y="0"/>
                          <a:ext cx="760730" cy="255270"/>
                          <a:chOff x="1508" y="4235"/>
                          <a:chExt cx="1288" cy="402"/>
                        </a:xfrm>
                      </wpg:grpSpPr>
                      <wps:wsp>
                        <wps:cNvPr id="1085" name="Oval 593"/>
                        <wps:cNvSpPr>
                          <a:spLocks noChangeArrowheads="1"/>
                        </wps:cNvSpPr>
                        <wps:spPr>
                          <a:xfrm>
                            <a:off x="1508" y="4243"/>
                            <a:ext cx="1288" cy="350"/>
                          </a:xfrm>
                          <a:prstGeom prst="ellipse">
                            <a:avLst/>
                          </a:prstGeom>
                          <a:solidFill>
                            <a:srgbClr val="FFFFFF"/>
                          </a:solidFill>
                          <a:ln w="9525">
                            <a:solidFill>
                              <a:srgbClr val="000000"/>
                            </a:solidFill>
                            <a:prstDash val="dash"/>
                            <a:round/>
                            <a:headEnd/>
                            <a:tailEnd/>
                          </a:ln>
                        </wps:spPr>
                        <wps:bodyPr/>
                      </wps:wsp>
                      <wps:wsp>
                        <wps:cNvPr id="1086" name="Text Box 594"/>
                        <wps:cNvSpPr txBox="1">
                          <a:spLocks noChangeArrowheads="1"/>
                        </wps:cNvSpPr>
                        <wps:spPr>
                          <a:xfrm>
                            <a:off x="1640" y="4235"/>
                            <a:ext cx="1004" cy="402"/>
                          </a:xfrm>
                          <a:prstGeom prst="rect">
                            <a:avLst/>
                          </a:prstGeom>
                          <a:noFill/>
                          <a:ln>
                            <a:noFill/>
                          </a:ln>
                        </wps:spPr>
                        <wps:txbx>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見直し</w:t>
                              </w:r>
                            </w:p>
                          </w:txbxContent>
                        </wps:txbx>
                        <wps:bodyPr rot="0" vertOverflow="overflow" horzOverflow="overflow" wrap="square" lIns="74295" tIns="8890" rIns="74295" bIns="8890" anchor="t" anchorCtr="0" upright="1"/>
                      </wps:wsp>
                    </wpg:wgp>
                  </a:graphicData>
                </a:graphic>
              </wp:anchor>
            </w:drawing>
          </mc:Choice>
          <mc:Fallback>
            <w:pict>
              <v:group id="Group 807" style="mso-wrap-distance-right:9pt;mso-wrap-distance-bottom:0pt;margin-top:162.94pt;mso-position-vertical-relative:text;mso-position-horizontal-relative:text;position:absolute;height:20.100000000000001pt;mso-wrap-distance-top:0pt;width:59.9pt;mso-wrap-distance-left:9pt;margin-left:183.75pt;z-index:84;" coordsize="1288,402" coordorigin="1508,4235" o:spid="_x0000_s1084" o:allowincell="t" o:allowoverlap="t">
                <v:oval id="Oval 593" style="height:350;width:1288;top:4243;left:1508;position:absolute;" o:spid="_x0000_s1085" filled="t" fillcolor="#ffffff" stroked="t" strokecolor="#000000" strokeweight="0.75pt" o:spt="3">
                  <v:fill/>
                  <v:stroke dashstyle="dash" filltype="solid"/>
                  <v:textbox style="layout-flow:horizontal;"/>
                  <v:imagedata o:title=""/>
                  <w10:wrap type="none" anchorx="text" anchory="text"/>
                  <w10:anchorlock/>
                </v:oval>
                <v:shapetype id="_x0000_t202" coordsize="21600,21600" o:spt="202" path="m,l,21600r21600,l21600,xe">
                  <v:stroke joinstyle="miter"/>
                  <v:path gradientshapeok="t" o:connecttype="rect"/>
                </v:shapetype>
                <v:shape id="Text Box 594" style="height:402;width:1004;top:4235;left:1640;position:absolute;" o:spid="_x0000_s1086" filled="f" stroked="f" o:spt="202" type="#_x0000_t202">
                  <v:fill/>
                  <v:textbox style="layout-flow:horizontal;" inset="2.0637499999999998mm,0.24694444444444438mm,2.0637499999999998mm,0.24694444444444438mm">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見直し</w:t>
                        </w:r>
                      </w:p>
                    </w:txbxContent>
                  </v:textbox>
                  <v:imagedata o:title=""/>
                  <w10:wrap type="none" anchorx="text" anchory="text"/>
                  <w10:anchorlock/>
                </v:shape>
                <w10:wrap type="none" anchorx="text" anchory="text"/>
                <w10:anchorlock/>
              </v:group>
            </w:pict>
          </mc:Fallback>
        </mc:AlternateContent>
      </w:r>
      <w:r>
        <w:rPr>
          <w:rFonts w:hint="eastAsia"/>
        </w:rPr>
        <mc:AlternateContent>
          <mc:Choice Requires="wpg">
            <w:drawing>
              <wp:anchor distT="0" distB="0" distL="114300" distR="114300" simplePos="0" relativeHeight="87" behindDoc="0" locked="1" layoutInCell="1" hidden="0" allowOverlap="1">
                <wp:simplePos x="0" y="0"/>
                <wp:positionH relativeFrom="column">
                  <wp:posOffset>5263515</wp:posOffset>
                </wp:positionH>
                <wp:positionV relativeFrom="paragraph">
                  <wp:posOffset>2372995</wp:posOffset>
                </wp:positionV>
                <wp:extent cx="760730" cy="255270"/>
                <wp:effectExtent l="635" t="0" r="29845" b="635"/>
                <wp:wrapNone/>
                <wp:docPr id="1087" name="Group 807"/>
                <a:graphic xmlns:a="http://schemas.openxmlformats.org/drawingml/2006/main">
                  <a:graphicData uri="http://schemas.microsoft.com/office/word/2010/wordprocessingGroup">
                    <wpg:wgp>
                      <wpg:cNvGrpSpPr/>
                      <wpg:grpSpPr>
                        <a:xfrm>
                          <a:off x="0" y="0"/>
                          <a:ext cx="760730" cy="255270"/>
                          <a:chOff x="1508" y="4235"/>
                          <a:chExt cx="1288" cy="402"/>
                        </a:xfrm>
                      </wpg:grpSpPr>
                      <wps:wsp>
                        <wps:cNvPr id="1088" name="Oval 593"/>
                        <wps:cNvSpPr>
                          <a:spLocks noChangeArrowheads="1"/>
                        </wps:cNvSpPr>
                        <wps:spPr>
                          <a:xfrm>
                            <a:off x="1508" y="4243"/>
                            <a:ext cx="1288" cy="350"/>
                          </a:xfrm>
                          <a:prstGeom prst="ellipse">
                            <a:avLst/>
                          </a:prstGeom>
                          <a:solidFill>
                            <a:srgbClr val="FFFFFF"/>
                          </a:solidFill>
                          <a:ln w="9525">
                            <a:solidFill>
                              <a:srgbClr val="000000"/>
                            </a:solidFill>
                            <a:prstDash val="dash"/>
                            <a:round/>
                            <a:headEnd/>
                            <a:tailEnd/>
                          </a:ln>
                        </wps:spPr>
                        <wps:bodyPr/>
                      </wps:wsp>
                      <wps:wsp>
                        <wps:cNvPr id="1089" name="Text Box 594"/>
                        <wps:cNvSpPr txBox="1">
                          <a:spLocks noChangeArrowheads="1"/>
                        </wps:cNvSpPr>
                        <wps:spPr>
                          <a:xfrm>
                            <a:off x="1640" y="4235"/>
                            <a:ext cx="1004" cy="402"/>
                          </a:xfrm>
                          <a:prstGeom prst="rect">
                            <a:avLst/>
                          </a:prstGeom>
                          <a:noFill/>
                          <a:ln>
                            <a:noFill/>
                          </a:ln>
                        </wps:spPr>
                        <wps:txbx>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見直し</w:t>
                              </w:r>
                            </w:p>
                          </w:txbxContent>
                        </wps:txbx>
                        <wps:bodyPr rot="0" vertOverflow="overflow" horzOverflow="overflow" wrap="square" lIns="74295" tIns="8890" rIns="74295" bIns="8890" anchor="t" anchorCtr="0" upright="1"/>
                      </wps:wsp>
                    </wpg:wgp>
                  </a:graphicData>
                </a:graphic>
              </wp:anchor>
            </w:drawing>
          </mc:Choice>
          <mc:Fallback>
            <w:pict>
              <v:group id="Group 807" style="mso-wrap-distance-right:9pt;mso-wrap-distance-bottom:0pt;margin-top:186.85pt;mso-position-vertical-relative:text;mso-position-horizontal-relative:text;position:absolute;height:20.100000000000001pt;mso-wrap-distance-top:0pt;width:59.9pt;mso-wrap-distance-left:9pt;margin-left:414.45pt;z-index:87;" coordsize="1288,402" coordorigin="1508,4235" o:spid="_x0000_s1087" o:allowincell="t" o:allowoverlap="t">
                <v:oval id="Oval 593" style="height:350;width:1288;top:4243;left:1508;position:absolute;" o:spid="_x0000_s1088" filled="t" fillcolor="#ffffff" stroked="t" strokecolor="#000000" strokeweight="0.75pt" o:spt="3">
                  <v:fill/>
                  <v:stroke dashstyle="dash" filltype="solid"/>
                  <v:textbox style="layout-flow:horizontal;"/>
                  <v:imagedata o:title=""/>
                  <w10:wrap type="none" anchorx="text" anchory="text"/>
                  <w10:anchorlock/>
                </v:oval>
                <v:shapetype id="_x0000_t202" coordsize="21600,21600" o:spt="202" path="m,l,21600r21600,l21600,xe">
                  <v:stroke joinstyle="miter"/>
                  <v:path gradientshapeok="t" o:connecttype="rect"/>
                </v:shapetype>
                <v:shape id="Text Box 594" style="height:402;width:1004;top:4235;left:1640;position:absolute;" o:spid="_x0000_s1089" filled="f" stroked="f" o:spt="202" type="#_x0000_t202">
                  <v:fill/>
                  <v:textbox style="layout-flow:horizontal;" inset="2.0637499999999998mm,0.24694444444444438mm,2.0637499999999998mm,0.24694444444444438mm">
                    <w:txbxContent>
                      <w:p>
                        <w:pPr>
                          <w:pStyle w:val="0"/>
                          <w:jc w:val="center"/>
                          <w:rPr>
                            <w:rFonts w:hint="default" w:ascii="ＭＳ ゴシック" w:hAnsi="ＭＳ ゴシック" w:eastAsia="ＭＳ ゴシック"/>
                            <w:sz w:val="21"/>
                          </w:rPr>
                        </w:pPr>
                        <w:r>
                          <w:rPr>
                            <w:rFonts w:hint="eastAsia" w:ascii="ＭＳ ゴシック" w:hAnsi="ＭＳ ゴシック" w:eastAsia="ＭＳ ゴシック"/>
                            <w:sz w:val="21"/>
                          </w:rPr>
                          <w:t>見直し</w:t>
                        </w:r>
                      </w:p>
                    </w:txbxContent>
                  </v:textbox>
                  <v:imagedata o:title=""/>
                  <w10:wrap type="none" anchorx="text" anchory="text"/>
                  <w10:anchorlock/>
                </v:shape>
                <w10:wrap type="none" anchorx="text" anchory="text"/>
                <w10:anchorlock/>
              </v:group>
            </w:pict>
          </mc:Fallback>
        </mc:AlternateContent>
      </w:r>
      <w:r>
        <w:rPr>
          <w:rFonts w:hint="eastAsia"/>
        </w:rPr>
        <w:t>見直しの時期を同じくします</w:t>
      </w:r>
      <w:r>
        <w:rPr>
          <w:rFonts w:hint="eastAsia"/>
          <w:spacing w:val="-3"/>
        </w:rPr>
        <w:t>。</w:t>
      </w:r>
    </w:p>
    <w:p>
      <w:pPr>
        <w:pStyle w:val="0"/>
        <w:spacing w:line="0" w:lineRule="atLeast"/>
        <w:rPr>
          <w:rFonts w:hint="default"/>
          <w:sz w:val="10"/>
        </w:rPr>
      </w:pPr>
    </w:p>
    <w:tbl>
      <w:tblPr>
        <w:tblStyle w:val="11"/>
        <w:tblW w:w="9176" w:type="dxa"/>
        <w:tblInd w:w="458" w:type="dxa"/>
        <w:tblBorders>
          <w:top w:val="single" w:color="auto" w:sz="4" w:space="0"/>
          <w:left w:val="single" w:color="auto" w:sz="4" w:space="0"/>
          <w:bottom w:val="single" w:color="auto" w:sz="4" w:space="0"/>
          <w:right w:val="single" w:color="auto" w:sz="4" w:space="0"/>
          <w:insideH w:val="single" w:color="auto" w:sz="4" w:space="0"/>
          <w:insideV w:val="dashed" w:color="auto" w:sz="4" w:space="0"/>
        </w:tblBorders>
        <w:tblLayout w:type="fixed"/>
        <w:tblLook w:firstRow="1" w:lastRow="1" w:firstColumn="1" w:lastColumn="1" w:noHBand="0" w:noVBand="0" w:val="01E0"/>
      </w:tblPr>
      <w:tblGrid>
        <w:gridCol w:w="1529"/>
        <w:gridCol w:w="1529"/>
        <w:gridCol w:w="1530"/>
        <w:gridCol w:w="1529"/>
        <w:gridCol w:w="1529"/>
        <w:gridCol w:w="1530"/>
      </w:tblGrid>
      <w:tr>
        <w:trPr/>
        <w:tc>
          <w:tcPr>
            <w:tcW w:w="1529" w:type="dxa"/>
            <w:shd w:val="clear" w:color="auto" w:fill="auto"/>
            <w:tcMar>
              <w:top w:w="28" w:type="dxa"/>
              <w:bottom w:w="28" w:type="dxa"/>
            </w:tcMar>
            <w:vAlign w:val="center"/>
          </w:tcPr>
          <w:p>
            <w:pPr>
              <w:pStyle w:val="43"/>
              <w:widowControl w:val="0"/>
              <w:spacing w:line="0" w:lineRule="atLeast"/>
              <w:ind w:left="0" w:leftChars="0" w:firstLine="0" w:firstLineChars="0"/>
              <w:jc w:val="center"/>
              <w:rPr>
                <w:rFonts w:hint="default"/>
              </w:rPr>
            </w:pPr>
            <w:r>
              <w:rPr>
                <w:rFonts w:hint="eastAsia" w:ascii="ＭＳ ゴシック" w:hAnsi="ＭＳ ゴシック" w:eastAsia="ＭＳ ゴシック"/>
                <w:spacing w:val="-6"/>
                <w:sz w:val="20"/>
              </w:rPr>
              <w:t>令和６年度</w:t>
            </w:r>
          </w:p>
        </w:tc>
        <w:tc>
          <w:tcPr>
            <w:tcW w:w="1529" w:type="dxa"/>
            <w:shd w:val="clear" w:color="auto" w:fill="auto"/>
            <w:tcMar>
              <w:top w:w="28" w:type="dxa"/>
              <w:bottom w:w="28" w:type="dxa"/>
            </w:tcMar>
            <w:vAlign w:val="center"/>
          </w:tcPr>
          <w:p>
            <w:pPr>
              <w:pStyle w:val="43"/>
              <w:widowControl w:val="0"/>
              <w:spacing w:line="0" w:lineRule="atLeast"/>
              <w:ind w:left="0" w:leftChars="0" w:firstLine="0" w:firstLineChars="0"/>
              <w:jc w:val="center"/>
              <w:rPr>
                <w:rFonts w:hint="default"/>
              </w:rPr>
            </w:pPr>
            <w:r>
              <w:rPr>
                <w:rFonts w:hint="eastAsia" w:ascii="ＭＳ ゴシック" w:hAnsi="ＭＳ ゴシック" w:eastAsia="ＭＳ ゴシック"/>
                <w:spacing w:val="-6"/>
                <w:sz w:val="20"/>
              </w:rPr>
              <w:t>令和７年度</w:t>
            </w:r>
          </w:p>
        </w:tc>
        <w:tc>
          <w:tcPr>
            <w:tcW w:w="1530" w:type="dxa"/>
            <w:shd w:val="clear" w:color="auto" w:fill="auto"/>
            <w:tcMar>
              <w:top w:w="28" w:type="dxa"/>
              <w:bottom w:w="28" w:type="dxa"/>
            </w:tcMar>
            <w:vAlign w:val="center"/>
          </w:tcPr>
          <w:p>
            <w:pPr>
              <w:pStyle w:val="43"/>
              <w:widowControl w:val="0"/>
              <w:spacing w:line="0" w:lineRule="atLeast"/>
              <w:ind w:left="0" w:leftChars="0" w:firstLine="0" w:firstLineChars="0"/>
              <w:jc w:val="center"/>
              <w:rPr>
                <w:rFonts w:hint="default"/>
              </w:rPr>
            </w:pPr>
            <w:r>
              <w:rPr>
                <w:rFonts w:hint="eastAsia" w:ascii="ＭＳ ゴシック" w:hAnsi="ＭＳ ゴシック" w:eastAsia="ＭＳ ゴシック"/>
                <w:spacing w:val="-6"/>
                <w:sz w:val="20"/>
              </w:rPr>
              <w:t>令和８年度</w:t>
            </w:r>
          </w:p>
        </w:tc>
        <w:tc>
          <w:tcPr>
            <w:tcW w:w="1529" w:type="dxa"/>
            <w:shd w:val="clear" w:color="auto" w:fill="auto"/>
            <w:tcMar>
              <w:top w:w="28" w:type="dxa"/>
              <w:bottom w:w="28" w:type="dxa"/>
            </w:tcMar>
            <w:vAlign w:val="center"/>
          </w:tcPr>
          <w:p>
            <w:pPr>
              <w:pStyle w:val="43"/>
              <w:widowControl w:val="0"/>
              <w:spacing w:line="0" w:lineRule="atLeast"/>
              <w:ind w:left="0" w:leftChars="0" w:firstLine="0" w:firstLineChars="0"/>
              <w:jc w:val="center"/>
              <w:rPr>
                <w:rFonts w:hint="default"/>
              </w:rPr>
            </w:pPr>
            <w:r>
              <w:rPr>
                <w:rFonts w:hint="eastAsia" w:ascii="ＭＳ ゴシック" w:hAnsi="ＭＳ ゴシック" w:eastAsia="ＭＳ ゴシック"/>
                <w:spacing w:val="-6"/>
                <w:sz w:val="20"/>
              </w:rPr>
              <w:t>令和９年度</w:t>
            </w:r>
          </w:p>
        </w:tc>
        <w:tc>
          <w:tcPr>
            <w:tcW w:w="1529" w:type="dxa"/>
            <w:shd w:val="clear" w:color="auto" w:fill="auto"/>
            <w:tcMar>
              <w:top w:w="28" w:type="dxa"/>
              <w:bottom w:w="28" w:type="dxa"/>
            </w:tcMar>
            <w:vAlign w:val="center"/>
          </w:tcPr>
          <w:p>
            <w:pPr>
              <w:pStyle w:val="43"/>
              <w:widowControl w:val="0"/>
              <w:spacing w:line="0" w:lineRule="atLeast"/>
              <w:ind w:left="0" w:leftChars="0" w:firstLine="0" w:firstLineChars="0"/>
              <w:jc w:val="center"/>
              <w:rPr>
                <w:rFonts w:hint="default"/>
              </w:rPr>
            </w:pPr>
            <w:r>
              <w:rPr>
                <w:rFonts w:hint="eastAsia" w:ascii="ＭＳ ゴシック" w:hAnsi="ＭＳ ゴシック" w:eastAsia="ＭＳ ゴシック"/>
                <w:spacing w:val="-6"/>
                <w:sz w:val="20"/>
              </w:rPr>
              <w:t>令和</w:t>
            </w:r>
            <w:r>
              <w:rPr>
                <w:rFonts w:hint="eastAsia" w:ascii="ＭＳ ゴシック" w:hAnsi="ＭＳ ゴシック" w:eastAsia="ＭＳ ゴシック"/>
                <w:spacing w:val="-6"/>
                <w:sz w:val="20"/>
              </w:rPr>
              <w:t>10</w:t>
            </w:r>
            <w:r>
              <w:rPr>
                <w:rFonts w:hint="eastAsia" w:ascii="ＭＳ ゴシック" w:hAnsi="ＭＳ ゴシック" w:eastAsia="ＭＳ ゴシック"/>
                <w:spacing w:val="-6"/>
                <w:sz w:val="20"/>
              </w:rPr>
              <w:t>年度</w:t>
            </w:r>
          </w:p>
        </w:tc>
        <w:tc>
          <w:tcPr>
            <w:tcW w:w="1530" w:type="dxa"/>
            <w:shd w:val="clear" w:color="auto" w:fill="auto"/>
            <w:tcMar>
              <w:top w:w="28" w:type="dxa"/>
              <w:bottom w:w="28" w:type="dxa"/>
            </w:tcMar>
            <w:vAlign w:val="center"/>
          </w:tcPr>
          <w:p>
            <w:pPr>
              <w:pStyle w:val="43"/>
              <w:widowControl w:val="0"/>
              <w:spacing w:line="0" w:lineRule="atLeast"/>
              <w:ind w:left="0" w:leftChars="0" w:firstLine="0" w:firstLineChars="0"/>
              <w:jc w:val="center"/>
              <w:rPr>
                <w:rFonts w:hint="default"/>
              </w:rPr>
            </w:pPr>
            <w:r>
              <w:rPr>
                <w:rFonts w:hint="eastAsia" w:ascii="ＭＳ ゴシック" w:hAnsi="ＭＳ ゴシック" w:eastAsia="ＭＳ ゴシック"/>
                <w:spacing w:val="-6"/>
                <w:sz w:val="20"/>
              </w:rPr>
              <w:t>令和</w:t>
            </w:r>
            <w:r>
              <w:rPr>
                <w:rFonts w:hint="eastAsia" w:ascii="ＭＳ ゴシック" w:hAnsi="ＭＳ ゴシック" w:eastAsia="ＭＳ ゴシック"/>
                <w:spacing w:val="-6"/>
                <w:sz w:val="20"/>
              </w:rPr>
              <w:t>11</w:t>
            </w:r>
            <w:r>
              <w:rPr>
                <w:rFonts w:hint="eastAsia" w:ascii="ＭＳ ゴシック" w:hAnsi="ＭＳ ゴシック" w:eastAsia="ＭＳ ゴシック"/>
                <w:spacing w:val="-6"/>
                <w:sz w:val="20"/>
              </w:rPr>
              <w:t>年度</w:t>
            </w:r>
          </w:p>
        </w:tc>
      </w:tr>
      <w:tr>
        <w:trPr>
          <w:trHeight w:val="2253" w:hRule="atLeast"/>
        </w:trPr>
        <w:tc>
          <w:tcPr>
            <w:tcW w:w="1529" w:type="dxa"/>
            <w:shd w:val="clear" w:color="auto" w:fill="auto"/>
            <w:vAlign w:val="center"/>
          </w:tcPr>
          <w:p>
            <w:pPr>
              <w:pStyle w:val="43"/>
              <w:widowControl w:val="0"/>
              <w:spacing w:line="0" w:lineRule="atLeast"/>
              <w:ind w:left="0" w:leftChars="0" w:firstLine="0" w:firstLineChars="0"/>
              <w:rPr>
                <w:rFonts w:hint="default"/>
              </w:rPr>
            </w:pPr>
          </w:p>
        </w:tc>
        <w:tc>
          <w:tcPr>
            <w:tcW w:w="1529" w:type="dxa"/>
            <w:shd w:val="clear" w:color="auto" w:fill="auto"/>
            <w:vAlign w:val="center"/>
          </w:tcPr>
          <w:p>
            <w:pPr>
              <w:pStyle w:val="43"/>
              <w:widowControl w:val="0"/>
              <w:spacing w:line="0" w:lineRule="atLeast"/>
              <w:ind w:left="0" w:leftChars="0" w:firstLine="0" w:firstLineChars="0"/>
              <w:rPr>
                <w:rFonts w:hint="default"/>
              </w:rPr>
            </w:pPr>
          </w:p>
        </w:tc>
        <w:tc>
          <w:tcPr>
            <w:tcW w:w="1530" w:type="dxa"/>
            <w:shd w:val="clear" w:color="auto" w:fill="auto"/>
            <w:vAlign w:val="center"/>
          </w:tcPr>
          <w:p>
            <w:pPr>
              <w:pStyle w:val="43"/>
              <w:widowControl w:val="0"/>
              <w:spacing w:line="0" w:lineRule="atLeast"/>
              <w:ind w:left="0" w:leftChars="0" w:firstLine="0" w:firstLineChars="0"/>
              <w:rPr>
                <w:rFonts w:hint="default"/>
              </w:rPr>
            </w:pPr>
          </w:p>
        </w:tc>
        <w:tc>
          <w:tcPr>
            <w:tcW w:w="1529" w:type="dxa"/>
            <w:shd w:val="clear" w:color="auto" w:fill="auto"/>
            <w:vAlign w:val="center"/>
          </w:tcPr>
          <w:p>
            <w:pPr>
              <w:pStyle w:val="43"/>
              <w:widowControl w:val="0"/>
              <w:spacing w:line="0" w:lineRule="atLeast"/>
              <w:ind w:left="0" w:leftChars="0" w:firstLine="0" w:firstLineChars="0"/>
              <w:rPr>
                <w:rFonts w:hint="default"/>
              </w:rPr>
            </w:pPr>
          </w:p>
        </w:tc>
        <w:tc>
          <w:tcPr>
            <w:tcW w:w="1529" w:type="dxa"/>
            <w:shd w:val="clear" w:color="auto" w:fill="auto"/>
            <w:vAlign w:val="center"/>
          </w:tcPr>
          <w:p>
            <w:pPr>
              <w:pStyle w:val="43"/>
              <w:widowControl w:val="0"/>
              <w:spacing w:line="0" w:lineRule="atLeast"/>
              <w:ind w:left="0" w:leftChars="0" w:firstLine="0" w:firstLineChars="0"/>
              <w:rPr>
                <w:rFonts w:hint="default"/>
              </w:rPr>
            </w:pPr>
          </w:p>
        </w:tc>
        <w:tc>
          <w:tcPr>
            <w:tcW w:w="1530" w:type="dxa"/>
            <w:shd w:val="clear" w:color="auto" w:fill="auto"/>
            <w:vAlign w:val="center"/>
          </w:tcPr>
          <w:p>
            <w:pPr>
              <w:pStyle w:val="43"/>
              <w:widowControl w:val="0"/>
              <w:spacing w:line="0" w:lineRule="atLeast"/>
              <w:ind w:left="0" w:leftChars="0" w:firstLine="0" w:firstLineChars="0"/>
              <w:rPr>
                <w:rFonts w:hint="default"/>
              </w:rPr>
            </w:pPr>
          </w:p>
        </w:tc>
      </w:tr>
    </w:tbl>
    <w:p>
      <w:pPr>
        <w:pStyle w:val="0"/>
        <w:spacing w:line="0" w:lineRule="atLeast"/>
        <w:rPr>
          <w:rFonts w:hint="default"/>
          <w:sz w:val="6"/>
        </w:rPr>
      </w:pPr>
      <w:r>
        <w:rPr>
          <w:rFonts w:hint="default"/>
        </w:rPr>
        <mc:AlternateContent>
          <mc:Choice Requires="wps">
            <w:drawing>
              <wp:anchor distT="0" distB="0" distL="114300" distR="114300" simplePos="0" relativeHeight="90" behindDoc="0" locked="1" layoutInCell="1" hidden="0" allowOverlap="1">
                <wp:simplePos x="0" y="0"/>
                <wp:positionH relativeFrom="column">
                  <wp:posOffset>3230880</wp:posOffset>
                </wp:positionH>
                <wp:positionV relativeFrom="paragraph">
                  <wp:posOffset>-1043940</wp:posOffset>
                </wp:positionV>
                <wp:extent cx="2875915" cy="684530"/>
                <wp:effectExtent l="635" t="1270" r="29845" b="11430"/>
                <wp:wrapNone/>
                <wp:docPr id="1090" name="AutoShape 596"/>
                <a:graphic xmlns:a="http://schemas.openxmlformats.org/drawingml/2006/main">
                  <a:graphicData uri="http://schemas.microsoft.com/office/word/2010/wordprocessingShape">
                    <wps:wsp>
                      <wps:cNvPr id="1090" name="AutoShape 596"/>
                      <wps:cNvSpPr>
                        <a:spLocks noChangeArrowheads="1"/>
                      </wps:cNvSpPr>
                      <wps:spPr>
                        <a:xfrm>
                          <a:off x="0" y="0"/>
                          <a:ext cx="2875915" cy="684530"/>
                        </a:xfrm>
                        <a:prstGeom prst="leftRightArrow">
                          <a:avLst>
                            <a:gd name="adj1" fmla="val 68087"/>
                            <a:gd name="adj2" fmla="val 29066"/>
                          </a:avLst>
                        </a:prstGeom>
                        <a:solidFill>
                          <a:schemeClr val="bg1"/>
                        </a:solidFill>
                        <a:ln w="19050">
                          <a:solidFill>
                            <a:srgbClr val="000000"/>
                          </a:solidFill>
                          <a:miter lim="800000"/>
                          <a:headEnd/>
                          <a:tailEnd/>
                        </a:ln>
                        <a:effectLst/>
                      </wps:spPr>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96" style="mso-wrap-distance-right:9pt;mso-wrap-distance-bottom:0pt;margin-top:-82.2pt;mso-position-vertical-relative:text;mso-position-horizontal-relative:text;position:absolute;height:53.9pt;mso-wrap-distance-top:0pt;width:226.45pt;mso-wrap-distance-left:9pt;margin-left:254.4pt;z-index:90;" o:spid="_x0000_s1090" o:allowincell="t" o:allowoverlap="t" filled="t" fillcolor="#ffffff [3212]" stroked="t" strokecolor="#000000" strokeweight="1.5pt" o:spt="69" type="#_x0000_t69" adj="6278,3447">
                <v:fill/>
                <v:stroke miterlimit="8" filltype="solid"/>
                <v:textbox style="layout-flow:horizontal;"/>
                <v:imagedata o:title=""/>
                <w10:wrap type="none" anchorx="text" anchory="text"/>
                <w10:anchorlock/>
              </v:shape>
            </w:pict>
          </mc:Fallback>
        </mc:AlternateContent>
      </w:r>
    </w:p>
    <w:p>
      <w:pPr>
        <w:pStyle w:val="19"/>
        <w:rPr>
          <w:rFonts w:hint="default"/>
        </w:rPr>
      </w:pPr>
      <w:r>
        <w:rPr>
          <w:rFonts w:hint="default"/>
        </w:rPr>
        <mc:AlternateContent>
          <mc:Choice Requires="wps">
            <w:drawing>
              <wp:anchor distT="0" distB="0" distL="114300" distR="114300" simplePos="0" relativeHeight="91" behindDoc="0" locked="1" layoutInCell="1" hidden="0" allowOverlap="1">
                <wp:simplePos x="0" y="0"/>
                <wp:positionH relativeFrom="column">
                  <wp:posOffset>3341370</wp:posOffset>
                </wp:positionH>
                <wp:positionV relativeFrom="paragraph">
                  <wp:posOffset>-959485</wp:posOffset>
                </wp:positionV>
                <wp:extent cx="2551430" cy="421005"/>
                <wp:effectExtent l="0" t="0" r="635" b="635"/>
                <wp:wrapNone/>
                <wp:docPr id="1091" name="Text Box 597"/>
                <a:graphic xmlns:a="http://schemas.openxmlformats.org/drawingml/2006/main">
                  <a:graphicData uri="http://schemas.microsoft.com/office/word/2010/wordprocessingShape">
                    <wps:wsp>
                      <wps:cNvPr id="1091" name="Text Box 597"/>
                      <wps:cNvSpPr txBox="1">
                        <a:spLocks noChangeArrowheads="1"/>
                      </wps:cNvSpPr>
                      <wps:spPr>
                        <a:xfrm>
                          <a:off x="0" y="0"/>
                          <a:ext cx="2551430" cy="421005"/>
                        </a:xfrm>
                        <a:prstGeom prst="rect">
                          <a:avLst/>
                        </a:prstGeom>
                        <a:noFill/>
                        <a:ln>
                          <a:noFill/>
                        </a:ln>
                      </wps:spPr>
                      <wps:txbx>
                        <w:txbxContent>
                          <w:p>
                            <w:pPr>
                              <w:pStyle w:val="0"/>
                              <w:spacing w:line="300" w:lineRule="exact"/>
                              <w:jc w:val="center"/>
                              <w:rPr>
                                <w:rFonts w:hint="default" w:ascii="ＭＳ ゴシック" w:hAnsi="ＭＳ ゴシック" w:eastAsia="ＭＳ ゴシック"/>
                                <w:spacing w:val="-6"/>
                                <w:w w:val="80"/>
                              </w:rPr>
                            </w:pPr>
                            <w:r>
                              <w:rPr>
                                <w:rFonts w:hint="eastAsia" w:ascii="ＭＳ ゴシック" w:hAnsi="ＭＳ ゴシック" w:eastAsia="ＭＳ ゴシック"/>
                                <w:spacing w:val="-6"/>
                                <w:w w:val="80"/>
                              </w:rPr>
                              <w:t>第７</w:t>
                            </w:r>
                            <w:r>
                              <w:rPr>
                                <w:rFonts w:hint="default" w:ascii="ＭＳ ゴシック" w:hAnsi="ＭＳ ゴシック" w:eastAsia="ＭＳ ゴシック"/>
                                <w:spacing w:val="-6"/>
                                <w:w w:val="80"/>
                              </w:rPr>
                              <w:t>次南風原町</w:t>
                            </w:r>
                            <w:r>
                              <w:rPr>
                                <w:rFonts w:hint="eastAsia" w:ascii="ＭＳ ゴシック" w:hAnsi="ＭＳ ゴシック" w:eastAsia="ＭＳ ゴシック"/>
                                <w:spacing w:val="-6"/>
                                <w:w w:val="80"/>
                              </w:rPr>
                              <w:t>障がい者計画及び</w:t>
                            </w:r>
                          </w:p>
                          <w:p>
                            <w:pPr>
                              <w:pStyle w:val="0"/>
                              <w:spacing w:line="300" w:lineRule="exact"/>
                              <w:jc w:val="center"/>
                              <w:rPr>
                                <w:rFonts w:hint="default"/>
                              </w:rPr>
                            </w:pPr>
                            <w:r>
                              <w:rPr>
                                <w:rFonts w:hint="eastAsia" w:ascii="ＭＳ ゴシック" w:hAnsi="ＭＳ ゴシック" w:eastAsia="ＭＳ ゴシック"/>
                                <w:spacing w:val="-6"/>
                                <w:w w:val="80"/>
                              </w:rPr>
                              <w:t>第８期障がい福祉計画・第４期障がい児福祉計画</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597" style="mso-wrap-distance-right:9pt;mso-wrap-distance-bottom:0pt;margin-top:-75.55pt;mso-position-vertical-relative:text;mso-position-horizontal-relative:text;v-text-anchor:top;position:absolute;height:33.15pt;mso-wrap-distance-top:0pt;width:200.9pt;mso-wrap-distance-left:9pt;margin-left:263.10000000000002pt;z-index:91;" o:spid="_x0000_s1091" o:allowincell="t" o:allowoverlap="t" filled="f" stroked="f" o:spt="202" type="#_x0000_t202">
                <v:fill/>
                <v:textbox style="layout-flow:horizontal;" inset="2.0637499999999998mm,0.24694444444444438mm,2.0637499999999998mm,0.24694444444444438mm">
                  <w:txbxContent>
                    <w:p>
                      <w:pPr>
                        <w:pStyle w:val="0"/>
                        <w:spacing w:line="300" w:lineRule="exact"/>
                        <w:jc w:val="center"/>
                        <w:rPr>
                          <w:rFonts w:hint="default" w:ascii="ＭＳ ゴシック" w:hAnsi="ＭＳ ゴシック" w:eastAsia="ＭＳ ゴシック"/>
                          <w:spacing w:val="-6"/>
                          <w:w w:val="80"/>
                        </w:rPr>
                      </w:pPr>
                      <w:r>
                        <w:rPr>
                          <w:rFonts w:hint="eastAsia" w:ascii="ＭＳ ゴシック" w:hAnsi="ＭＳ ゴシック" w:eastAsia="ＭＳ ゴシック"/>
                          <w:spacing w:val="-6"/>
                          <w:w w:val="80"/>
                        </w:rPr>
                        <w:t>第７</w:t>
                      </w:r>
                      <w:r>
                        <w:rPr>
                          <w:rFonts w:hint="default" w:ascii="ＭＳ ゴシック" w:hAnsi="ＭＳ ゴシック" w:eastAsia="ＭＳ ゴシック"/>
                          <w:spacing w:val="-6"/>
                          <w:w w:val="80"/>
                        </w:rPr>
                        <w:t>次南風原町</w:t>
                      </w:r>
                      <w:r>
                        <w:rPr>
                          <w:rFonts w:hint="eastAsia" w:ascii="ＭＳ ゴシック" w:hAnsi="ＭＳ ゴシック" w:eastAsia="ＭＳ ゴシック"/>
                          <w:spacing w:val="-6"/>
                          <w:w w:val="80"/>
                        </w:rPr>
                        <w:t>障がい者計画及び</w:t>
                      </w:r>
                    </w:p>
                    <w:p>
                      <w:pPr>
                        <w:pStyle w:val="0"/>
                        <w:spacing w:line="300" w:lineRule="exact"/>
                        <w:jc w:val="center"/>
                        <w:rPr>
                          <w:rFonts w:hint="default"/>
                        </w:rPr>
                      </w:pPr>
                      <w:r>
                        <w:rPr>
                          <w:rFonts w:hint="eastAsia" w:ascii="ＭＳ ゴシック" w:hAnsi="ＭＳ ゴシック" w:eastAsia="ＭＳ ゴシック"/>
                          <w:spacing w:val="-6"/>
                          <w:w w:val="80"/>
                        </w:rPr>
                        <w:t>第８期障がい福祉計画・第４期障がい児福祉計画</w:t>
                      </w:r>
                    </w:p>
                  </w:txbxContent>
                </v:textbox>
                <v:imagedata o:title=""/>
                <w10:wrap type="none" anchorx="text" anchory="text"/>
                <w10:anchorlock/>
              </v:shape>
            </w:pict>
          </mc:Fallback>
        </mc:AlternateContent>
      </w:r>
      <w:r>
        <w:rPr>
          <w:rFonts w:hint="default"/>
        </w:rPr>
        <mc:AlternateContent>
          <mc:Choice Requires="wps">
            <w:drawing>
              <wp:anchor distT="0" distB="0" distL="114300" distR="114300" simplePos="0" relativeHeight="92" behindDoc="0" locked="1" layoutInCell="1" hidden="0" allowOverlap="1">
                <wp:simplePos x="0" y="0"/>
                <wp:positionH relativeFrom="column">
                  <wp:posOffset>309880</wp:posOffset>
                </wp:positionH>
                <wp:positionV relativeFrom="paragraph">
                  <wp:posOffset>-1441450</wp:posOffset>
                </wp:positionV>
                <wp:extent cx="2875915" cy="684530"/>
                <wp:effectExtent l="635" t="1270" r="29845" b="11430"/>
                <wp:wrapNone/>
                <wp:docPr id="1092" name="AutoShape 596"/>
                <a:graphic xmlns:a="http://schemas.openxmlformats.org/drawingml/2006/main">
                  <a:graphicData uri="http://schemas.microsoft.com/office/word/2010/wordprocessingShape">
                    <wps:wsp>
                      <wps:cNvPr id="1092" name="AutoShape 596"/>
                      <wps:cNvSpPr>
                        <a:spLocks noChangeArrowheads="1"/>
                      </wps:cNvSpPr>
                      <wps:spPr>
                        <a:xfrm>
                          <a:off x="0" y="0"/>
                          <a:ext cx="2875915" cy="684530"/>
                        </a:xfrm>
                        <a:prstGeom prst="leftRightArrow">
                          <a:avLst>
                            <a:gd name="adj1" fmla="val 68087"/>
                            <a:gd name="adj2" fmla="val 29066"/>
                          </a:avLst>
                        </a:prstGeom>
                        <a:solidFill>
                          <a:schemeClr val="bg1">
                            <a:lumMod val="85000"/>
                          </a:schemeClr>
                        </a:solidFill>
                        <a:ln w="19050">
                          <a:solidFill>
                            <a:srgbClr val="000000"/>
                          </a:solidFill>
                          <a:miter lim="800000"/>
                          <a:headEnd/>
                          <a:tailEnd/>
                        </a:ln>
                        <a:effectLst/>
                      </wps:spPr>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96" style="mso-wrap-distance-right:9pt;mso-wrap-distance-bottom:0pt;margin-top:-113.5pt;mso-position-vertical-relative:text;mso-position-horizontal-relative:text;position:absolute;height:53.9pt;mso-wrap-distance-top:0pt;width:226.45pt;mso-wrap-distance-left:9pt;margin-left:24.4pt;z-index:92;" o:spid="_x0000_s1092" o:allowincell="t" o:allowoverlap="t" filled="t" fillcolor="#d9d9d9 [2732]" stroked="t" strokecolor="#000000" strokeweight="1.5pt" o:spt="69" type="#_x0000_t69" adj="6278,3447">
                <v:fill/>
                <v:stroke miterlimit="8" filltype="solid"/>
                <v:textbox style="layout-flow:horizontal;"/>
                <v:imagedata o:title=""/>
                <w10:wrap type="none" anchorx="text" anchory="text"/>
                <w10:anchorlock/>
              </v:shape>
            </w:pict>
          </mc:Fallback>
        </mc:AlternateContent>
      </w:r>
      <w:r>
        <w:rPr>
          <w:rFonts w:hint="default"/>
        </w:rPr>
        <mc:AlternateContent>
          <mc:Choice Requires="wps">
            <w:drawing>
              <wp:anchor distT="0" distB="0" distL="114300" distR="114300" simplePos="0" relativeHeight="93" behindDoc="0" locked="1" layoutInCell="1" hidden="0" allowOverlap="1">
                <wp:simplePos x="0" y="0"/>
                <wp:positionH relativeFrom="column">
                  <wp:posOffset>448945</wp:posOffset>
                </wp:positionH>
                <wp:positionV relativeFrom="paragraph">
                  <wp:posOffset>-1314450</wp:posOffset>
                </wp:positionV>
                <wp:extent cx="2551430" cy="421005"/>
                <wp:effectExtent l="0" t="0" r="635" b="635"/>
                <wp:wrapNone/>
                <wp:docPr id="1093" name="Text Box 597"/>
                <a:graphic xmlns:a="http://schemas.openxmlformats.org/drawingml/2006/main">
                  <a:graphicData uri="http://schemas.microsoft.com/office/word/2010/wordprocessingShape">
                    <wps:wsp>
                      <wps:cNvPr id="1093" name="Text Box 597"/>
                      <wps:cNvSpPr txBox="1">
                        <a:spLocks noChangeArrowheads="1"/>
                      </wps:cNvSpPr>
                      <wps:spPr>
                        <a:xfrm>
                          <a:off x="0" y="0"/>
                          <a:ext cx="2551430" cy="421005"/>
                        </a:xfrm>
                        <a:prstGeom prst="rect">
                          <a:avLst/>
                        </a:prstGeom>
                        <a:noFill/>
                        <a:ln>
                          <a:noFill/>
                        </a:ln>
                      </wps:spPr>
                      <wps:txbx>
                        <w:txbxContent>
                          <w:p>
                            <w:pPr>
                              <w:pStyle w:val="0"/>
                              <w:spacing w:line="300" w:lineRule="exact"/>
                              <w:jc w:val="center"/>
                              <w:rPr>
                                <w:rFonts w:hint="default" w:ascii="ＭＳ ゴシック" w:hAnsi="ＭＳ ゴシック" w:eastAsia="ＭＳ ゴシック"/>
                                <w:spacing w:val="-6"/>
                                <w:w w:val="80"/>
                              </w:rPr>
                            </w:pPr>
                            <w:r>
                              <w:rPr>
                                <w:rFonts w:hint="eastAsia" w:ascii="ＭＳ ゴシック" w:hAnsi="ＭＳ ゴシック" w:eastAsia="ＭＳ ゴシック"/>
                                <w:spacing w:val="-6"/>
                                <w:w w:val="80"/>
                              </w:rPr>
                              <w:t>第６</w:t>
                            </w:r>
                            <w:r>
                              <w:rPr>
                                <w:rFonts w:hint="default" w:ascii="ＭＳ ゴシック" w:hAnsi="ＭＳ ゴシック" w:eastAsia="ＭＳ ゴシック"/>
                                <w:spacing w:val="-6"/>
                                <w:w w:val="80"/>
                              </w:rPr>
                              <w:t>次南風原町</w:t>
                            </w:r>
                            <w:r>
                              <w:rPr>
                                <w:rFonts w:hint="eastAsia" w:ascii="ＭＳ ゴシック" w:hAnsi="ＭＳ ゴシック" w:eastAsia="ＭＳ ゴシック"/>
                                <w:spacing w:val="-6"/>
                                <w:w w:val="80"/>
                              </w:rPr>
                              <w:t>障がい者計画及び</w:t>
                            </w:r>
                          </w:p>
                          <w:p>
                            <w:pPr>
                              <w:pStyle w:val="0"/>
                              <w:spacing w:line="300" w:lineRule="exact"/>
                              <w:jc w:val="center"/>
                              <w:rPr>
                                <w:rFonts w:hint="default"/>
                              </w:rPr>
                            </w:pPr>
                            <w:r>
                              <w:rPr>
                                <w:rFonts w:hint="eastAsia" w:ascii="ＭＳ ゴシック" w:hAnsi="ＭＳ ゴシック" w:eastAsia="ＭＳ ゴシック"/>
                                <w:spacing w:val="-6"/>
                                <w:w w:val="80"/>
                              </w:rPr>
                              <w:t>第７期障がい福祉計画・第３期障がい児福祉計画</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Text Box 597" style="mso-wrap-distance-right:9pt;mso-wrap-distance-bottom:0pt;margin-top:-103.5pt;mso-position-vertical-relative:text;mso-position-horizontal-relative:text;v-text-anchor:top;position:absolute;height:33.15pt;mso-wrap-distance-top:0pt;width:200.9pt;mso-wrap-distance-left:9pt;margin-left:35.35pt;z-index:93;" o:spid="_x0000_s1093" o:allowincell="t" o:allowoverlap="t" filled="f" stroked="f" o:spt="202" type="#_x0000_t202">
                <v:fill/>
                <v:textbox style="layout-flow:horizontal;" inset="2.0637499999999998mm,0.24694444444444438mm,2.0637499999999998mm,0.24694444444444438mm">
                  <w:txbxContent>
                    <w:p>
                      <w:pPr>
                        <w:pStyle w:val="0"/>
                        <w:spacing w:line="300" w:lineRule="exact"/>
                        <w:jc w:val="center"/>
                        <w:rPr>
                          <w:rFonts w:hint="default" w:ascii="ＭＳ ゴシック" w:hAnsi="ＭＳ ゴシック" w:eastAsia="ＭＳ ゴシック"/>
                          <w:spacing w:val="-6"/>
                          <w:w w:val="80"/>
                        </w:rPr>
                      </w:pPr>
                      <w:r>
                        <w:rPr>
                          <w:rFonts w:hint="eastAsia" w:ascii="ＭＳ ゴシック" w:hAnsi="ＭＳ ゴシック" w:eastAsia="ＭＳ ゴシック"/>
                          <w:spacing w:val="-6"/>
                          <w:w w:val="80"/>
                        </w:rPr>
                        <w:t>第６</w:t>
                      </w:r>
                      <w:r>
                        <w:rPr>
                          <w:rFonts w:hint="default" w:ascii="ＭＳ ゴシック" w:hAnsi="ＭＳ ゴシック" w:eastAsia="ＭＳ ゴシック"/>
                          <w:spacing w:val="-6"/>
                          <w:w w:val="80"/>
                        </w:rPr>
                        <w:t>次南風原町</w:t>
                      </w:r>
                      <w:r>
                        <w:rPr>
                          <w:rFonts w:hint="eastAsia" w:ascii="ＭＳ ゴシック" w:hAnsi="ＭＳ ゴシック" w:eastAsia="ＭＳ ゴシック"/>
                          <w:spacing w:val="-6"/>
                          <w:w w:val="80"/>
                        </w:rPr>
                        <w:t>障がい者計画及び</w:t>
                      </w:r>
                    </w:p>
                    <w:p>
                      <w:pPr>
                        <w:pStyle w:val="0"/>
                        <w:spacing w:line="300" w:lineRule="exact"/>
                        <w:jc w:val="center"/>
                        <w:rPr>
                          <w:rFonts w:hint="default"/>
                        </w:rPr>
                      </w:pPr>
                      <w:r>
                        <w:rPr>
                          <w:rFonts w:hint="eastAsia" w:ascii="ＭＳ ゴシック" w:hAnsi="ＭＳ ゴシック" w:eastAsia="ＭＳ ゴシック"/>
                          <w:spacing w:val="-6"/>
                          <w:w w:val="80"/>
                        </w:rPr>
                        <w:t>第７期障がい福祉計画・第３期障がい児福祉計画</w:t>
                      </w:r>
                    </w:p>
                  </w:txbxContent>
                </v:textbox>
                <v:imagedata o:title=""/>
                <w10:wrap type="none" anchorx="text" anchory="text"/>
                <w10:anchorlock/>
              </v:shape>
            </w:pict>
          </mc:Fallback>
        </mc:AlternateContent>
      </w:r>
    </w:p>
    <w:p>
      <w:pPr>
        <w:pStyle w:val="19"/>
        <w:rPr>
          <w:rFonts w:hint="default"/>
        </w:rPr>
      </w:pPr>
    </w:p>
    <w:p>
      <w:pPr>
        <w:pStyle w:val="23"/>
        <w:rPr>
          <w:rFonts w:hint="default"/>
        </w:rPr>
      </w:pPr>
      <w:bookmarkStart w:id="15" w:name="_Toc158300401"/>
      <w:r>
        <w:rPr>
          <w:rFonts w:hint="eastAsia"/>
        </w:rPr>
        <w:t>６．計画の策定体制</w:t>
      </w:r>
      <w:bookmarkEnd w:id="15"/>
    </w:p>
    <w:p>
      <w:pPr>
        <w:pStyle w:val="19"/>
        <w:rPr>
          <w:rFonts w:hint="default"/>
        </w:rPr>
      </w:pPr>
      <w:r>
        <w:rPr>
          <w:rFonts w:hint="eastAsia"/>
        </w:rPr>
        <w:t>本計画の策定にあたり、事務局</w:t>
      </w:r>
      <w:r>
        <w:rPr>
          <w:rFonts w:hint="eastAsia"/>
        </w:rPr>
        <w:t>(</w:t>
      </w:r>
      <w:r>
        <w:rPr>
          <w:rFonts w:hint="eastAsia"/>
        </w:rPr>
        <w:t>保健福祉課</w:t>
      </w:r>
      <w:r>
        <w:rPr>
          <w:rFonts w:hint="eastAsia"/>
        </w:rPr>
        <w:t>)</w:t>
      </w:r>
      <w:r>
        <w:rPr>
          <w:rFonts w:hint="eastAsia"/>
        </w:rPr>
        <w:t>において、アンケート調査により障がい児・者の生活の様子やニーズ等を把握するとともに、関係課における事業の実施状況や課題等の把握及び町の実情を踏まえた上で、計画案を作成しました。</w:t>
      </w:r>
    </w:p>
    <w:p>
      <w:pPr>
        <w:pStyle w:val="19"/>
        <w:rPr>
          <w:rFonts w:hint="default"/>
        </w:rPr>
      </w:pPr>
      <w:r>
        <w:rPr>
          <w:rFonts w:hint="eastAsia"/>
        </w:rPr>
        <w:t>また、有識者をはじめ関係機関、福祉施設、関係団体の代表者及び障がい者代表によって構成される｢南風原町障がい者計画策定委員会｣を設置し、計画案に対する審議を行い、委員会の意見、提言等を踏まえて本計画を策定しました。</w:t>
      </w:r>
    </w:p>
    <w:p>
      <w:pPr>
        <w:pStyle w:val="19"/>
        <w:rPr>
          <w:rFonts w:hint="default"/>
        </w:rPr>
      </w:pPr>
    </w:p>
    <w:p>
      <w:pPr>
        <w:pStyle w:val="19"/>
        <w:rPr>
          <w:rFonts w:hint="default"/>
        </w:rPr>
      </w:pPr>
    </w:p>
    <w:p>
      <w:pPr>
        <w:pStyle w:val="19"/>
        <w:rPr>
          <w:rFonts w:hint="default"/>
        </w:rPr>
      </w:pPr>
      <w:r>
        <w:rPr>
          <w:rFonts w:hint="default"/>
        </w:rPr>
        <mc:AlternateContent>
          <mc:Choice Requires="wpg">
            <w:drawing>
              <wp:anchor distT="0" distB="0" distL="114300" distR="114300" simplePos="0" relativeHeight="94" behindDoc="0" locked="1" layoutInCell="1" hidden="0" allowOverlap="1">
                <wp:simplePos x="0" y="0"/>
                <wp:positionH relativeFrom="column">
                  <wp:posOffset>194310</wp:posOffset>
                </wp:positionH>
                <wp:positionV relativeFrom="paragraph">
                  <wp:posOffset>55245</wp:posOffset>
                </wp:positionV>
                <wp:extent cx="5915025" cy="2643505"/>
                <wp:effectExtent l="635" t="635" r="29845" b="10795"/>
                <wp:wrapNone/>
                <wp:docPr id="1094" name="グループ化 1032"/>
                <a:graphic xmlns:a="http://schemas.openxmlformats.org/drawingml/2006/main">
                  <a:graphicData uri="http://schemas.microsoft.com/office/word/2010/wordprocessingGroup">
                    <wpg:wgp>
                      <wpg:cNvGrpSpPr/>
                      <wpg:grpSpPr>
                        <a:xfrm>
                          <a:off x="0" y="0"/>
                          <a:ext cx="5915025" cy="2643505"/>
                          <a:chOff x="1440" y="11269"/>
                          <a:chExt cx="9315" cy="4163"/>
                        </a:xfrm>
                      </wpg:grpSpPr>
                      <wpg:grpSp>
                        <wpg:cNvGrpSpPr/>
                        <wpg:grpSpPr>
                          <a:xfrm>
                            <a:off x="2625" y="11269"/>
                            <a:ext cx="7155" cy="1048"/>
                            <a:chOff x="2625" y="11269"/>
                            <a:chExt cx="7155" cy="1048"/>
                          </a:xfrm>
                        </wpg:grpSpPr>
                        <wps:wsp>
                          <wps:cNvPr id="1096" name="AutoShape 121"/>
                          <wps:cNvSpPr>
                            <a:spLocks noChangeArrowheads="1"/>
                          </wps:cNvSpPr>
                          <wps:spPr>
                            <a:xfrm>
                              <a:off x="2625" y="11269"/>
                              <a:ext cx="7155" cy="1048"/>
                            </a:xfrm>
                            <a:prstGeom prst="roundRect">
                              <a:avLst>
                                <a:gd name="adj" fmla="val 19560"/>
                              </a:avLst>
                            </a:prstGeom>
                            <a:solidFill>
                              <a:srgbClr val="FFFFFF"/>
                            </a:solidFill>
                            <a:ln w="19050">
                              <a:solidFill>
                                <a:srgbClr val="000000"/>
                              </a:solidFill>
                              <a:round/>
                              <a:headEnd/>
                              <a:tailEnd/>
                            </a:ln>
                          </wps:spPr>
                          <wps:bodyPr/>
                        </wps:wsp>
                        <wps:wsp>
                          <wps:cNvPr id="1097" name="AutoShape 122"/>
                          <wps:cNvSpPr>
                            <a:spLocks noChangeArrowheads="1"/>
                          </wps:cNvSpPr>
                          <wps:spPr>
                            <a:xfrm>
                              <a:off x="2700" y="11374"/>
                              <a:ext cx="6990" cy="839"/>
                            </a:xfrm>
                            <a:prstGeom prst="roundRect">
                              <a:avLst>
                                <a:gd name="adj" fmla="val 16667"/>
                              </a:avLst>
                            </a:prstGeom>
                            <a:solidFill>
                              <a:srgbClr val="FFFFFF"/>
                            </a:solidFill>
                            <a:ln w="9525" algn="ctr">
                              <a:solidFill>
                                <a:srgbClr val="000000"/>
                              </a:solidFill>
                              <a:round/>
                              <a:headEnd/>
                              <a:tailEnd/>
                            </a:ln>
                            <a:effectLst/>
                          </wps:spPr>
                          <wps:txbx>
                            <w:txbxContent>
                              <w:p>
                                <w:pPr>
                                  <w:pStyle w:val="0"/>
                                  <w:spacing w:line="0" w:lineRule="atLeast"/>
                                  <w:jc w:val="center"/>
                                  <w:rPr>
                                    <w:rFonts w:hint="default" w:ascii="ＭＳ ゴシック" w:hAnsi="ＭＳ ゴシック" w:eastAsia="ＭＳ ゴシック"/>
                                    <w:sz w:val="6"/>
                                  </w:rPr>
                                </w:pPr>
                              </w:p>
                              <w:p>
                                <w:pPr>
                                  <w:pStyle w:val="0"/>
                                  <w:spacing w:line="0" w:lineRule="atLeast"/>
                                  <w:jc w:val="center"/>
                                  <w:rPr>
                                    <w:rFonts w:hint="default" w:ascii="ＭＳ ゴシック" w:hAnsi="ＭＳ ゴシック" w:eastAsia="ＭＳ ゴシック"/>
                                    <w:sz w:val="24"/>
                                  </w:rPr>
                                </w:pPr>
                                <w:r>
                                  <w:rPr>
                                    <w:rFonts w:hint="eastAsia" w:ascii="ＭＳ ゴシック" w:hAnsi="ＭＳ ゴシック" w:eastAsia="ＭＳ ゴシック"/>
                                    <w:sz w:val="24"/>
                                  </w:rPr>
                                  <w:t>南風原町障がい者計画策定委員会</w:t>
                                </w:r>
                              </w:p>
                              <w:p>
                                <w:pPr>
                                  <w:pStyle w:val="0"/>
                                  <w:spacing w:line="0" w:lineRule="atLeast"/>
                                  <w:jc w:val="center"/>
                                  <w:rPr>
                                    <w:rFonts w:hint="default" w:ascii="ＭＳ ゴシック" w:hAnsi="ＭＳ ゴシック" w:eastAsia="ＭＳ ゴシック"/>
                                    <w:sz w:val="24"/>
                                  </w:rPr>
                                </w:pPr>
                                <w:r>
                                  <w:rPr>
                                    <w:rFonts w:hint="eastAsia" w:ascii="ＭＳ ゴシック" w:hAnsi="ＭＳ ゴシック" w:eastAsia="ＭＳ ゴシック"/>
                                    <w:sz w:val="24"/>
                                  </w:rPr>
                                  <w:t>（計画の審議）</w:t>
                                </w:r>
                              </w:p>
                            </w:txbxContent>
                          </wps:txbx>
                          <wps:bodyPr rot="0" vertOverflow="overflow" horzOverflow="overflow" wrap="square" lIns="74295" tIns="0" rIns="74295" bIns="8890" anchor="t" anchorCtr="0" upright="1"/>
                        </wps:wsp>
                      </wpg:grpSp>
                      <wps:wsp>
                        <wps:cNvPr id="1098" name="AutoShape 123"/>
                        <wps:cNvSpPr>
                          <a:spLocks noChangeArrowheads="1"/>
                        </wps:cNvSpPr>
                        <wps:spPr>
                          <a:xfrm rot="5400000">
                            <a:off x="5930" y="12320"/>
                            <a:ext cx="336" cy="368"/>
                          </a:xfrm>
                          <a:prstGeom prst="leftRightArrow">
                            <a:avLst>
                              <a:gd name="adj1" fmla="val 42056"/>
                              <a:gd name="adj2" fmla="val 36606"/>
                            </a:avLst>
                          </a:prstGeom>
                          <a:solidFill>
                            <a:srgbClr val="FFFFFF"/>
                          </a:solidFill>
                          <a:ln w="9525">
                            <a:solidFill>
                              <a:srgbClr val="000000"/>
                            </a:solidFill>
                            <a:miter lim="800000"/>
                            <a:headEnd/>
                            <a:tailEnd/>
                          </a:ln>
                        </wps:spPr>
                        <wps:bodyPr/>
                      </wps:wsp>
                      <wpg:grpSp>
                        <wpg:cNvGrpSpPr/>
                        <wpg:grpSpPr>
                          <a:xfrm>
                            <a:off x="4950" y="12684"/>
                            <a:ext cx="2296" cy="732"/>
                            <a:chOff x="4950" y="12834"/>
                            <a:chExt cx="2296" cy="732"/>
                          </a:xfrm>
                        </wpg:grpSpPr>
                        <wps:wsp>
                          <wps:cNvPr id="1100" name="Rectangle 125"/>
                          <wps:cNvSpPr>
                            <a:spLocks noChangeArrowheads="1"/>
                          </wps:cNvSpPr>
                          <wps:spPr>
                            <a:xfrm>
                              <a:off x="4950" y="12834"/>
                              <a:ext cx="2296" cy="732"/>
                            </a:xfrm>
                            <a:prstGeom prst="rect">
                              <a:avLst/>
                            </a:prstGeom>
                            <a:solidFill>
                              <a:srgbClr val="FFFFFF"/>
                            </a:solidFill>
                            <a:ln w="9525">
                              <a:solidFill>
                                <a:srgbClr val="000000"/>
                              </a:solidFill>
                              <a:miter lim="800000"/>
                              <a:headEnd/>
                              <a:tailEnd/>
                            </a:ln>
                          </wps:spPr>
                          <wps:bodyPr/>
                        </wps:wsp>
                        <wps:wsp>
                          <wps:cNvPr id="1101" name="Line 126"/>
                          <wps:cNvSpPr/>
                          <wps:spPr>
                            <a:xfrm>
                              <a:off x="6835" y="13200"/>
                              <a:ext cx="411" cy="366"/>
                            </a:xfrm>
                            <a:prstGeom prst="line">
                              <a:avLst/>
                            </a:prstGeom>
                            <a:noFill/>
                            <a:ln w="9525">
                              <a:solidFill>
                                <a:srgbClr val="000000"/>
                              </a:solidFill>
                              <a:round/>
                              <a:headEnd/>
                              <a:tailEnd/>
                            </a:ln>
                          </wps:spPr>
                          <wps:bodyPr/>
                        </wps:wsp>
                        <wps:wsp>
                          <wps:cNvPr id="1102" name="Line 127"/>
                          <wps:cNvSpPr/>
                          <wps:spPr>
                            <a:xfrm flipV="1">
                              <a:off x="4950" y="13173"/>
                              <a:ext cx="448" cy="393"/>
                            </a:xfrm>
                            <a:prstGeom prst="line">
                              <a:avLst/>
                            </a:prstGeom>
                            <a:noFill/>
                            <a:ln w="9525">
                              <a:solidFill>
                                <a:srgbClr val="000000"/>
                              </a:solidFill>
                              <a:round/>
                              <a:headEnd/>
                              <a:tailEnd/>
                            </a:ln>
                          </wps:spPr>
                          <wps:bodyPr/>
                        </wps:wsp>
                        <wps:wsp>
                          <wps:cNvPr id="1103" name="Line 128"/>
                          <wps:cNvSpPr/>
                          <wps:spPr>
                            <a:xfrm flipV="1">
                              <a:off x="6732" y="12834"/>
                              <a:ext cx="514" cy="430"/>
                            </a:xfrm>
                            <a:prstGeom prst="line">
                              <a:avLst/>
                            </a:prstGeom>
                            <a:noFill/>
                            <a:ln w="9525">
                              <a:solidFill>
                                <a:srgbClr val="000000"/>
                              </a:solidFill>
                              <a:round/>
                              <a:headEnd/>
                              <a:tailEnd/>
                            </a:ln>
                          </wps:spPr>
                          <wps:bodyPr/>
                        </wps:wsp>
                        <wps:wsp>
                          <wps:cNvPr id="1104" name="Line 129"/>
                          <wps:cNvSpPr/>
                          <wps:spPr>
                            <a:xfrm>
                              <a:off x="4950" y="12834"/>
                              <a:ext cx="346" cy="323"/>
                            </a:xfrm>
                            <a:prstGeom prst="line">
                              <a:avLst/>
                            </a:prstGeom>
                            <a:noFill/>
                            <a:ln w="9525">
                              <a:solidFill>
                                <a:srgbClr val="000000"/>
                              </a:solidFill>
                              <a:round/>
                              <a:headEnd/>
                              <a:tailEnd/>
                            </a:ln>
                          </wps:spPr>
                          <wps:bodyPr/>
                        </wps:wsp>
                        <wps:wsp>
                          <wps:cNvPr id="1105" name="AutoShape 130"/>
                          <wps:cNvSpPr>
                            <a:spLocks noChangeArrowheads="1"/>
                          </wps:cNvSpPr>
                          <wps:spPr>
                            <a:xfrm>
                              <a:off x="5099" y="12966"/>
                              <a:ext cx="1998" cy="468"/>
                            </a:xfrm>
                            <a:prstGeom prst="roundRect">
                              <a:avLst>
                                <a:gd name="adj" fmla="val 0"/>
                              </a:avLst>
                            </a:prstGeom>
                            <a:solidFill>
                              <a:schemeClr val="bg1">
                                <a:lumMod val="85000"/>
                              </a:schemeClr>
                            </a:solidFill>
                            <a:ln w="19050" algn="ctr">
                              <a:solidFill>
                                <a:srgbClr val="000000"/>
                              </a:solidFill>
                              <a:round/>
                              <a:headEnd/>
                              <a:tailEnd/>
                            </a:ln>
                            <a:effectLst/>
                          </wps:spPr>
                          <wps:txbx>
                            <w:txbxContent>
                              <w:p>
                                <w:pPr>
                                  <w:pStyle w:val="0"/>
                                  <w:spacing w:line="0" w:lineRule="atLeast"/>
                                  <w:jc w:val="center"/>
                                  <w:rPr>
                                    <w:rFonts w:hint="default" w:ascii="ＭＳ ゴシック" w:hAnsi="ＭＳ ゴシック" w:eastAsia="ＭＳ ゴシック"/>
                                    <w:sz w:val="6"/>
                                  </w:rPr>
                                </w:pPr>
                              </w:p>
                              <w:p>
                                <w:pPr>
                                  <w:pStyle w:val="0"/>
                                  <w:spacing w:line="0" w:lineRule="atLeast"/>
                                  <w:jc w:val="center"/>
                                  <w:rPr>
                                    <w:rFonts w:hint="default" w:ascii="ＭＳ ゴシック" w:hAnsi="ＭＳ ゴシック" w:eastAsia="ＭＳ ゴシック"/>
                                    <w:sz w:val="24"/>
                                  </w:rPr>
                                </w:pPr>
                                <w:r>
                                  <w:rPr>
                                    <w:rFonts w:hint="eastAsia" w:ascii="ＭＳ ゴシック" w:hAnsi="ＭＳ ゴシック" w:eastAsia="ＭＳ ゴシック"/>
                                    <w:sz w:val="24"/>
                                  </w:rPr>
                                  <w:t>本　計　画</w:t>
                                </w:r>
                              </w:p>
                            </w:txbxContent>
                          </wps:txbx>
                          <wps:bodyPr rot="0" vertOverflow="overflow" horzOverflow="overflow" wrap="square" lIns="74295" tIns="0" rIns="74295" bIns="8890" anchor="t" anchorCtr="0" upright="1"/>
                        </wps:wsp>
                      </wpg:grpSp>
                      <wpg:grpSp>
                        <wpg:cNvGrpSpPr/>
                        <wpg:grpSpPr>
                          <a:xfrm>
                            <a:off x="1440" y="13768"/>
                            <a:ext cx="9315" cy="1664"/>
                            <a:chOff x="1440" y="13768"/>
                            <a:chExt cx="9315" cy="1664"/>
                          </a:xfrm>
                        </wpg:grpSpPr>
                        <wps:wsp>
                          <wps:cNvPr id="1107" name="AutoShape 132"/>
                          <wps:cNvSpPr>
                            <a:spLocks noChangeArrowheads="1"/>
                          </wps:cNvSpPr>
                          <wps:spPr>
                            <a:xfrm>
                              <a:off x="1440" y="13768"/>
                              <a:ext cx="9315" cy="1664"/>
                            </a:xfrm>
                            <a:prstGeom prst="roundRect">
                              <a:avLst>
                                <a:gd name="adj" fmla="val 10949"/>
                              </a:avLst>
                            </a:prstGeom>
                            <a:solidFill>
                              <a:schemeClr val="bg1">
                                <a:lumMod val="85000"/>
                              </a:schemeClr>
                            </a:solidFill>
                            <a:ln w="9525">
                              <a:solidFill>
                                <a:srgbClr val="000000"/>
                              </a:solidFill>
                              <a:round/>
                              <a:headEnd/>
                              <a:tailEnd/>
                            </a:ln>
                          </wps:spPr>
                          <wps:bodyPr/>
                        </wps:wsp>
                        <wpg:grpSp>
                          <wpg:cNvGrpSpPr/>
                          <wpg:grpSpPr>
                            <a:xfrm>
                              <a:off x="1632" y="14000"/>
                              <a:ext cx="2502" cy="1200"/>
                              <a:chOff x="1752" y="8030"/>
                              <a:chExt cx="2502" cy="1200"/>
                            </a:xfrm>
                          </wpg:grpSpPr>
                          <wps:wsp>
                            <wps:cNvPr id="1109" name="AutoShape 134"/>
                            <wps:cNvSpPr>
                              <a:spLocks noChangeArrowheads="1"/>
                            </wps:cNvSpPr>
                            <wps:spPr>
                              <a:xfrm>
                                <a:off x="1752" y="8030"/>
                                <a:ext cx="2502" cy="1200"/>
                              </a:xfrm>
                              <a:prstGeom prst="roundRect">
                                <a:avLst>
                                  <a:gd name="adj" fmla="val 15167"/>
                                </a:avLst>
                              </a:prstGeom>
                              <a:solidFill>
                                <a:srgbClr val="FFFFFF"/>
                              </a:solidFill>
                              <a:ln w="9525">
                                <a:solidFill>
                                  <a:srgbClr val="000000"/>
                                </a:solidFill>
                                <a:round/>
                                <a:headEnd/>
                                <a:tailEnd/>
                              </a:ln>
                              <a:effectLst/>
                            </wps:spPr>
                            <wps:bodyPr/>
                          </wps:wsp>
                          <wps:wsp>
                            <wps:cNvPr id="1110" name="Text Box 135"/>
                            <wps:cNvSpPr txBox="1">
                              <a:spLocks noChangeArrowheads="1"/>
                            </wps:cNvSpPr>
                            <wps:spPr>
                              <a:xfrm>
                                <a:off x="1869" y="8507"/>
                                <a:ext cx="2270" cy="645"/>
                              </a:xfrm>
                              <a:prstGeom prst="rect">
                                <a:avLst/>
                              </a:prstGeom>
                              <a:noFill/>
                              <a:ln>
                                <a:noFill/>
                              </a:ln>
                              <a:effectLst/>
                            </wps:spPr>
                            <wps:txbx>
                              <w:txbxContent>
                                <w:p>
                                  <w:pPr>
                                    <w:pStyle w:val="0"/>
                                    <w:spacing w:line="280" w:lineRule="exact"/>
                                    <w:rPr>
                                      <w:rFonts w:hint="default" w:ascii="ＭＳ ゴシック" w:hAnsi="ＭＳ ゴシック" w:eastAsia="ＭＳ ゴシック"/>
                                      <w:sz w:val="20"/>
                                    </w:rPr>
                                  </w:pPr>
                                  <w:r>
                                    <w:rPr>
                                      <w:rFonts w:hint="eastAsia" w:ascii="ＭＳ ゴシック" w:hAnsi="ＭＳ ゴシック" w:eastAsia="ＭＳ ゴシック"/>
                                      <w:sz w:val="20"/>
                                    </w:rPr>
                                    <w:t>（障がい者生活実態・</w:t>
                                  </w:r>
                                </w:p>
                                <w:p>
                                  <w:pPr>
                                    <w:pStyle w:val="0"/>
                                    <w:spacing w:line="280" w:lineRule="exact"/>
                                    <w:jc w:val="right"/>
                                    <w:rPr>
                                      <w:rFonts w:hint="default"/>
                                      <w:sz w:val="20"/>
                                    </w:rPr>
                                  </w:pPr>
                                  <w:r>
                                    <w:rPr>
                                      <w:rFonts w:hint="eastAsia" w:ascii="ＭＳ ゴシック" w:hAnsi="ＭＳ ゴシック" w:eastAsia="ＭＳ ゴシック"/>
                                      <w:sz w:val="20"/>
                                    </w:rPr>
                                    <w:t>意向調査）</w:t>
                                  </w:r>
                                </w:p>
                              </w:txbxContent>
                            </wps:txbx>
                            <wps:bodyPr rot="0" vertOverflow="overflow" horzOverflow="overflow" wrap="square" lIns="16560" tIns="8890" rIns="16560" bIns="8890" anchor="t" anchorCtr="0" upright="1"/>
                          </wps:wsp>
                          <wps:wsp>
                            <wps:cNvPr id="1111" name="Text Box 136"/>
                            <wps:cNvSpPr txBox="1">
                              <a:spLocks noChangeArrowheads="1"/>
                            </wps:cNvSpPr>
                            <wps:spPr>
                              <a:xfrm>
                                <a:off x="1861" y="8102"/>
                                <a:ext cx="2285" cy="360"/>
                              </a:xfrm>
                              <a:prstGeom prst="rect">
                                <a:avLst/>
                              </a:prstGeom>
                              <a:noFill/>
                              <a:ln>
                                <a:noFill/>
                              </a:ln>
                              <a:effectLst/>
                            </wps:spPr>
                            <wps:txbx>
                              <w:txbxContent>
                                <w:p>
                                  <w:pPr>
                                    <w:pStyle w:val="0"/>
                                    <w:jc w:val="center"/>
                                    <w:rPr>
                                      <w:rFonts w:hint="default" w:eastAsia="ＭＳ ゴシック"/>
                                    </w:rPr>
                                  </w:pPr>
                                  <w:r>
                                    <w:rPr>
                                      <w:rFonts w:hint="default" w:eastAsia="ＭＳ ゴシック"/>
                                    </w:rPr>
                                    <w:t>アンケート調査</w:t>
                                  </w:r>
                                </w:p>
                              </w:txbxContent>
                            </wps:txbx>
                            <wps:bodyPr rot="0" vertOverflow="overflow" horzOverflow="overflow" wrap="square" lIns="74295" tIns="8890" rIns="74295" bIns="8890" anchor="t" anchorCtr="0" upright="1"/>
                          </wps:wsp>
                        </wpg:grpSp>
                        <wpg:grpSp>
                          <wpg:cNvGrpSpPr/>
                          <wpg:grpSpPr>
                            <a:xfrm>
                              <a:off x="8071" y="14075"/>
                              <a:ext cx="2483" cy="1050"/>
                              <a:chOff x="7681" y="8090"/>
                              <a:chExt cx="2483" cy="1050"/>
                            </a:xfrm>
                          </wpg:grpSpPr>
                          <wps:wsp>
                            <wps:cNvPr id="1113" name="AutoShape 138"/>
                            <wps:cNvSpPr>
                              <a:spLocks noChangeArrowheads="1"/>
                            </wps:cNvSpPr>
                            <wps:spPr>
                              <a:xfrm>
                                <a:off x="7707" y="8090"/>
                                <a:ext cx="2457" cy="1050"/>
                              </a:xfrm>
                              <a:prstGeom prst="roundRect">
                                <a:avLst>
                                  <a:gd name="adj" fmla="val 10139"/>
                                </a:avLst>
                              </a:prstGeom>
                              <a:solidFill>
                                <a:srgbClr val="FFFFFF"/>
                              </a:solidFill>
                              <a:ln w="9525">
                                <a:solidFill>
                                  <a:srgbClr val="000000"/>
                                </a:solidFill>
                                <a:round/>
                                <a:headEnd/>
                                <a:tailEnd/>
                              </a:ln>
                              <a:effectLst/>
                            </wps:spPr>
                            <wps:bodyPr/>
                          </wps:wsp>
                          <wps:wsp>
                            <wps:cNvPr id="1114" name="Text Box 139"/>
                            <wps:cNvSpPr txBox="1">
                              <a:spLocks noChangeArrowheads="1"/>
                            </wps:cNvSpPr>
                            <wps:spPr>
                              <a:xfrm>
                                <a:off x="7681" y="8207"/>
                                <a:ext cx="2450" cy="870"/>
                              </a:xfrm>
                              <a:prstGeom prst="rect">
                                <a:avLst/>
                              </a:prstGeom>
                              <a:noFill/>
                              <a:ln>
                                <a:noFill/>
                              </a:ln>
                              <a:effectLst/>
                            </wps:spPr>
                            <wps:txbx>
                              <w:txbxContent>
                                <w:p>
                                  <w:pPr>
                                    <w:pStyle w:val="0"/>
                                    <w:rPr>
                                      <w:rFonts w:hint="default" w:eastAsia="ＭＳ ゴシック"/>
                                    </w:rPr>
                                  </w:pPr>
                                  <w:r>
                                    <w:rPr>
                                      <w:rFonts w:hint="default" w:eastAsia="ＭＳ ゴシック"/>
                                    </w:rPr>
                                    <w:t>・関係課</w:t>
                                  </w:r>
                                </w:p>
                                <w:p>
                                  <w:pPr>
                                    <w:pStyle w:val="0"/>
                                    <w:rPr>
                                      <w:rFonts w:hint="default" w:eastAsia="ＭＳ ゴシック"/>
                                    </w:rPr>
                                  </w:pPr>
                                  <w:r>
                                    <w:rPr>
                                      <w:rFonts w:hint="eastAsia" w:eastAsia="ＭＳ ゴシック"/>
                                    </w:rPr>
                                    <w:t>・町社会福祉協議会</w:t>
                                  </w:r>
                                </w:p>
                              </w:txbxContent>
                            </wps:txbx>
                            <wps:bodyPr rot="0" vertOverflow="overflow" horzOverflow="overflow" wrap="square" lIns="74295" tIns="8890" rIns="74295" bIns="8890" anchor="t" anchorCtr="0" upright="1"/>
                          </wps:wsp>
                        </wpg:grpSp>
                        <wpg:grpSp>
                          <wpg:cNvGrpSpPr/>
                          <wpg:grpSpPr>
                            <a:xfrm>
                              <a:off x="4514" y="13918"/>
                              <a:ext cx="3192" cy="1365"/>
                              <a:chOff x="4514" y="14061"/>
                              <a:chExt cx="3192" cy="1365"/>
                            </a:xfrm>
                          </wpg:grpSpPr>
                          <wps:wsp>
                            <wps:cNvPr id="1116" name="AutoShape 141"/>
                            <wps:cNvSpPr>
                              <a:spLocks noChangeArrowheads="1"/>
                            </wps:cNvSpPr>
                            <wps:spPr>
                              <a:xfrm>
                                <a:off x="4514" y="14061"/>
                                <a:ext cx="3192" cy="1365"/>
                              </a:xfrm>
                              <a:prstGeom prst="roundRect">
                                <a:avLst>
                                  <a:gd name="adj" fmla="val 13407"/>
                                </a:avLst>
                              </a:prstGeom>
                              <a:solidFill>
                                <a:srgbClr val="FFFFFF"/>
                              </a:solidFill>
                              <a:ln w="9525">
                                <a:solidFill>
                                  <a:srgbClr val="000000"/>
                                </a:solidFill>
                                <a:round/>
                                <a:headEnd/>
                                <a:tailEnd/>
                              </a:ln>
                              <a:effectLst/>
                            </wps:spPr>
                            <wps:bodyPr/>
                          </wps:wsp>
                          <wps:wsp>
                            <wps:cNvPr id="1117" name="Text Box 142"/>
                            <wps:cNvSpPr txBox="1">
                              <a:spLocks noChangeArrowheads="1"/>
                            </wps:cNvSpPr>
                            <wps:spPr>
                              <a:xfrm>
                                <a:off x="4556" y="14554"/>
                                <a:ext cx="3110" cy="855"/>
                              </a:xfrm>
                              <a:prstGeom prst="rect">
                                <a:avLst/>
                              </a:prstGeom>
                              <a:noFill/>
                              <a:ln>
                                <a:noFill/>
                              </a:ln>
                              <a:effectLst/>
                            </wps:spPr>
                            <wps:txbx>
                              <w:txbxContent>
                                <w:p>
                                  <w:pPr>
                                    <w:pStyle w:val="0"/>
                                    <w:spacing w:line="260" w:lineRule="exact"/>
                                    <w:rPr>
                                      <w:rFonts w:hint="default" w:ascii="ＭＳ ゴシック" w:hAnsi="ＭＳ ゴシック" w:eastAsia="ＭＳ ゴシック"/>
                                      <w:sz w:val="20"/>
                                    </w:rPr>
                                  </w:pPr>
                                  <w:r>
                                    <w:rPr>
                                      <w:rFonts w:hint="default" w:ascii="ＭＳ ゴシック" w:hAnsi="ＭＳ ゴシック" w:eastAsia="ＭＳ ゴシック"/>
                                      <w:sz w:val="20"/>
                                    </w:rPr>
                                    <w:t>・アンケート調査</w:t>
                                  </w:r>
                                </w:p>
                                <w:p>
                                  <w:pPr>
                                    <w:pStyle w:val="0"/>
                                    <w:spacing w:line="260" w:lineRule="exact"/>
                                    <w:rPr>
                                      <w:rFonts w:hint="default" w:ascii="ＭＳ ゴシック" w:hAnsi="ＭＳ ゴシック" w:eastAsia="ＭＳ ゴシック"/>
                                      <w:sz w:val="20"/>
                                    </w:rPr>
                                  </w:pPr>
                                  <w:r>
                                    <w:rPr>
                                      <w:rFonts w:hint="eastAsia" w:ascii="ＭＳ ゴシック" w:hAnsi="ＭＳ ゴシック" w:eastAsia="ＭＳ ゴシック"/>
                                      <w:sz w:val="20"/>
                                    </w:rPr>
                                    <w:t>・施策の現状と課題の把握</w:t>
                                  </w:r>
                                </w:p>
                                <w:p>
                                  <w:pPr>
                                    <w:pStyle w:val="0"/>
                                    <w:spacing w:line="260" w:lineRule="exact"/>
                                    <w:rPr>
                                      <w:rFonts w:hint="default" w:ascii="ＭＳ ゴシック" w:hAnsi="ＭＳ ゴシック" w:eastAsia="ＭＳ ゴシック"/>
                                      <w:sz w:val="20"/>
                                    </w:rPr>
                                  </w:pPr>
                                  <w:r>
                                    <w:rPr>
                                      <w:rFonts w:hint="eastAsia" w:ascii="ＭＳ ゴシック" w:hAnsi="ＭＳ ゴシック" w:eastAsia="ＭＳ ゴシック"/>
                                      <w:sz w:val="20"/>
                                    </w:rPr>
                                    <w:t>・計画案の作成</w:t>
                                  </w:r>
                                </w:p>
                              </w:txbxContent>
                            </wps:txbx>
                            <wps:bodyPr rot="0" vertOverflow="overflow" horzOverflow="overflow" wrap="square" lIns="74295" tIns="8890" rIns="74295" bIns="8890" anchor="t" anchorCtr="0" upright="1"/>
                          </wps:wsp>
                          <wps:wsp>
                            <wps:cNvPr id="1118" name="Text Box 143"/>
                            <wps:cNvSpPr txBox="1">
                              <a:spLocks noChangeArrowheads="1"/>
                            </wps:cNvSpPr>
                            <wps:spPr>
                              <a:xfrm>
                                <a:off x="4848" y="14133"/>
                                <a:ext cx="2524" cy="360"/>
                              </a:xfrm>
                              <a:prstGeom prst="rect">
                                <a:avLst/>
                              </a:prstGeom>
                              <a:noFill/>
                              <a:ln>
                                <a:noFill/>
                              </a:ln>
                              <a:effectLst/>
                            </wps:spPr>
                            <wps:txbx>
                              <w:txbxContent>
                                <w:p>
                                  <w:pPr>
                                    <w:pStyle w:val="0"/>
                                    <w:jc w:val="center"/>
                                    <w:rPr>
                                      <w:rFonts w:hint="default" w:eastAsia="ＭＳ ゴシック"/>
                                    </w:rPr>
                                  </w:pPr>
                                  <w:r>
                                    <w:rPr>
                                      <w:rFonts w:hint="default" w:eastAsia="ＭＳ ゴシック"/>
                                    </w:rPr>
                                    <w:t>事務局（保健福祉課</w:t>
                                  </w:r>
                                  <w:r>
                                    <w:rPr>
                                      <w:rFonts w:hint="eastAsia" w:eastAsia="ＭＳ ゴシック"/>
                                    </w:rPr>
                                    <w:t>）</w:t>
                                  </w:r>
                                </w:p>
                              </w:txbxContent>
                            </wps:txbx>
                            <wps:bodyPr rot="0" vertOverflow="overflow" horzOverflow="overflow" wrap="square" lIns="74295" tIns="8890" rIns="74295" bIns="8890" anchor="t" anchorCtr="0" upright="1"/>
                          </wps:wsp>
                          <wps:wsp>
                            <wps:cNvPr id="1119" name="Line 144"/>
                            <wps:cNvSpPr/>
                            <wps:spPr>
                              <a:xfrm>
                                <a:off x="4514" y="14536"/>
                                <a:ext cx="3192" cy="0"/>
                              </a:xfrm>
                              <a:prstGeom prst="line">
                                <a:avLst/>
                              </a:prstGeom>
                              <a:noFill/>
                              <a:ln w="9525">
                                <a:solidFill>
                                  <a:srgbClr val="000000"/>
                                </a:solidFill>
                                <a:round/>
                                <a:headEnd/>
                                <a:tailEnd/>
                              </a:ln>
                            </wps:spPr>
                            <wps:bodyPr/>
                          </wps:wsp>
                        </wpg:grpSp>
                        <wps:wsp>
                          <wps:cNvPr id="1120" name="AutoShape 145"/>
                          <wps:cNvSpPr>
                            <a:spLocks noChangeArrowheads="1"/>
                          </wps:cNvSpPr>
                          <wps:spPr>
                            <a:xfrm>
                              <a:off x="7713" y="14405"/>
                              <a:ext cx="366" cy="390"/>
                            </a:xfrm>
                            <a:prstGeom prst="leftRightArrow">
                              <a:avLst>
                                <a:gd name="adj1" fmla="val 42056"/>
                                <a:gd name="adj2" fmla="val 32306"/>
                              </a:avLst>
                            </a:prstGeom>
                            <a:solidFill>
                              <a:srgbClr val="FFFFFF"/>
                            </a:solidFill>
                            <a:ln w="9525">
                              <a:solidFill>
                                <a:srgbClr val="000000"/>
                              </a:solidFill>
                              <a:miter lim="800000"/>
                              <a:headEnd/>
                              <a:tailEnd/>
                            </a:ln>
                          </wps:spPr>
                          <wps:bodyPr/>
                        </wps:wsp>
                        <wps:wsp>
                          <wps:cNvPr id="1121" name="AutoShape 146"/>
                          <wps:cNvSpPr>
                            <a:spLocks noChangeArrowheads="1"/>
                          </wps:cNvSpPr>
                          <wps:spPr>
                            <a:xfrm>
                              <a:off x="4141" y="14406"/>
                              <a:ext cx="366" cy="390"/>
                            </a:xfrm>
                            <a:prstGeom prst="leftRightArrow">
                              <a:avLst>
                                <a:gd name="adj1" fmla="val 42056"/>
                                <a:gd name="adj2" fmla="val 32306"/>
                              </a:avLst>
                            </a:prstGeom>
                            <a:solidFill>
                              <a:srgbClr val="FFFFFF"/>
                            </a:solidFill>
                            <a:ln w="9525">
                              <a:solidFill>
                                <a:srgbClr val="000000"/>
                              </a:solidFill>
                              <a:miter lim="800000"/>
                              <a:headEnd/>
                              <a:tailEnd/>
                            </a:ln>
                          </wps:spPr>
                          <wps:bodyPr/>
                        </wps:wsp>
                      </wpg:grpSp>
                      <wps:wsp>
                        <wps:cNvPr id="1122" name="AutoShape 147"/>
                        <wps:cNvSpPr>
                          <a:spLocks noChangeArrowheads="1"/>
                        </wps:cNvSpPr>
                        <wps:spPr>
                          <a:xfrm rot="5400000">
                            <a:off x="5930" y="13408"/>
                            <a:ext cx="336" cy="368"/>
                          </a:xfrm>
                          <a:prstGeom prst="leftRightArrow">
                            <a:avLst>
                              <a:gd name="adj1" fmla="val 42056"/>
                              <a:gd name="adj2" fmla="val 36606"/>
                            </a:avLst>
                          </a:prstGeom>
                          <a:solidFill>
                            <a:srgbClr val="FFFFFF"/>
                          </a:solidFill>
                          <a:ln w="9525">
                            <a:solidFill>
                              <a:srgbClr val="000000"/>
                            </a:solidFill>
                            <a:miter lim="800000"/>
                            <a:headEnd/>
                            <a:tailEnd/>
                          </a:ln>
                        </wps:spPr>
                        <wps:bodyPr/>
                      </wps:wsp>
                    </wpg:wgp>
                  </a:graphicData>
                </a:graphic>
              </wp:anchor>
            </w:drawing>
          </mc:Choice>
          <mc:Fallback>
            <w:pict>
              <v:group id="グループ化 1032" style="mso-wrap-distance-right:9pt;mso-wrap-distance-bottom:0pt;margin-top:4.34pt;mso-position-vertical-relative:text;mso-position-horizontal-relative:text;position:absolute;height:208.15pt;mso-wrap-distance-top:0pt;width:465.75pt;mso-wrap-distance-left:9pt;margin-left:15.3pt;z-index:94;" coordsize="9315,4163" coordorigin="1440,11269" o:spid="_x0000_s1094" o:allowincell="t" o:allowoverlap="t">
                <v:group id="_x0000_s1095" style="height:1048;width:7155;top:11269;left:2625;position:absolute;" coordsize="7155,1048" coordorigin="2625,11269">
                  <v:roundrect id="AutoShape 121" style="height:1048;width:7155;top:11269;left:2625;position:absolute;" o:spid="_x0000_s1096" filled="t" fillcolor="#ffffff" stroked="t" strokecolor="#000000" strokeweight="1.5pt" o:spt="2" arcsize="12819f">
                    <v:fill/>
                    <v:stroke filltype="solid"/>
                    <v:textbox style="layout-flow:horizontal;"/>
                    <v:imagedata o:title=""/>
                    <w10:wrap type="none" anchorx="text" anchory="text"/>
                    <w10:anchorlock/>
                  </v:roundrect>
                  <v:roundrect id="AutoShape 122" style="height:839;width:6990;top:11374;left:2700;position:absolute;" o:spid="_x0000_s1097" filled="t" fillcolor="#ffffff" stroked="t" strokecolor="#000000" strokeweight="0.75pt" o:spt="2" arcsize="10923f">
                    <v:fill/>
                    <v:stroke filltype="solid"/>
                    <v:textbox style="layout-flow:horizontal;" inset="2.0637499999999998mm,0mm,2.0637499999999998mm,0.24694444444444438mm">
                      <w:txbxContent>
                        <w:p>
                          <w:pPr>
                            <w:pStyle w:val="0"/>
                            <w:spacing w:line="0" w:lineRule="atLeast"/>
                            <w:jc w:val="center"/>
                            <w:rPr>
                              <w:rFonts w:hint="default" w:ascii="ＭＳ ゴシック" w:hAnsi="ＭＳ ゴシック" w:eastAsia="ＭＳ ゴシック"/>
                              <w:sz w:val="6"/>
                            </w:rPr>
                          </w:pPr>
                        </w:p>
                        <w:p>
                          <w:pPr>
                            <w:pStyle w:val="0"/>
                            <w:spacing w:line="0" w:lineRule="atLeast"/>
                            <w:jc w:val="center"/>
                            <w:rPr>
                              <w:rFonts w:hint="default" w:ascii="ＭＳ ゴシック" w:hAnsi="ＭＳ ゴシック" w:eastAsia="ＭＳ ゴシック"/>
                              <w:sz w:val="24"/>
                            </w:rPr>
                          </w:pPr>
                          <w:r>
                            <w:rPr>
                              <w:rFonts w:hint="eastAsia" w:ascii="ＭＳ ゴシック" w:hAnsi="ＭＳ ゴシック" w:eastAsia="ＭＳ ゴシック"/>
                              <w:sz w:val="24"/>
                            </w:rPr>
                            <w:t>南風原町障がい者計画策定委員会</w:t>
                          </w:r>
                        </w:p>
                        <w:p>
                          <w:pPr>
                            <w:pStyle w:val="0"/>
                            <w:spacing w:line="0" w:lineRule="atLeast"/>
                            <w:jc w:val="center"/>
                            <w:rPr>
                              <w:rFonts w:hint="default" w:ascii="ＭＳ ゴシック" w:hAnsi="ＭＳ ゴシック" w:eastAsia="ＭＳ ゴシック"/>
                              <w:sz w:val="24"/>
                            </w:rPr>
                          </w:pPr>
                          <w:r>
                            <w:rPr>
                              <w:rFonts w:hint="eastAsia" w:ascii="ＭＳ ゴシック" w:hAnsi="ＭＳ ゴシック" w:eastAsia="ＭＳ ゴシック"/>
                              <w:sz w:val="24"/>
                            </w:rPr>
                            <w:t>（計画の審議）</w:t>
                          </w:r>
                        </w:p>
                      </w:txbxContent>
                    </v:textbox>
                    <v:imagedata o:title=""/>
                    <w10:wrap type="none" anchorx="text" anchory="text"/>
                    <w10:anchorlock/>
                  </v:roundrect>
                  <w10:wrap type="none" anchorx="text" anchory="text"/>
                  <w10:anchorlock/>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23" style="height:368;width:336;top:12320;left:5930;position:absolute;rotation:90;" o:spid="_x0000_s1098" filled="t" fillcolor="#ffffff" stroked="t" strokecolor="#000000" strokeweight="0.75pt" o:spt="69" type="#_x0000_t69" adj="7907,6258">
                  <v:fill/>
                  <v:stroke miterlimit="8" filltype="solid"/>
                  <v:textbox style="layout-flow:horizontal;"/>
                  <v:imagedata o:title=""/>
                  <w10:wrap type="none" anchorx="text" anchory="text"/>
                  <w10:anchorlock/>
                </v:shape>
                <v:group id="_x0000_s1099" style="height:732;width:2296;top:12684;left:4950;position:absolute;" coordsize="2296,732" coordorigin="4950,12834">
                  <v:rect id="Rectangle 125" style="height:732;width:2296;top:12834;left:4950;position:absolute;" o:spid="_x0000_s1100" filled="t" fillcolor="#ffffff" stroked="t" strokecolor="#000000" strokeweight="0.75pt" o:spt="1">
                    <v:fill/>
                    <v:stroke miterlimit="8" filltype="solid"/>
                    <v:textbox style="layout-flow:horizontal;"/>
                    <v:imagedata o:title=""/>
                    <w10:wrap type="none" anchorx="text" anchory="text"/>
                    <w10:anchorlock/>
                  </v:rect>
                  <v:line id="Line 126" style="height:366;width:411;top:13200;left:6835;position:absolute;" o:spid="_x0000_s1101" filled="f" stroked="t" strokecolor="#000000" strokeweight="0.75pt" o:spt="20" from="6835,13200" to="7246,13566">
                    <v:fill/>
                    <v:stroke filltype="solid"/>
                    <v:textbox style="layout-flow:horizontal;"/>
                    <v:imagedata o:title=""/>
                    <w10:wrap type="none" anchorx="text" anchory="text"/>
                    <w10:anchorlock/>
                  </v:line>
                  <v:line id="Line 127" style="height:393;width:448;flip:y;top:13173;left:4950;position:absolute;" o:spid="_x0000_s1102" filled="f" stroked="t" strokecolor="#000000" strokeweight="0.75pt" o:spt="20" from="4950,13173" to="5398,13566">
                    <v:fill/>
                    <v:stroke filltype="solid"/>
                    <v:textbox style="layout-flow:horizontal;"/>
                    <v:imagedata o:title=""/>
                    <w10:wrap type="none" anchorx="text" anchory="text"/>
                    <w10:anchorlock/>
                  </v:line>
                  <v:line id="Line 128" style="height:430;width:514;flip:y;top:12834;left:6732;position:absolute;" o:spid="_x0000_s1103" filled="f" stroked="t" strokecolor="#000000" strokeweight="0.75pt" o:spt="20" from="6732,12834" to="7246,13264">
                    <v:fill/>
                    <v:stroke filltype="solid"/>
                    <v:textbox style="layout-flow:horizontal;"/>
                    <v:imagedata o:title=""/>
                    <w10:wrap type="none" anchorx="text" anchory="text"/>
                    <w10:anchorlock/>
                  </v:line>
                  <v:line id="Line 129" style="height:323;width:346;top:12834;left:4950;position:absolute;" o:spid="_x0000_s1104" filled="f" stroked="t" strokecolor="#000000" strokeweight="0.75pt" o:spt="20" from="4950,12834" to="5296,13157">
                    <v:fill/>
                    <v:stroke filltype="solid"/>
                    <v:textbox style="layout-flow:horizontal;"/>
                    <v:imagedata o:title=""/>
                    <w10:wrap type="none" anchorx="text" anchory="text"/>
                    <w10:anchorlock/>
                  </v:line>
                  <v:roundrect id="AutoShape 130" style="height:468;width:1998;top:12966;left:5099;position:absolute;" o:spid="_x0000_s1105" filled="t" fillcolor="#d9d9d9 [2732]" stroked="t" strokecolor="#000000" strokeweight="1.5pt" o:spt="2" arcsize="0f">
                    <v:fill/>
                    <v:stroke filltype="solid"/>
                    <v:textbox style="layout-flow:horizontal;" inset="2.0637499999999998mm,0mm,2.0637499999999998mm,0.24694444444444438mm">
                      <w:txbxContent>
                        <w:p>
                          <w:pPr>
                            <w:pStyle w:val="0"/>
                            <w:spacing w:line="0" w:lineRule="atLeast"/>
                            <w:jc w:val="center"/>
                            <w:rPr>
                              <w:rFonts w:hint="default" w:ascii="ＭＳ ゴシック" w:hAnsi="ＭＳ ゴシック" w:eastAsia="ＭＳ ゴシック"/>
                              <w:sz w:val="6"/>
                            </w:rPr>
                          </w:pPr>
                        </w:p>
                        <w:p>
                          <w:pPr>
                            <w:pStyle w:val="0"/>
                            <w:spacing w:line="0" w:lineRule="atLeast"/>
                            <w:jc w:val="center"/>
                            <w:rPr>
                              <w:rFonts w:hint="default" w:ascii="ＭＳ ゴシック" w:hAnsi="ＭＳ ゴシック" w:eastAsia="ＭＳ ゴシック"/>
                              <w:sz w:val="24"/>
                            </w:rPr>
                          </w:pPr>
                          <w:r>
                            <w:rPr>
                              <w:rFonts w:hint="eastAsia" w:ascii="ＭＳ ゴシック" w:hAnsi="ＭＳ ゴシック" w:eastAsia="ＭＳ ゴシック"/>
                              <w:sz w:val="24"/>
                            </w:rPr>
                            <w:t>本　計　画</w:t>
                          </w:r>
                        </w:p>
                      </w:txbxContent>
                    </v:textbox>
                    <v:imagedata o:title=""/>
                    <w10:wrap type="none" anchorx="text" anchory="text"/>
                    <w10:anchorlock/>
                  </v:roundrect>
                  <w10:wrap type="none" anchorx="text" anchory="text"/>
                  <w10:anchorlock/>
                </v:group>
                <v:group id="_x0000_s1106" style="height:1664;width:9315;top:13768;left:1440;position:absolute;" coordsize="9315,1664" coordorigin="1440,13768">
                  <v:roundrect id="AutoShape 132" style="height:1664;width:9315;top:13768;left:1440;position:absolute;" o:spid="_x0000_s1107" filled="t" fillcolor="#d9d9d9 [2732]" stroked="t" strokecolor="#000000" strokeweight="0.75pt" o:spt="2" arcsize="7176f">
                    <v:fill/>
                    <v:stroke filltype="solid"/>
                    <v:textbox style="layout-flow:horizontal;"/>
                    <v:imagedata o:title=""/>
                    <w10:wrap type="none" anchorx="text" anchory="text"/>
                    <w10:anchorlock/>
                  </v:roundrect>
                  <v:group id="_x0000_s1108" style="height:1200;width:2502;top:14000;left:1632;position:absolute;" coordsize="2502,1200" coordorigin="1752,8030">
                    <v:roundrect id="AutoShape 134" style="height:1200;width:2502;top:8030;left:1752;position:absolute;" o:spid="_x0000_s1109" filled="t" fillcolor="#ffffff" stroked="t" strokecolor="#000000" strokeweight="0.75pt" o:spt="2" arcsize="9940f">
                      <v:fill/>
                      <v:stroke filltype="solid"/>
                      <v:textbox style="layout-flow:horizontal;"/>
                      <v:imagedata o:title=""/>
                      <w10:wrap type="none" anchorx="text" anchory="text"/>
                      <w10:anchorlock/>
                    </v:roundrect>
                    <v:shapetype id="_x0000_t202" coordsize="21600,21600" o:spt="202" path="m,l,21600r21600,l21600,xe">
                      <v:stroke joinstyle="miter"/>
                      <v:path gradientshapeok="t" o:connecttype="rect"/>
                    </v:shapetype>
                    <v:shape id="Text Box 135" style="height:645;width:2270;top:8507;left:1869;position:absolute;" o:spid="_x0000_s1110" filled="f" stroked="f" o:spt="202" type="#_x0000_t202">
                      <v:fill/>
                      <v:textbox style="layout-flow:horizontal;" inset="0.45999999999999991mm,0.24694444444444438mm,0.45999999999999991mm,0.24694444444444438mm">
                        <w:txbxContent>
                          <w:p>
                            <w:pPr>
                              <w:pStyle w:val="0"/>
                              <w:spacing w:line="280" w:lineRule="exact"/>
                              <w:rPr>
                                <w:rFonts w:hint="default" w:ascii="ＭＳ ゴシック" w:hAnsi="ＭＳ ゴシック" w:eastAsia="ＭＳ ゴシック"/>
                                <w:sz w:val="20"/>
                              </w:rPr>
                            </w:pPr>
                            <w:r>
                              <w:rPr>
                                <w:rFonts w:hint="eastAsia" w:ascii="ＭＳ ゴシック" w:hAnsi="ＭＳ ゴシック" w:eastAsia="ＭＳ ゴシック"/>
                                <w:sz w:val="20"/>
                              </w:rPr>
                              <w:t>（障がい者生活実態・</w:t>
                            </w:r>
                          </w:p>
                          <w:p>
                            <w:pPr>
                              <w:pStyle w:val="0"/>
                              <w:spacing w:line="280" w:lineRule="exact"/>
                              <w:jc w:val="right"/>
                              <w:rPr>
                                <w:rFonts w:hint="default"/>
                                <w:sz w:val="20"/>
                              </w:rPr>
                            </w:pPr>
                            <w:r>
                              <w:rPr>
                                <w:rFonts w:hint="eastAsia" w:ascii="ＭＳ ゴシック" w:hAnsi="ＭＳ ゴシック" w:eastAsia="ＭＳ ゴシック"/>
                                <w:sz w:val="20"/>
                              </w:rPr>
                              <w:t>意向調査）</w:t>
                            </w:r>
                          </w:p>
                        </w:txbxContent>
                      </v:textbox>
                      <v:imagedata o:title=""/>
                      <w10:wrap type="none" anchorx="text" anchory="text"/>
                      <w10:anchorlock/>
                    </v:shape>
                    <v:shape id="Text Box 136" style="height:360;width:2285;top:8102;left:1861;position:absolute;" o:spid="_x0000_s1111" filled="f" stroked="f" o:spt="202" type="#_x0000_t202">
                      <v:fill/>
                      <v:textbox style="layout-flow:horizontal;" inset="2.0637499999999998mm,0.24694444444444438mm,2.0637499999999998mm,0.24694444444444438mm">
                        <w:txbxContent>
                          <w:p>
                            <w:pPr>
                              <w:pStyle w:val="0"/>
                              <w:jc w:val="center"/>
                              <w:rPr>
                                <w:rFonts w:hint="default" w:eastAsia="ＭＳ ゴシック"/>
                              </w:rPr>
                            </w:pPr>
                            <w:r>
                              <w:rPr>
                                <w:rFonts w:hint="default" w:eastAsia="ＭＳ ゴシック"/>
                              </w:rPr>
                              <w:t>アンケート調査</w:t>
                            </w:r>
                          </w:p>
                        </w:txbxContent>
                      </v:textbox>
                      <v:imagedata o:title=""/>
                      <w10:wrap type="none" anchorx="text" anchory="text"/>
                      <w10:anchorlock/>
                    </v:shape>
                    <w10:wrap type="none" anchorx="text" anchory="text"/>
                    <w10:anchorlock/>
                  </v:group>
                  <v:group id="_x0000_s1112" style="height:1050;width:2483;top:14075;left:8071;position:absolute;" coordsize="2483,1050" coordorigin="7681,8090">
                    <v:roundrect id="AutoShape 138" style="height:1050;width:2457;top:8090;left:7707;position:absolute;" o:spid="_x0000_s1113" filled="t" fillcolor="#ffffff" stroked="t" strokecolor="#000000" strokeweight="0.75pt" o:spt="2" arcsize="6645f">
                      <v:fill/>
                      <v:stroke filltype="solid"/>
                      <v:textbox style="layout-flow:horizontal;"/>
                      <v:imagedata o:title=""/>
                      <w10:wrap type="none" anchorx="text" anchory="text"/>
                      <w10:anchorlock/>
                    </v:roundrect>
                    <v:shape id="Text Box 139" style="height:870;width:2450;top:8207;left:7681;position:absolute;" o:spid="_x0000_s1114" filled="f" stroked="f" o:spt="202" type="#_x0000_t202">
                      <v:fill/>
                      <v:textbox style="layout-flow:horizontal;" inset="2.0637499999999998mm,0.24694444444444438mm,2.0637499999999998mm,0.24694444444444438mm">
                        <w:txbxContent>
                          <w:p>
                            <w:pPr>
                              <w:pStyle w:val="0"/>
                              <w:rPr>
                                <w:rFonts w:hint="default" w:eastAsia="ＭＳ ゴシック"/>
                              </w:rPr>
                            </w:pPr>
                            <w:r>
                              <w:rPr>
                                <w:rFonts w:hint="default" w:eastAsia="ＭＳ ゴシック"/>
                              </w:rPr>
                              <w:t>・関係課</w:t>
                            </w:r>
                          </w:p>
                          <w:p>
                            <w:pPr>
                              <w:pStyle w:val="0"/>
                              <w:rPr>
                                <w:rFonts w:hint="default" w:eastAsia="ＭＳ ゴシック"/>
                              </w:rPr>
                            </w:pPr>
                            <w:r>
                              <w:rPr>
                                <w:rFonts w:hint="eastAsia" w:eastAsia="ＭＳ ゴシック"/>
                              </w:rPr>
                              <w:t>・町社会福祉協議会</w:t>
                            </w:r>
                          </w:p>
                        </w:txbxContent>
                      </v:textbox>
                      <v:imagedata o:title=""/>
                      <w10:wrap type="none" anchorx="text" anchory="text"/>
                      <w10:anchorlock/>
                    </v:shape>
                    <w10:wrap type="none" anchorx="text" anchory="text"/>
                    <w10:anchorlock/>
                  </v:group>
                  <v:group id="_x0000_s1115" style="height:1365;width:3192;top:13918;left:4514;position:absolute;" coordsize="3192,1365" coordorigin="4514,14061">
                    <v:roundrect id="AutoShape 141" style="height:1365;width:3192;top:14061;left:4514;position:absolute;" o:spid="_x0000_s1116" filled="t" fillcolor="#ffffff" stroked="t" strokecolor="#000000" strokeweight="0.75pt" o:spt="2" arcsize="8787f">
                      <v:fill/>
                      <v:stroke filltype="solid"/>
                      <v:textbox style="layout-flow:horizontal;"/>
                      <v:imagedata o:title=""/>
                      <w10:wrap type="none" anchorx="text" anchory="text"/>
                      <w10:anchorlock/>
                    </v:roundrect>
                    <v:shape id="Text Box 142" style="height:855;width:3110;top:14554;left:4556;position:absolute;" o:spid="_x0000_s1117" filled="f" stroked="f" o:spt="202" type="#_x0000_t202">
                      <v:fill/>
                      <v:textbox style="layout-flow:horizontal;" inset="2.0637499999999998mm,0.24694444444444438mm,2.0637499999999998mm,0.24694444444444438mm">
                        <w:txbxContent>
                          <w:p>
                            <w:pPr>
                              <w:pStyle w:val="0"/>
                              <w:spacing w:line="260" w:lineRule="exact"/>
                              <w:rPr>
                                <w:rFonts w:hint="default" w:ascii="ＭＳ ゴシック" w:hAnsi="ＭＳ ゴシック" w:eastAsia="ＭＳ ゴシック"/>
                                <w:sz w:val="20"/>
                              </w:rPr>
                            </w:pPr>
                            <w:r>
                              <w:rPr>
                                <w:rFonts w:hint="default" w:ascii="ＭＳ ゴシック" w:hAnsi="ＭＳ ゴシック" w:eastAsia="ＭＳ ゴシック"/>
                                <w:sz w:val="20"/>
                              </w:rPr>
                              <w:t>・アンケート調査</w:t>
                            </w:r>
                          </w:p>
                          <w:p>
                            <w:pPr>
                              <w:pStyle w:val="0"/>
                              <w:spacing w:line="260" w:lineRule="exact"/>
                              <w:rPr>
                                <w:rFonts w:hint="default" w:ascii="ＭＳ ゴシック" w:hAnsi="ＭＳ ゴシック" w:eastAsia="ＭＳ ゴシック"/>
                                <w:sz w:val="20"/>
                              </w:rPr>
                            </w:pPr>
                            <w:r>
                              <w:rPr>
                                <w:rFonts w:hint="eastAsia" w:ascii="ＭＳ ゴシック" w:hAnsi="ＭＳ ゴシック" w:eastAsia="ＭＳ ゴシック"/>
                                <w:sz w:val="20"/>
                              </w:rPr>
                              <w:t>・施策の現状と課題の把握</w:t>
                            </w:r>
                          </w:p>
                          <w:p>
                            <w:pPr>
                              <w:pStyle w:val="0"/>
                              <w:spacing w:line="260" w:lineRule="exact"/>
                              <w:rPr>
                                <w:rFonts w:hint="default" w:ascii="ＭＳ ゴシック" w:hAnsi="ＭＳ ゴシック" w:eastAsia="ＭＳ ゴシック"/>
                                <w:sz w:val="20"/>
                              </w:rPr>
                            </w:pPr>
                            <w:r>
                              <w:rPr>
                                <w:rFonts w:hint="eastAsia" w:ascii="ＭＳ ゴシック" w:hAnsi="ＭＳ ゴシック" w:eastAsia="ＭＳ ゴシック"/>
                                <w:sz w:val="20"/>
                              </w:rPr>
                              <w:t>・計画案の作成</w:t>
                            </w:r>
                          </w:p>
                        </w:txbxContent>
                      </v:textbox>
                      <v:imagedata o:title=""/>
                      <w10:wrap type="none" anchorx="text" anchory="text"/>
                      <w10:anchorlock/>
                    </v:shape>
                    <v:shape id="Text Box 143" style="height:360;width:2524;top:14133;left:4848;position:absolute;" o:spid="_x0000_s1118" filled="f" stroked="f" o:spt="202" type="#_x0000_t202">
                      <v:fill/>
                      <v:textbox style="layout-flow:horizontal;" inset="2.0637499999999998mm,0.24694444444444438mm,2.0637499999999998mm,0.24694444444444438mm">
                        <w:txbxContent>
                          <w:p>
                            <w:pPr>
                              <w:pStyle w:val="0"/>
                              <w:jc w:val="center"/>
                              <w:rPr>
                                <w:rFonts w:hint="default" w:eastAsia="ＭＳ ゴシック"/>
                              </w:rPr>
                            </w:pPr>
                            <w:r>
                              <w:rPr>
                                <w:rFonts w:hint="default" w:eastAsia="ＭＳ ゴシック"/>
                              </w:rPr>
                              <w:t>事務局（保健福祉課</w:t>
                            </w:r>
                            <w:r>
                              <w:rPr>
                                <w:rFonts w:hint="eastAsia" w:eastAsia="ＭＳ ゴシック"/>
                              </w:rPr>
                              <w:t>）</w:t>
                            </w:r>
                          </w:p>
                        </w:txbxContent>
                      </v:textbox>
                      <v:imagedata o:title=""/>
                      <w10:wrap type="none" anchorx="text" anchory="text"/>
                      <w10:anchorlock/>
                    </v:shape>
                    <v:line id="Line 144" style="height:0;width:3192;top:14536;left:4514;position:absolute;" o:spid="_x0000_s1119" filled="f" stroked="t" strokecolor="#000000" strokeweight="0.75pt" o:spt="20" from="4514,14536" to="7706,14536">
                      <v:fill/>
                      <v:stroke filltype="solid"/>
                      <v:textbox style="layout-flow:horizontal;"/>
                      <v:imagedata o:title=""/>
                      <w10:wrap type="none" anchorx="text" anchory="text"/>
                      <w10:anchorlock/>
                    </v:line>
                    <w10:wrap type="none" anchorx="text" anchory="text"/>
                    <w10:anchorlock/>
                  </v:group>
                  <v:shape id="AutoShape 145" style="height:390;width:366;top:14405;left:7713;position:absolute;" o:spid="_x0000_s1120" filled="t" fillcolor="#ffffff" stroked="t" strokecolor="#000000" strokeweight="0.75pt" o:spt="69" type="#_x0000_t69" adj="6978,6258">
                    <v:fill/>
                    <v:stroke miterlimit="8" filltype="solid"/>
                    <v:textbox style="layout-flow:horizontal;"/>
                    <v:imagedata o:title=""/>
                    <w10:wrap type="none" anchorx="text" anchory="text"/>
                    <w10:anchorlock/>
                  </v:shape>
                  <v:shape id="AutoShape 146" style="height:390;width:366;top:14406;left:4141;position:absolute;" o:spid="_x0000_s1121" filled="t" fillcolor="#ffffff" stroked="t" strokecolor="#000000" strokeweight="0.75pt" o:spt="69" type="#_x0000_t69" adj="6978,6258">
                    <v:fill/>
                    <v:stroke miterlimit="8" filltype="solid"/>
                    <v:textbox style="layout-flow:horizontal;"/>
                    <v:imagedata o:title=""/>
                    <w10:wrap type="none" anchorx="text" anchory="text"/>
                    <w10:anchorlock/>
                  </v:shape>
                  <w10:wrap type="none" anchorx="text" anchory="text"/>
                  <w10:anchorlock/>
                </v:group>
                <v:shape id="AutoShape 147" style="height:368;width:336;top:13408;left:5930;position:absolute;rotation:90;" o:spid="_x0000_s1122" filled="t" fillcolor="#ffffff" stroked="t" strokecolor="#000000" strokeweight="0.75pt" o:spt="69" type="#_x0000_t69" adj="7907,6258">
                  <v:fill/>
                  <v:stroke miterlimit="8" filltype="solid"/>
                  <v:textbox style="layout-flow:horizontal;"/>
                  <v:imagedata o:title=""/>
                  <w10:wrap type="none" anchorx="text" anchory="text"/>
                  <w10:anchorlock/>
                </v:shape>
                <w10:wrap type="none" anchorx="text" anchory="text"/>
                <w10:anchorlock/>
              </v:group>
            </w:pict>
          </mc:Fallback>
        </mc:AlternateContent>
      </w:r>
    </w:p>
    <w:p>
      <w:pPr>
        <w:pStyle w:val="19"/>
        <w:rPr>
          <w:rFonts w:hint="default"/>
        </w:rPr>
      </w:pPr>
    </w:p>
    <w:p>
      <w:pPr>
        <w:pStyle w:val="19"/>
        <w:rPr>
          <w:rFonts w:hint="default"/>
        </w:rPr>
      </w:pPr>
    </w:p>
    <w:p>
      <w:pPr>
        <w:pStyle w:val="19"/>
        <w:rPr>
          <w:rFonts w:hint="default"/>
        </w:rPr>
      </w:pPr>
    </w:p>
    <w:p>
      <w:pPr>
        <w:pStyle w:val="19"/>
        <w:rPr>
          <w:rFonts w:hint="default"/>
        </w:rPr>
      </w:pPr>
    </w:p>
    <w:p>
      <w:pPr>
        <w:pStyle w:val="19"/>
        <w:rPr>
          <w:rFonts w:hint="default"/>
        </w:rPr>
      </w:pPr>
    </w:p>
    <w:p>
      <w:pPr>
        <w:pStyle w:val="19"/>
        <w:rPr>
          <w:rFonts w:hint="default"/>
        </w:rPr>
      </w:pPr>
    </w:p>
    <w:p>
      <w:pPr>
        <w:pStyle w:val="19"/>
        <w:rPr>
          <w:rFonts w:hint="default"/>
        </w:rPr>
      </w:pPr>
    </w:p>
    <w:p>
      <w:pPr>
        <w:pStyle w:val="19"/>
        <w:rPr>
          <w:rFonts w:hint="default"/>
        </w:rPr>
      </w:pPr>
    </w:p>
    <w:p>
      <w:pPr>
        <w:pStyle w:val="19"/>
        <w:rPr>
          <w:rFonts w:hint="default"/>
        </w:rPr>
      </w:pPr>
    </w:p>
    <w:p>
      <w:pPr>
        <w:pStyle w:val="19"/>
        <w:rPr>
          <w:rFonts w:hint="default"/>
        </w:rPr>
      </w:pPr>
    </w:p>
    <w:p>
      <w:pPr>
        <w:pStyle w:val="19"/>
        <w:rPr>
          <w:rFonts w:hint="default"/>
        </w:rPr>
      </w:pPr>
    </w:p>
    <w:p>
      <w:pPr>
        <w:pStyle w:val="0"/>
        <w:widowControl w:val="1"/>
        <w:jc w:val="left"/>
        <w:rPr>
          <w:rFonts w:hint="default"/>
        </w:rPr>
      </w:pPr>
      <w:r>
        <w:rPr>
          <w:rFonts w:hint="default"/>
        </w:rPr>
        <w:br w:type="page"/>
      </w:r>
    </w:p>
    <w:p>
      <w:pPr>
        <w:pStyle w:val="24"/>
        <w:rPr>
          <w:rFonts w:hint="default"/>
        </w:rPr>
      </w:pPr>
      <w:bookmarkEnd w:id="8"/>
      <w:bookmarkStart w:id="16" w:name="_Toc158300402"/>
      <w:bookmarkStart w:id="17" w:name="_Toc505592281"/>
      <w:r>
        <w:rPr>
          <w:rFonts w:hint="default"/>
        </w:rPr>
        <w:t>第２章　</w:t>
      </w:r>
      <w:r>
        <w:rPr>
          <w:rFonts w:hint="eastAsia"/>
        </w:rPr>
        <w:t>障害福祉を取巻く現状</w:t>
      </w:r>
      <w:bookmarkEnd w:id="16"/>
    </w:p>
    <w:p>
      <w:pPr>
        <w:pStyle w:val="23"/>
        <w:rPr>
          <w:rFonts w:hint="default"/>
        </w:rPr>
      </w:pPr>
      <w:bookmarkStart w:id="18" w:name="_Toc158300403"/>
      <w:r>
        <w:rPr>
          <w:rFonts w:hint="eastAsia"/>
        </w:rPr>
        <w:t>１．障がい者の概況</w:t>
      </w:r>
      <w:bookmarkEnd w:id="18"/>
    </w:p>
    <w:p>
      <w:pPr>
        <w:pStyle w:val="66"/>
        <w:spacing w:after="74" w:afterLines="0" w:afterAutospacing="0"/>
        <w:ind w:left="112"/>
        <w:outlineLvl w:val="3"/>
        <w:rPr>
          <w:rFonts w:hint="default"/>
          <w:color w:val="auto"/>
          <w:sz w:val="22"/>
        </w:rPr>
      </w:pPr>
      <w:r>
        <w:rPr>
          <w:rFonts w:hint="default"/>
          <w:color w:val="auto"/>
          <w:sz w:val="22"/>
        </w:rPr>
        <w:t>（１）</w:t>
      </w:r>
      <w:r>
        <w:rPr>
          <w:rFonts w:hint="eastAsia"/>
          <w:color w:val="auto"/>
          <w:sz w:val="22"/>
          <w:u w:val="single" w:color="auto"/>
        </w:rPr>
        <w:t>障害者手帳の交付状況</w:t>
      </w:r>
    </w:p>
    <w:p>
      <w:pPr>
        <w:pStyle w:val="67"/>
        <w:ind w:left="448" w:firstLine="214" w:firstLineChars="100"/>
        <w:rPr>
          <w:rFonts w:hint="default"/>
        </w:rPr>
      </w:pPr>
      <w:r>
        <w:rPr>
          <w:rFonts w:hint="eastAsia"/>
        </w:rPr>
        <w:t>障害者手帳交付者の総数は年々増えてきており、平成</w:t>
      </w:r>
      <w:r>
        <w:rPr>
          <w:rFonts w:hint="eastAsia"/>
        </w:rPr>
        <w:t>30</w:t>
      </w:r>
      <w:r>
        <w:rPr>
          <w:rFonts w:hint="eastAsia"/>
        </w:rPr>
        <w:t>年度の</w:t>
      </w:r>
      <w:r>
        <w:rPr>
          <w:rFonts w:hint="default"/>
        </w:rPr>
        <w:t>2,</w:t>
      </w:r>
      <w:r>
        <w:rPr>
          <w:rFonts w:hint="eastAsia"/>
        </w:rPr>
        <w:t>317</w:t>
      </w:r>
      <w:r>
        <w:rPr>
          <w:rFonts w:hint="eastAsia"/>
        </w:rPr>
        <w:t>人に対し令和４年度では</w:t>
      </w:r>
      <w:r>
        <w:rPr>
          <w:rFonts w:hint="default"/>
        </w:rPr>
        <w:t>2,626</w:t>
      </w:r>
      <w:r>
        <w:rPr>
          <w:rFonts w:hint="eastAsia"/>
        </w:rPr>
        <w:t>人と、この４年間で</w:t>
      </w:r>
      <w:r>
        <w:rPr>
          <w:rFonts w:hint="eastAsia"/>
        </w:rPr>
        <w:t>309</w:t>
      </w:r>
      <w:r>
        <w:rPr>
          <w:rFonts w:hint="eastAsia"/>
        </w:rPr>
        <w:t>人の増、伸び率は</w:t>
      </w:r>
      <w:r>
        <w:rPr>
          <w:rFonts w:hint="eastAsia"/>
        </w:rPr>
        <w:t>13.3</w:t>
      </w:r>
      <w:r>
        <w:rPr>
          <w:rFonts w:hint="eastAsia"/>
        </w:rPr>
        <w:t>％となります。</w:t>
      </w:r>
    </w:p>
    <w:p>
      <w:pPr>
        <w:pStyle w:val="67"/>
        <w:ind w:left="448" w:firstLine="214" w:firstLineChars="100"/>
        <w:rPr>
          <w:rFonts w:hint="default"/>
        </w:rPr>
      </w:pPr>
      <w:r>
        <w:rPr>
          <w:rFonts w:hint="eastAsia"/>
        </w:rPr>
        <w:t>手帳の種類別にみると</w:t>
      </w:r>
      <w:r>
        <w:rPr>
          <w:rFonts w:hint="default"/>
        </w:rPr>
        <w:t>「身体障害者手帳」「療育手帳」、「精神障害者保健福祉手帳」の交付者</w:t>
      </w:r>
      <w:r>
        <w:rPr>
          <w:rFonts w:hint="eastAsia"/>
        </w:rPr>
        <w:t>はいずれも</w:t>
      </w:r>
      <w:r>
        <w:rPr>
          <w:rFonts w:hint="default"/>
        </w:rPr>
        <w:t>増加する傾向にあります。</w:t>
      </w:r>
      <w:r>
        <w:rPr>
          <w:rFonts w:hint="eastAsia"/>
        </w:rPr>
        <w:t>そのうち</w:t>
      </w:r>
      <w:r>
        <w:rPr>
          <w:rFonts w:hint="default"/>
        </w:rPr>
        <w:t>「身体障害者手帳」の交付者が</w:t>
      </w:r>
      <w:r>
        <w:rPr>
          <w:rFonts w:hint="eastAsia"/>
        </w:rPr>
        <w:t>毎年度</w:t>
      </w:r>
      <w:r>
        <w:rPr>
          <w:rFonts w:hint="default"/>
        </w:rPr>
        <w:t>最も多く、</w:t>
      </w:r>
      <w:r>
        <w:rPr>
          <w:rFonts w:hint="eastAsia"/>
        </w:rPr>
        <w:t>令和４年</w:t>
      </w:r>
      <w:r>
        <w:rPr>
          <w:rFonts w:hint="default"/>
        </w:rPr>
        <w:t>度では全体の</w:t>
      </w:r>
      <w:r>
        <w:rPr>
          <w:rFonts w:hint="default"/>
        </w:rPr>
        <w:t>57.6</w:t>
      </w:r>
      <w:r>
        <w:rPr>
          <w:rFonts w:hint="default"/>
        </w:rPr>
        <w:t>％を占めます。</w:t>
      </w:r>
    </w:p>
    <w:p>
      <w:pPr>
        <w:pStyle w:val="67"/>
        <w:ind w:left="448" w:firstLine="214" w:firstLineChars="100"/>
        <w:rPr>
          <w:rFonts w:hint="default"/>
        </w:rPr>
      </w:pPr>
      <w:r>
        <w:rPr>
          <w:rFonts w:hint="default"/>
        </w:rPr>
        <w:t>各手帳交付者の平成</w:t>
      </w:r>
      <w:r>
        <w:rPr>
          <w:rFonts w:hint="eastAsia"/>
        </w:rPr>
        <w:t>30</w:t>
      </w:r>
      <w:r>
        <w:rPr>
          <w:rFonts w:hint="default"/>
        </w:rPr>
        <w:t>年度に対する</w:t>
      </w:r>
      <w:r>
        <w:rPr>
          <w:rFonts w:hint="eastAsia"/>
        </w:rPr>
        <w:t>令和４年</w:t>
      </w:r>
      <w:r>
        <w:rPr>
          <w:rFonts w:hint="default"/>
        </w:rPr>
        <w:t>度の増数をみると、「身体障害者手帳」が</w:t>
      </w:r>
      <w:r>
        <w:rPr>
          <w:rFonts w:hint="eastAsia"/>
        </w:rPr>
        <w:t>122</w:t>
      </w:r>
      <w:r>
        <w:rPr>
          <w:rFonts w:hint="default"/>
        </w:rPr>
        <w:t>人</w:t>
      </w:r>
      <w:r>
        <w:rPr>
          <w:rFonts w:hint="eastAsia"/>
        </w:rPr>
        <w:t>増</w:t>
      </w:r>
      <w:r>
        <w:rPr>
          <w:rFonts w:hint="default"/>
        </w:rPr>
        <w:t>、次に「精神障害者保健福祉手帳」が</w:t>
      </w:r>
      <w:r>
        <w:rPr>
          <w:rFonts w:hint="default"/>
        </w:rPr>
        <w:t>109</w:t>
      </w:r>
      <w:r>
        <w:rPr>
          <w:rFonts w:hint="default"/>
        </w:rPr>
        <w:t>人増</w:t>
      </w:r>
      <w:r>
        <w:rPr>
          <w:rFonts w:hint="eastAsia"/>
        </w:rPr>
        <w:t>、</w:t>
      </w:r>
      <w:r>
        <w:rPr>
          <w:rFonts w:hint="default"/>
        </w:rPr>
        <w:t>「療育手帳」が</w:t>
      </w:r>
      <w:r>
        <w:rPr>
          <w:rFonts w:hint="eastAsia"/>
        </w:rPr>
        <w:t>78</w:t>
      </w:r>
      <w:r>
        <w:rPr>
          <w:rFonts w:hint="default"/>
        </w:rPr>
        <w:t>人増となります。</w:t>
      </w:r>
    </w:p>
    <w:p>
      <w:pPr>
        <w:pStyle w:val="67"/>
        <w:ind w:left="448" w:firstLine="214" w:firstLineChars="100"/>
        <w:rPr>
          <w:rFonts w:hint="default"/>
        </w:rPr>
      </w:pPr>
      <w:r>
        <w:rPr>
          <w:rFonts w:hint="default"/>
        </w:rPr>
        <w:t>一方、手帳交付者数の伸び率では、「精神障害者保健福祉手帳」が</w:t>
      </w:r>
      <w:r>
        <w:rPr>
          <w:rFonts w:hint="default"/>
        </w:rPr>
        <w:t>22.6</w:t>
      </w:r>
      <w:r>
        <w:rPr>
          <w:rFonts w:hint="eastAsia"/>
        </w:rPr>
        <w:t>％</w:t>
      </w:r>
      <w:r>
        <w:rPr>
          <w:rFonts w:hint="default"/>
        </w:rPr>
        <w:t>と最も大きく、</w:t>
      </w:r>
      <w:r>
        <w:rPr>
          <w:rFonts w:hint="eastAsia"/>
        </w:rPr>
        <w:t>「療育手帳」</w:t>
      </w:r>
      <w:r>
        <w:rPr>
          <w:rFonts w:hint="default"/>
        </w:rPr>
        <w:t>が</w:t>
      </w:r>
      <w:r>
        <w:rPr>
          <w:rFonts w:hint="default"/>
        </w:rPr>
        <w:t>17.6</w:t>
      </w:r>
      <w:r>
        <w:rPr>
          <w:rFonts w:hint="eastAsia"/>
        </w:rPr>
        <w:t>％、</w:t>
      </w:r>
      <w:r>
        <w:rPr>
          <w:rFonts w:hint="default"/>
        </w:rPr>
        <w:t>「</w:t>
      </w:r>
      <w:r>
        <w:rPr>
          <w:rFonts w:hint="eastAsia"/>
        </w:rPr>
        <w:t>身体障害者</w:t>
      </w:r>
      <w:r>
        <w:rPr>
          <w:rFonts w:hint="default"/>
        </w:rPr>
        <w:t>手帳」</w:t>
      </w:r>
      <w:r>
        <w:rPr>
          <w:rFonts w:hint="eastAsia"/>
        </w:rPr>
        <w:t>が</w:t>
      </w:r>
      <w:r>
        <w:rPr>
          <w:rFonts w:hint="eastAsia"/>
        </w:rPr>
        <w:t>8.8</w:t>
      </w:r>
      <w:r>
        <w:rPr>
          <w:rFonts w:hint="eastAsia"/>
        </w:rPr>
        <w:t>％</w:t>
      </w:r>
      <w:r>
        <w:rPr>
          <w:rFonts w:hint="default"/>
        </w:rPr>
        <w:t>とな</w:t>
      </w:r>
      <w:r>
        <w:rPr>
          <w:rFonts w:hint="eastAsia"/>
        </w:rPr>
        <w:t>ってい</w:t>
      </w:r>
      <w:r>
        <w:rPr>
          <w:rFonts w:hint="default"/>
        </w:rPr>
        <w:t>ます。</w:t>
      </w:r>
    </w:p>
    <w:p>
      <w:pPr>
        <w:pStyle w:val="67"/>
        <w:spacing w:line="0" w:lineRule="atLeast"/>
        <w:ind w:left="448" w:firstLine="164" w:firstLineChars="100"/>
        <w:rPr>
          <w:rFonts w:hint="default"/>
          <w:sz w:val="16"/>
        </w:rPr>
      </w:pPr>
    </w:p>
    <w:tbl>
      <w:tblPr>
        <w:tblStyle w:val="11"/>
        <w:tblW w:w="9072" w:type="dxa"/>
        <w:tblInd w:w="567" w:type="dxa"/>
        <w:tblLayout w:type="fixed"/>
        <w:tblCellMar>
          <w:top w:w="28" w:type="dxa"/>
          <w:bottom w:w="28" w:type="dxa"/>
        </w:tblCellMar>
        <w:tblLook w:firstRow="0" w:lastRow="0" w:firstColumn="0" w:lastColumn="0" w:noHBand="0" w:noVBand="0" w:val="0000"/>
      </w:tblPr>
      <w:tblGrid>
        <w:gridCol w:w="236"/>
        <w:gridCol w:w="2487"/>
        <w:gridCol w:w="821"/>
        <w:gridCol w:w="23"/>
        <w:gridCol w:w="845"/>
        <w:gridCol w:w="844"/>
        <w:gridCol w:w="845"/>
        <w:gridCol w:w="716"/>
        <w:gridCol w:w="129"/>
        <w:gridCol w:w="1063"/>
        <w:gridCol w:w="1063"/>
      </w:tblGrid>
      <w:tr>
        <w:trPr/>
        <w:tc>
          <w:tcPr>
            <w:tcW w:w="3544" w:type="dxa"/>
            <w:gridSpan w:val="3"/>
            <w:vAlign w:val="bottom"/>
          </w:tcPr>
          <w:p>
            <w:pPr>
              <w:pStyle w:val="51"/>
              <w:snapToGrid w:val="0"/>
              <w:spacing w:line="0" w:lineRule="atLeast"/>
              <w:ind w:left="-221"/>
              <w:rPr>
                <w:rFonts w:hint="default" w:ascii="ＭＳ ゴシック" w:hAnsi="ＭＳ ゴシック" w:eastAsia="ＭＳ ゴシック"/>
              </w:rPr>
            </w:pPr>
            <w:r>
              <w:rPr>
                <w:rFonts w:hint="default" w:ascii="ＭＳ ゴシック" w:hAnsi="ＭＳ ゴシック" w:eastAsia="ＭＳ ゴシック"/>
                <w:sz w:val="21"/>
              </w:rPr>
              <w:t>【障害者手帳交付状況】</w:t>
            </w:r>
          </w:p>
        </w:tc>
        <w:tc>
          <w:tcPr>
            <w:tcW w:w="3273" w:type="dxa"/>
            <w:gridSpan w:val="5"/>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255" w:type="dxa"/>
            <w:gridSpan w:val="3"/>
            <w:tcMar>
              <w:top w:w="0" w:type="dxa"/>
              <w:bottom w:w="0" w:type="dxa"/>
            </w:tcMar>
            <w:vAlign w:val="bottom"/>
          </w:tcPr>
          <w:p>
            <w:pPr>
              <w:pStyle w:val="54"/>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c>
          <w:tcPr>
            <w:tcW w:w="2723" w:type="dxa"/>
            <w:gridSpan w:val="2"/>
            <w:tcBorders>
              <w:top w:val="single" w:color="auto"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jc w:val="center"/>
              <w:rPr>
                <w:rFonts w:hint="default" w:ascii="ＭＳ ゴシック" w:hAnsi="ＭＳ ゴシック" w:eastAsia="ＭＳ ゴシック"/>
                <w:sz w:val="20"/>
              </w:rPr>
            </w:pPr>
          </w:p>
        </w:tc>
        <w:tc>
          <w:tcPr>
            <w:tcW w:w="844" w:type="dxa"/>
            <w:gridSpan w:val="2"/>
            <w:tcBorders>
              <w:top w:val="single" w:color="000000"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平成</w:t>
            </w:r>
          </w:p>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年度</w:t>
            </w:r>
          </w:p>
        </w:tc>
        <w:tc>
          <w:tcPr>
            <w:tcW w:w="845" w:type="dxa"/>
            <w:tcBorders>
              <w:top w:val="single" w:color="000000"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元年度</w:t>
            </w:r>
          </w:p>
        </w:tc>
        <w:tc>
          <w:tcPr>
            <w:tcW w:w="844" w:type="dxa"/>
            <w:tcBorders>
              <w:top w:val="single" w:color="000000"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２年度</w:t>
            </w:r>
          </w:p>
        </w:tc>
        <w:tc>
          <w:tcPr>
            <w:tcW w:w="845" w:type="dxa"/>
            <w:tcBorders>
              <w:top w:val="single" w:color="000000"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３年度</w:t>
            </w:r>
          </w:p>
        </w:tc>
        <w:tc>
          <w:tcPr>
            <w:tcW w:w="845" w:type="dxa"/>
            <w:gridSpan w:val="2"/>
            <w:tcBorders>
              <w:top w:val="single" w:color="000000" w:sz="4" w:space="0"/>
              <w:left w:val="single" w:color="000000" w:sz="4" w:space="0"/>
              <w:bottom w:val="single" w:color="auto" w:sz="4" w:space="0"/>
              <w:right w:val="single" w:color="auto" w:sz="12"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napToGrid w:val="0"/>
              <w:spacing w:line="0" w:lineRule="atLeast"/>
              <w:ind w:left="-67" w:leftChars="-30" w:right="-67" w:rightChars="-3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４年度</w:t>
            </w:r>
          </w:p>
        </w:tc>
        <w:tc>
          <w:tcPr>
            <w:tcW w:w="1063" w:type="dxa"/>
            <w:tcBorders>
              <w:top w:val="single" w:color="auto" w:sz="4" w:space="0"/>
              <w:left w:val="single" w:color="auto" w:sz="12"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Ｈ</w:t>
            </w: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Ｒ４</w:t>
            </w:r>
          </w:p>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増減</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Ｈ</w:t>
            </w: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Ｒ４</w:t>
            </w:r>
          </w:p>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伸び率</w:t>
            </w:r>
          </w:p>
        </w:tc>
      </w:tr>
      <w:tr>
        <w:trPr/>
        <w:tc>
          <w:tcPr>
            <w:tcW w:w="2723" w:type="dxa"/>
            <w:gridSpan w:val="2"/>
            <w:tcBorders>
              <w:top w:val="single" w:color="auto" w:sz="4" w:space="0"/>
              <w:left w:val="single" w:color="auto" w:sz="4" w:space="0"/>
              <w:bottom w:val="none" w:color="auto" w:sz="0"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line="240" w:lineRule="auto"/>
              <w:rPr>
                <w:rFonts w:hint="default" w:ascii="ＭＳ ゴシック" w:hAnsi="ＭＳ ゴシック" w:eastAsia="ＭＳ ゴシック"/>
                <w:w w:val="100"/>
                <w:sz w:val="20"/>
              </w:rPr>
            </w:pPr>
            <w:bookmarkStart w:id="19" w:name="_Hlk147415656"/>
            <w:r>
              <w:rPr>
                <w:rFonts w:hint="default" w:ascii="ＭＳ ゴシック" w:hAnsi="ＭＳ ゴシック" w:eastAsia="ＭＳ ゴシック"/>
                <w:w w:val="100"/>
                <w:sz w:val="20"/>
              </w:rPr>
              <w:t>総数</w:t>
            </w:r>
            <w:bookmarkEnd w:id="19"/>
          </w:p>
        </w:tc>
        <w:tc>
          <w:tcPr>
            <w:tcW w:w="84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2,317</w:t>
            </w:r>
          </w:p>
        </w:tc>
        <w:tc>
          <w:tcPr>
            <w:tcW w:w="8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2,397</w:t>
            </w:r>
          </w:p>
        </w:tc>
        <w:tc>
          <w:tcPr>
            <w:tcW w:w="84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2,443</w:t>
            </w:r>
          </w:p>
        </w:tc>
        <w:tc>
          <w:tcPr>
            <w:tcW w:w="8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2,546</w:t>
            </w:r>
          </w:p>
        </w:tc>
        <w:tc>
          <w:tcPr>
            <w:tcW w:w="845" w:type="dxa"/>
            <w:gridSpan w:val="2"/>
            <w:tcBorders>
              <w:top w:val="single" w:color="auto" w:sz="4" w:space="0"/>
              <w:left w:val="single" w:color="auto" w:sz="4" w:space="0"/>
              <w:bottom w:val="single" w:color="auto" w:sz="4" w:space="0"/>
              <w:right w:val="single" w:color="auto" w:sz="12" w:space="0"/>
              <w:tl2br w:val="none" w:color="auto" w:sz="0" w:space="0"/>
              <w:tr2bl w:val="none" w:color="auto" w:sz="0" w:space="0"/>
            </w:tcBorders>
            <w:shd w:val="clear" w:color="auto" w:fill="auto"/>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2,626</w:t>
            </w:r>
          </w:p>
        </w:tc>
        <w:tc>
          <w:tcPr>
            <w:tcW w:w="1063" w:type="dxa"/>
            <w:tcBorders>
              <w:top w:val="single" w:color="auto" w:sz="4" w:space="0"/>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309</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13.3</w:t>
            </w:r>
          </w:p>
        </w:tc>
      </w:tr>
      <w:tr>
        <w:trPr/>
        <w:tc>
          <w:tcPr>
            <w:tcW w:w="236" w:type="dxa"/>
            <w:tcBorders>
              <w:top w:val="none" w:color="auto" w:sz="0" w:space="0"/>
              <w:left w:val="single" w:color="auto" w:sz="4" w:space="0"/>
              <w:bottom w:val="none" w:color="auto" w:sz="0"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line="240" w:lineRule="auto"/>
              <w:rPr>
                <w:rFonts w:hint="default" w:ascii="ＭＳ ゴシック" w:hAnsi="ＭＳ ゴシック" w:eastAsia="ＭＳ ゴシック"/>
                <w:w w:val="100"/>
                <w:sz w:val="20"/>
              </w:rPr>
            </w:pPr>
          </w:p>
        </w:tc>
        <w:tc>
          <w:tcPr>
            <w:tcW w:w="24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line="240" w:lineRule="auto"/>
              <w:jc w:val="both"/>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身体障害者手帳</w:t>
            </w:r>
          </w:p>
        </w:tc>
        <w:tc>
          <w:tcPr>
            <w:tcW w:w="84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1,391</w:t>
            </w:r>
          </w:p>
        </w:tc>
        <w:tc>
          <w:tcPr>
            <w:tcW w:w="8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1,437</w:t>
            </w:r>
          </w:p>
        </w:tc>
        <w:tc>
          <w:tcPr>
            <w:tcW w:w="84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1,448</w:t>
            </w:r>
          </w:p>
        </w:tc>
        <w:tc>
          <w:tcPr>
            <w:tcW w:w="8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1,482</w:t>
            </w:r>
          </w:p>
        </w:tc>
        <w:tc>
          <w:tcPr>
            <w:tcW w:w="845" w:type="dxa"/>
            <w:gridSpan w:val="2"/>
            <w:tcBorders>
              <w:top w:val="single" w:color="auto" w:sz="4" w:space="0"/>
              <w:left w:val="single" w:color="auto" w:sz="4" w:space="0"/>
              <w:bottom w:val="single" w:color="auto" w:sz="4" w:space="0"/>
              <w:right w:val="single" w:color="auto" w:sz="12"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1,513</w:t>
            </w:r>
          </w:p>
        </w:tc>
        <w:tc>
          <w:tcPr>
            <w:tcW w:w="1063" w:type="dxa"/>
            <w:tcBorders>
              <w:top w:val="single" w:color="auto" w:sz="4" w:space="0"/>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122</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8.8</w:t>
            </w:r>
          </w:p>
        </w:tc>
      </w:tr>
      <w:tr>
        <w:trPr/>
        <w:tc>
          <w:tcPr>
            <w:tcW w:w="236"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line="240" w:lineRule="auto"/>
              <w:rPr>
                <w:rFonts w:hint="default" w:ascii="ＭＳ ゴシック" w:hAnsi="ＭＳ ゴシック" w:eastAsia="ＭＳ ゴシック"/>
                <w:w w:val="100"/>
                <w:sz w:val="20"/>
              </w:rPr>
            </w:pPr>
          </w:p>
        </w:tc>
        <w:tc>
          <w:tcPr>
            <w:tcW w:w="24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line="240" w:lineRule="auto"/>
              <w:jc w:val="both"/>
              <w:rPr>
                <w:rFonts w:hint="default" w:ascii="ＭＳ ゴシック" w:hAnsi="ＭＳ ゴシック" w:eastAsia="ＭＳ ゴシック"/>
                <w:w w:val="100"/>
                <w:sz w:val="20"/>
              </w:rPr>
            </w:pPr>
            <w:r>
              <w:rPr>
                <w:rFonts w:hint="default" w:ascii="ＭＳ ゴシック" w:hAnsi="ＭＳ ゴシック" w:eastAsia="ＭＳ ゴシック"/>
                <w:w w:val="100"/>
                <w:sz w:val="20"/>
              </w:rPr>
              <w:t>療育手帳</w:t>
            </w:r>
          </w:p>
        </w:tc>
        <w:tc>
          <w:tcPr>
            <w:tcW w:w="84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443</w:t>
            </w:r>
          </w:p>
        </w:tc>
        <w:tc>
          <w:tcPr>
            <w:tcW w:w="8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469</w:t>
            </w:r>
          </w:p>
        </w:tc>
        <w:tc>
          <w:tcPr>
            <w:tcW w:w="84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472</w:t>
            </w:r>
          </w:p>
        </w:tc>
        <w:tc>
          <w:tcPr>
            <w:tcW w:w="8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496</w:t>
            </w:r>
          </w:p>
        </w:tc>
        <w:tc>
          <w:tcPr>
            <w:tcW w:w="845" w:type="dxa"/>
            <w:gridSpan w:val="2"/>
            <w:tcBorders>
              <w:top w:val="single" w:color="auto" w:sz="4" w:space="0"/>
              <w:left w:val="single" w:color="auto" w:sz="4" w:space="0"/>
              <w:bottom w:val="single" w:color="auto" w:sz="4" w:space="0"/>
              <w:right w:val="single" w:color="auto" w:sz="12"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521</w:t>
            </w:r>
          </w:p>
        </w:tc>
        <w:tc>
          <w:tcPr>
            <w:tcW w:w="1063" w:type="dxa"/>
            <w:tcBorders>
              <w:top w:val="single" w:color="auto" w:sz="4" w:space="0"/>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78</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17.6</w:t>
            </w:r>
          </w:p>
        </w:tc>
      </w:tr>
      <w:tr>
        <w:trPr/>
        <w:tc>
          <w:tcPr>
            <w:tcW w:w="236" w:type="dxa"/>
            <w:tcBorders>
              <w:top w:val="none" w:color="auto" w:sz="0" w:space="0"/>
              <w:left w:val="single" w:color="auto" w:sz="4" w:space="0"/>
              <w:bottom w:val="single" w:color="auto"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line="240" w:lineRule="auto"/>
              <w:rPr>
                <w:rFonts w:hint="default" w:ascii="ＭＳ ゴシック" w:hAnsi="ＭＳ ゴシック" w:eastAsia="ＭＳ ゴシック"/>
                <w:w w:val="100"/>
                <w:sz w:val="20"/>
              </w:rPr>
            </w:pPr>
          </w:p>
        </w:tc>
        <w:tc>
          <w:tcPr>
            <w:tcW w:w="24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line="240" w:lineRule="auto"/>
              <w:jc w:val="both"/>
              <w:rPr>
                <w:rFonts w:hint="default" w:ascii="ＭＳ ゴシック" w:hAnsi="ＭＳ ゴシック" w:eastAsia="ＭＳ ゴシック"/>
                <w:w w:val="100"/>
                <w:sz w:val="20"/>
              </w:rPr>
            </w:pPr>
            <w:r>
              <w:rPr>
                <w:rFonts w:hint="default" w:ascii="ＭＳ ゴシック" w:hAnsi="ＭＳ ゴシック" w:eastAsia="ＭＳ ゴシック"/>
                <w:w w:val="100"/>
                <w:sz w:val="20"/>
              </w:rPr>
              <w:t>精神障害者保健福祉手帳</w:t>
            </w:r>
          </w:p>
        </w:tc>
        <w:tc>
          <w:tcPr>
            <w:tcW w:w="84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483</w:t>
            </w:r>
          </w:p>
        </w:tc>
        <w:tc>
          <w:tcPr>
            <w:tcW w:w="8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491</w:t>
            </w:r>
          </w:p>
        </w:tc>
        <w:tc>
          <w:tcPr>
            <w:tcW w:w="84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523</w:t>
            </w:r>
          </w:p>
        </w:tc>
        <w:tc>
          <w:tcPr>
            <w:tcW w:w="84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568</w:t>
            </w:r>
          </w:p>
        </w:tc>
        <w:tc>
          <w:tcPr>
            <w:tcW w:w="845" w:type="dxa"/>
            <w:gridSpan w:val="2"/>
            <w:tcBorders>
              <w:top w:val="single" w:color="auto" w:sz="4" w:space="0"/>
              <w:left w:val="single" w:color="auto" w:sz="4" w:space="0"/>
              <w:bottom w:val="single" w:color="auto" w:sz="4" w:space="0"/>
              <w:right w:val="single" w:color="auto" w:sz="12"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592</w:t>
            </w:r>
          </w:p>
        </w:tc>
        <w:tc>
          <w:tcPr>
            <w:tcW w:w="1063" w:type="dxa"/>
            <w:tcBorders>
              <w:top w:val="single" w:color="auto" w:sz="4" w:space="0"/>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109</w:t>
            </w:r>
          </w:p>
        </w:tc>
        <w:tc>
          <w:tcPr>
            <w:tcW w:w="10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22.6</w:t>
            </w:r>
          </w:p>
        </w:tc>
      </w:tr>
    </w:tbl>
    <w:p>
      <w:pPr>
        <w:pStyle w:val="68"/>
        <w:spacing w:before="37" w:beforeLines="0" w:beforeAutospacing="0" w:after="0" w:afterLines="0" w:afterAutospacing="0"/>
        <w:ind w:left="1172"/>
        <w:rPr>
          <w:rFonts w:hint="default"/>
        </w:rPr>
      </w:pPr>
      <w:r>
        <w:rPr>
          <w:rFonts w:hint="eastAsia"/>
        </w:rPr>
        <w:t>資料：保健福祉課（各年度末現在）</w:t>
      </w:r>
    </w:p>
    <w:p>
      <w:pPr>
        <w:pStyle w:val="67"/>
        <w:ind w:left="448" w:firstLine="214" w:firstLineChars="100"/>
        <w:rPr>
          <w:rFonts w:hint="default"/>
        </w:rPr>
      </w:pPr>
      <w:r>
        <w:rPr>
          <w:rFonts w:hint="default"/>
        </w:rPr>
        <w:drawing>
          <wp:anchor distT="0" distB="0" distL="114300" distR="114300" simplePos="0" relativeHeight="130" behindDoc="0" locked="0" layoutInCell="1" hidden="0" allowOverlap="1">
            <wp:simplePos x="0" y="0"/>
            <wp:positionH relativeFrom="column">
              <wp:posOffset>656590</wp:posOffset>
            </wp:positionH>
            <wp:positionV relativeFrom="paragraph">
              <wp:posOffset>185420</wp:posOffset>
            </wp:positionV>
            <wp:extent cx="5391150" cy="2762250"/>
            <wp:effectExtent l="0" t="0" r="0" b="0"/>
            <wp:wrapNone/>
            <wp:docPr id="1123" name="Picture 2"/>
            <a:graphic xmlns:a="http://schemas.openxmlformats.org/drawingml/2006/main">
              <a:graphicData uri="http://schemas.openxmlformats.org/drawingml/2006/picture">
                <pic:pic xmlns:pic="http://schemas.openxmlformats.org/drawingml/2006/picture">
                  <pic:nvPicPr>
                    <pic:cNvPr id="1123" name="Picture 2"/>
                    <pic:cNvPicPr>
                      <a:picLocks noChangeAspect="1" noChangeArrowheads="1"/>
                    </pic:cNvPicPr>
                  </pic:nvPicPr>
                  <pic:blipFill>
                    <a:blip r:embed="rId9"/>
                    <a:srcRect l="4207" t="10622" r="3700" b="1871"/>
                    <a:stretch>
                      <a:fillRect/>
                    </a:stretch>
                  </pic:blipFill>
                  <pic:spPr>
                    <a:xfrm>
                      <a:off x="0" y="0"/>
                      <a:ext cx="5391150" cy="2762250"/>
                    </a:xfrm>
                    <a:prstGeom prst="rect">
                      <a:avLst/>
                    </a:prstGeom>
                    <a:noFill/>
                    <a:ln>
                      <a:noFill/>
                    </a:ln>
                  </pic:spPr>
                </pic:pic>
              </a:graphicData>
            </a:graphic>
          </wp:anchor>
        </w:drawing>
      </w: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r>
        <w:rPr>
          <w:rFonts w:hint="default"/>
        </w:rPr>
        <w:br w:type="page"/>
      </w:r>
    </w:p>
    <w:p>
      <w:pPr>
        <w:pStyle w:val="66"/>
        <w:spacing w:after="74" w:afterLines="0" w:afterAutospacing="0"/>
        <w:ind w:left="112"/>
        <w:outlineLvl w:val="3"/>
        <w:rPr>
          <w:rFonts w:hint="default"/>
          <w:color w:val="auto"/>
          <w:sz w:val="22"/>
        </w:rPr>
      </w:pPr>
      <w:r>
        <w:rPr>
          <w:rFonts w:hint="eastAsia"/>
          <w:color w:val="auto"/>
          <w:sz w:val="22"/>
        </w:rPr>
        <w:t>（２）</w:t>
      </w:r>
      <w:r>
        <w:rPr>
          <w:rFonts w:hint="eastAsia"/>
          <w:color w:val="auto"/>
          <w:sz w:val="22"/>
          <w:u w:val="single" w:color="auto"/>
        </w:rPr>
        <w:t>障がい者の年齡</w:t>
      </w:r>
    </w:p>
    <w:p>
      <w:pPr>
        <w:pStyle w:val="67"/>
        <w:ind w:left="448" w:firstLine="214" w:firstLineChars="100"/>
        <w:rPr>
          <w:rFonts w:hint="default"/>
        </w:rPr>
      </w:pPr>
      <w:r>
        <w:rPr>
          <w:rFonts w:hint="default"/>
        </w:rPr>
        <w:t>障がい者の年齡を「</w:t>
      </w:r>
      <w:r>
        <w:rPr>
          <w:rFonts w:hint="default"/>
        </w:rPr>
        <w:t>18</w:t>
      </w:r>
      <w:r>
        <w:rPr>
          <w:rFonts w:hint="default"/>
        </w:rPr>
        <w:t>歳未満」、「</w:t>
      </w:r>
      <w:r>
        <w:rPr>
          <w:rFonts w:hint="default"/>
        </w:rPr>
        <w:t>18</w:t>
      </w:r>
      <w:r>
        <w:rPr>
          <w:rFonts w:hint="default"/>
        </w:rPr>
        <w:t>歳以上</w:t>
      </w:r>
      <w:r>
        <w:rPr>
          <w:rFonts w:hint="default"/>
        </w:rPr>
        <w:t>65</w:t>
      </w:r>
      <w:r>
        <w:rPr>
          <w:rFonts w:hint="default"/>
        </w:rPr>
        <w:t>歳未満」、「</w:t>
      </w:r>
      <w:r>
        <w:rPr>
          <w:rFonts w:hint="default"/>
        </w:rPr>
        <w:t>65</w:t>
      </w:r>
      <w:r>
        <w:rPr>
          <w:rFonts w:hint="default"/>
        </w:rPr>
        <w:t>歳以上」</w:t>
      </w:r>
      <w:r>
        <w:rPr>
          <w:rFonts w:hint="eastAsia"/>
        </w:rPr>
        <w:t>の３</w:t>
      </w:r>
      <w:r>
        <w:rPr>
          <w:rFonts w:hint="default"/>
        </w:rPr>
        <w:t>区分でみると、「身体」</w:t>
      </w:r>
      <w:r>
        <w:rPr>
          <w:rFonts w:hint="eastAsia"/>
        </w:rPr>
        <w:t>では、</w:t>
      </w:r>
      <w:r>
        <w:rPr>
          <w:rFonts w:hint="default"/>
        </w:rPr>
        <w:t>「</w:t>
      </w:r>
      <w:r>
        <w:rPr>
          <w:rFonts w:hint="default"/>
        </w:rPr>
        <w:t>18</w:t>
      </w:r>
      <w:r>
        <w:rPr>
          <w:rFonts w:hint="default"/>
        </w:rPr>
        <w:t>歳未満」が</w:t>
      </w:r>
      <w:r>
        <w:rPr>
          <w:rFonts w:hint="default"/>
        </w:rPr>
        <w:t>50</w:t>
      </w:r>
      <w:r>
        <w:rPr>
          <w:rFonts w:hint="default"/>
        </w:rPr>
        <w:t>人</w:t>
      </w:r>
      <w:r>
        <w:rPr>
          <w:rFonts w:hint="eastAsia"/>
        </w:rPr>
        <w:t>程度の横ばい</w:t>
      </w:r>
      <w:r>
        <w:rPr>
          <w:rFonts w:hint="default"/>
        </w:rPr>
        <w:t>、「</w:t>
      </w:r>
      <w:r>
        <w:rPr>
          <w:rFonts w:hint="eastAsia"/>
        </w:rPr>
        <w:t>18</w:t>
      </w:r>
      <w:r>
        <w:rPr>
          <w:rFonts w:hint="eastAsia"/>
        </w:rPr>
        <w:t>歳以上</w:t>
      </w:r>
      <w:r>
        <w:rPr>
          <w:rFonts w:hint="eastAsia"/>
        </w:rPr>
        <w:t>65</w:t>
      </w:r>
      <w:r>
        <w:rPr>
          <w:rFonts w:hint="eastAsia"/>
        </w:rPr>
        <w:t>歳未満</w:t>
      </w:r>
      <w:r>
        <w:rPr>
          <w:rFonts w:hint="default"/>
        </w:rPr>
        <w:t>」</w:t>
      </w:r>
      <w:r>
        <w:rPr>
          <w:rFonts w:hint="eastAsia"/>
        </w:rPr>
        <w:t>が減少傾向</w:t>
      </w:r>
      <w:r>
        <w:rPr>
          <w:rFonts w:hint="default"/>
        </w:rPr>
        <w:t>で推移しています。</w:t>
      </w:r>
      <w:r>
        <w:rPr>
          <w:rFonts w:hint="eastAsia"/>
        </w:rPr>
        <w:t>一方、「</w:t>
      </w:r>
      <w:r>
        <w:rPr>
          <w:rFonts w:hint="eastAsia"/>
        </w:rPr>
        <w:t>65</w:t>
      </w:r>
      <w:r>
        <w:rPr>
          <w:rFonts w:hint="eastAsia"/>
        </w:rPr>
        <w:t>歳以上」が毎年度最も多く、令和４年度では</w:t>
      </w:r>
      <w:r>
        <w:rPr>
          <w:rFonts w:hint="default"/>
        </w:rPr>
        <w:t>1,006</w:t>
      </w:r>
      <w:r>
        <w:rPr>
          <w:rFonts w:hint="eastAsia"/>
        </w:rPr>
        <w:t>人と「身体」の</w:t>
      </w:r>
      <w:r>
        <w:rPr>
          <w:rFonts w:hint="default"/>
        </w:rPr>
        <w:t>66.5</w:t>
      </w:r>
      <w:r>
        <w:rPr>
          <w:rFonts w:hint="eastAsia"/>
        </w:rPr>
        <w:t>％を占めます。</w:t>
      </w:r>
    </w:p>
    <w:p>
      <w:pPr>
        <w:pStyle w:val="67"/>
        <w:ind w:left="448" w:firstLine="214" w:firstLineChars="100"/>
        <w:rPr>
          <w:rFonts w:hint="default"/>
        </w:rPr>
      </w:pPr>
      <w:r>
        <w:rPr>
          <w:rFonts w:hint="eastAsia"/>
        </w:rPr>
        <w:t>「知的」では、３</w:t>
      </w:r>
      <w:r>
        <w:rPr>
          <w:rFonts w:hint="default"/>
        </w:rPr>
        <w:t>区分</w:t>
      </w:r>
      <w:r>
        <w:rPr>
          <w:rFonts w:hint="eastAsia"/>
        </w:rPr>
        <w:t>すべてで増加傾向にあり、特に「</w:t>
      </w:r>
      <w:r>
        <w:rPr>
          <w:rFonts w:hint="eastAsia"/>
        </w:rPr>
        <w:t>18</w:t>
      </w:r>
      <w:r>
        <w:rPr>
          <w:rFonts w:hint="eastAsia"/>
        </w:rPr>
        <w:t>歳以上</w:t>
      </w:r>
      <w:r>
        <w:rPr>
          <w:rFonts w:hint="eastAsia"/>
        </w:rPr>
        <w:t>65</w:t>
      </w:r>
      <w:r>
        <w:rPr>
          <w:rFonts w:hint="eastAsia"/>
        </w:rPr>
        <w:t>歳未満」が毎年度最も多く、令和４年度では</w:t>
      </w:r>
      <w:r>
        <w:rPr>
          <w:rFonts w:hint="eastAsia"/>
        </w:rPr>
        <w:t>324</w:t>
      </w:r>
      <w:r>
        <w:rPr>
          <w:rFonts w:hint="eastAsia"/>
        </w:rPr>
        <w:t>人と「知的」の</w:t>
      </w:r>
      <w:r>
        <w:rPr>
          <w:rFonts w:hint="default"/>
        </w:rPr>
        <w:t>62.2</w:t>
      </w:r>
      <w:r>
        <w:rPr>
          <w:rFonts w:hint="eastAsia"/>
        </w:rPr>
        <w:t>％を占めます。</w:t>
      </w:r>
    </w:p>
    <w:p>
      <w:pPr>
        <w:pStyle w:val="67"/>
        <w:ind w:left="448" w:firstLine="214" w:firstLineChars="100"/>
        <w:rPr>
          <w:rFonts w:hint="default"/>
        </w:rPr>
      </w:pPr>
      <w:r>
        <w:rPr>
          <w:rFonts w:hint="eastAsia"/>
        </w:rPr>
        <w:t>「精神」では、「</w:t>
      </w:r>
      <w:r>
        <w:rPr>
          <w:rFonts w:hint="eastAsia"/>
        </w:rPr>
        <w:t>18</w:t>
      </w:r>
      <w:r>
        <w:rPr>
          <w:rFonts w:hint="eastAsia"/>
        </w:rPr>
        <w:t>歳未満」が平成</w:t>
      </w:r>
      <w:r>
        <w:rPr>
          <w:rFonts w:hint="eastAsia"/>
        </w:rPr>
        <w:t>30</w:t>
      </w:r>
      <w:r>
        <w:rPr>
          <w:rFonts w:hint="eastAsia"/>
        </w:rPr>
        <w:t>年度以降</w:t>
      </w:r>
      <w:r>
        <w:rPr>
          <w:rFonts w:hint="eastAsia"/>
        </w:rPr>
        <w:t>20</w:t>
      </w:r>
      <w:r>
        <w:rPr>
          <w:rFonts w:hint="eastAsia"/>
        </w:rPr>
        <w:t>人台で推移していますが、徐々に増える傾向にあり、令和４年度では</w:t>
      </w:r>
      <w:r>
        <w:rPr>
          <w:rFonts w:hint="eastAsia"/>
        </w:rPr>
        <w:t>37</w:t>
      </w:r>
      <w:r>
        <w:rPr>
          <w:rFonts w:hint="eastAsia"/>
        </w:rPr>
        <w:t>人となります。「</w:t>
      </w:r>
      <w:r>
        <w:rPr>
          <w:rFonts w:hint="eastAsia"/>
        </w:rPr>
        <w:t>18</w:t>
      </w:r>
      <w:r>
        <w:rPr>
          <w:rFonts w:hint="eastAsia"/>
        </w:rPr>
        <w:t>歳以上</w:t>
      </w:r>
      <w:r>
        <w:rPr>
          <w:rFonts w:hint="eastAsia"/>
        </w:rPr>
        <w:t>65</w:t>
      </w:r>
      <w:r>
        <w:rPr>
          <w:rFonts w:hint="eastAsia"/>
        </w:rPr>
        <w:t>歳未満」が毎年度最も多く、かつ増加傾向にあり、平成</w:t>
      </w:r>
      <w:r>
        <w:rPr>
          <w:rFonts w:hint="eastAsia"/>
        </w:rPr>
        <w:t>30</w:t>
      </w:r>
      <w:r>
        <w:rPr>
          <w:rFonts w:hint="eastAsia"/>
        </w:rPr>
        <w:t>年度の</w:t>
      </w:r>
      <w:r>
        <w:rPr>
          <w:rFonts w:hint="eastAsia"/>
        </w:rPr>
        <w:t>313</w:t>
      </w:r>
      <w:r>
        <w:rPr>
          <w:rFonts w:hint="eastAsia"/>
        </w:rPr>
        <w:t>人から令和４年度では</w:t>
      </w:r>
      <w:r>
        <w:rPr>
          <w:rFonts w:hint="eastAsia"/>
        </w:rPr>
        <w:t>375</w:t>
      </w:r>
      <w:r>
        <w:rPr>
          <w:rFonts w:hint="eastAsia"/>
        </w:rPr>
        <w:t>人と</w:t>
      </w:r>
      <w:r>
        <w:rPr>
          <w:rFonts w:hint="eastAsia"/>
        </w:rPr>
        <w:t>62</w:t>
      </w:r>
      <w:r>
        <w:rPr>
          <w:rFonts w:hint="eastAsia"/>
        </w:rPr>
        <w:t>人の増となり、「精神」の</w:t>
      </w:r>
      <w:r>
        <w:rPr>
          <w:rFonts w:hint="eastAsia"/>
        </w:rPr>
        <w:t>63.3</w:t>
      </w:r>
      <w:r>
        <w:rPr>
          <w:rFonts w:hint="eastAsia"/>
        </w:rPr>
        <w:t>％を占めます。「</w:t>
      </w:r>
      <w:r>
        <w:rPr>
          <w:rFonts w:hint="eastAsia"/>
        </w:rPr>
        <w:t>65</w:t>
      </w:r>
      <w:r>
        <w:rPr>
          <w:rFonts w:hint="eastAsia"/>
        </w:rPr>
        <w:t>歳以上」は平成</w:t>
      </w:r>
      <w:r>
        <w:rPr>
          <w:rFonts w:hint="eastAsia"/>
        </w:rPr>
        <w:t>30</w:t>
      </w:r>
      <w:r>
        <w:rPr>
          <w:rFonts w:hint="eastAsia"/>
        </w:rPr>
        <w:t>年度以降</w:t>
      </w:r>
      <w:r>
        <w:rPr>
          <w:rFonts w:hint="eastAsia"/>
        </w:rPr>
        <w:t>140</w:t>
      </w:r>
      <w:r>
        <w:rPr>
          <w:rFonts w:hint="eastAsia"/>
        </w:rPr>
        <w:t>人から</w:t>
      </w:r>
      <w:r>
        <w:rPr>
          <w:rFonts w:hint="eastAsia"/>
        </w:rPr>
        <w:t>180</w:t>
      </w:r>
      <w:r>
        <w:rPr>
          <w:rFonts w:hint="eastAsia"/>
        </w:rPr>
        <w:t>人で推移しています。</w:t>
      </w:r>
    </w:p>
    <w:p>
      <w:pPr>
        <w:pStyle w:val="67"/>
        <w:spacing w:line="0" w:lineRule="atLeast"/>
        <w:ind w:left="448" w:firstLine="164" w:firstLineChars="100"/>
        <w:rPr>
          <w:rFonts w:hint="default"/>
          <w:sz w:val="16"/>
        </w:rPr>
      </w:pPr>
    </w:p>
    <w:tbl>
      <w:tblPr>
        <w:tblStyle w:val="11"/>
        <w:tblW w:w="8879"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720"/>
        <w:gridCol w:w="2028"/>
        <w:gridCol w:w="711"/>
        <w:gridCol w:w="310"/>
        <w:gridCol w:w="1022"/>
        <w:gridCol w:w="1022"/>
        <w:gridCol w:w="968"/>
        <w:gridCol w:w="54"/>
        <w:gridCol w:w="1022"/>
        <w:gridCol w:w="1022"/>
      </w:tblGrid>
      <w:tr>
        <w:trPr/>
        <w:tc>
          <w:tcPr>
            <w:tcW w:w="3459" w:type="dxa"/>
            <w:gridSpan w:val="3"/>
            <w:tcBorders>
              <w:top w:val="nil"/>
              <w:left w:val="nil"/>
              <w:bottom w:val="single" w:color="auto" w:sz="4" w:space="0"/>
              <w:right w:val="nil"/>
              <w:tl2br w:val="none" w:color="auto" w:sz="0" w:space="0"/>
              <w:tr2bl w:val="none" w:color="auto" w:sz="0" w:space="0"/>
            </w:tcBorders>
            <w:shd w:val="clear" w:color="auto" w:fill="auto"/>
            <w:tcMar>
              <w:top w:w="0" w:type="dxa"/>
              <w:bottom w:w="0" w:type="dxa"/>
            </w:tcMar>
            <w:vAlign w:val="bottom"/>
          </w:tcPr>
          <w:p>
            <w:pPr>
              <w:pStyle w:val="51"/>
              <w:snapToGrid w:val="0"/>
              <w:spacing w:line="0" w:lineRule="atLeast"/>
              <w:ind w:left="-221"/>
              <w:rPr>
                <w:rFonts w:hint="default" w:ascii="ＭＳ ゴシック" w:hAnsi="ＭＳ ゴシック" w:eastAsia="ＭＳ ゴシック"/>
                <w:kern w:val="0"/>
              </w:rPr>
            </w:pPr>
            <w:r>
              <w:rPr>
                <w:rFonts w:hint="eastAsia" w:ascii="ＭＳ ゴシック" w:hAnsi="ＭＳ ゴシック" w:eastAsia="ＭＳ ゴシック"/>
                <w:sz w:val="21"/>
              </w:rPr>
              <w:t>【障がい者の年齢】</w:t>
            </w:r>
          </w:p>
        </w:tc>
        <w:tc>
          <w:tcPr>
            <w:tcW w:w="3322" w:type="dxa"/>
            <w:gridSpan w:val="4"/>
            <w:tcBorders>
              <w:top w:val="nil"/>
              <w:left w:val="nil"/>
              <w:bottom w:val="none" w:color="auto" w:sz="0" w:space="0"/>
              <w:right w:val="nil"/>
              <w:tl2br w:val="none" w:color="auto" w:sz="0" w:space="0"/>
              <w:tr2bl w:val="none" w:color="auto" w:sz="0" w:space="0"/>
            </w:tcBorders>
            <w:shd w:val="clear" w:color="auto" w:fill="auto"/>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098" w:type="dxa"/>
            <w:gridSpan w:val="3"/>
            <w:tcBorders>
              <w:top w:val="nil"/>
              <w:left w:val="nil"/>
              <w:bottom w:val="none" w:color="auto" w:sz="0" w:space="0"/>
              <w:right w:val="nil"/>
              <w:tl2br w:val="none" w:color="auto" w:sz="0" w:space="0"/>
              <w:tr2bl w:val="none" w:color="auto" w:sz="0" w:space="0"/>
            </w:tcBorders>
            <w:shd w:val="clear" w:color="auto" w:fill="auto"/>
            <w:tcMar>
              <w:top w:w="0" w:type="dxa"/>
              <w:bottom w:w="0" w:type="dxa"/>
            </w:tcMar>
            <w:vAlign w:val="bottom"/>
          </w:tcPr>
          <w:p>
            <w:pPr>
              <w:pStyle w:val="54"/>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rHeight w:val="163" w:hRule="atLeast"/>
        </w:trPr>
        <w:tc>
          <w:tcPr>
            <w:tcW w:w="2748" w:type="dxa"/>
            <w:gridSpan w:val="2"/>
            <w:vMerge w:val="restart"/>
            <w:shd w:val="clear" w:color="auto" w:themeFill="background1" w:themeFillTint="FF" w:themeFillShade="D9"/>
            <w:tcMar>
              <w:top w:w="28" w:type="dxa"/>
              <w:bottom w:w="28" w:type="dxa"/>
            </w:tcMar>
            <w:vAlign w:val="center"/>
          </w:tcPr>
          <w:p>
            <w:pPr>
              <w:pStyle w:val="44"/>
              <w:spacing w:before="37" w:beforeLines="0" w:beforeAutospacing="0" w:after="37" w:afterLines="0" w:afterAutospacing="0"/>
              <w:rPr>
                <w:rFonts w:hint="default" w:ascii="ＭＳ ゴシック" w:hAnsi="ＭＳ ゴシック" w:eastAsia="ＭＳ ゴシック"/>
                <w:w w:val="100"/>
                <w:sz w:val="20"/>
              </w:rPr>
            </w:pPr>
          </w:p>
        </w:tc>
        <w:tc>
          <w:tcPr>
            <w:tcW w:w="1021" w:type="dxa"/>
            <w:gridSpan w:val="2"/>
            <w:vMerge w:val="restart"/>
            <w:shd w:val="clear" w:color="auto" w:themeFill="background1" w:themeFillTint="FF" w:themeFillShade="D9"/>
            <w:tcMar>
              <w:top w:w="28" w:type="dxa"/>
              <w:bottom w:w="28" w:type="dxa"/>
            </w:tcMar>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default" w:ascii="ＭＳ ゴシック" w:hAnsi="ＭＳ ゴシック" w:eastAsia="ＭＳ ゴシック"/>
                <w:kern w:val="0"/>
                <w:sz w:val="20"/>
              </w:rPr>
              <w:t>平成</w:t>
            </w:r>
          </w:p>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default" w:ascii="ＭＳ ゴシック" w:hAnsi="ＭＳ ゴシック" w:eastAsia="ＭＳ ゴシック"/>
                <w:kern w:val="0"/>
                <w:sz w:val="20"/>
              </w:rPr>
              <w:t>30</w:t>
            </w:r>
            <w:r>
              <w:rPr>
                <w:rFonts w:hint="default" w:ascii="ＭＳ ゴシック" w:hAnsi="ＭＳ ゴシック" w:eastAsia="ＭＳ ゴシック"/>
                <w:kern w:val="0"/>
                <w:sz w:val="20"/>
              </w:rPr>
              <w:t>年度</w:t>
            </w:r>
          </w:p>
        </w:tc>
        <w:tc>
          <w:tcPr>
            <w:tcW w:w="1022" w:type="dxa"/>
            <w:vMerge w:val="restart"/>
            <w:shd w:val="clear" w:color="auto" w:themeFill="background1" w:themeFillTint="FF" w:themeFillShade="D9"/>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令和</w:t>
            </w:r>
          </w:p>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元年度</w:t>
            </w:r>
          </w:p>
        </w:tc>
        <w:tc>
          <w:tcPr>
            <w:tcW w:w="1022" w:type="dxa"/>
            <w:vMerge w:val="restart"/>
            <w:shd w:val="clear" w:color="auto" w:themeFill="background1" w:themeFillTint="FF" w:themeFillShade="D9"/>
            <w:tcMar>
              <w:top w:w="28" w:type="dxa"/>
              <w:bottom w:w="28" w:type="dxa"/>
            </w:tcMar>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令和</w:t>
            </w:r>
          </w:p>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２年度</w:t>
            </w:r>
          </w:p>
        </w:tc>
        <w:tc>
          <w:tcPr>
            <w:tcW w:w="1022" w:type="dxa"/>
            <w:gridSpan w:val="2"/>
            <w:vMerge w:val="restart"/>
            <w:shd w:val="clear" w:color="auto" w:themeFill="background1" w:themeFillTint="FF" w:themeFillShade="D9"/>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令和</w:t>
            </w:r>
          </w:p>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３年度</w:t>
            </w:r>
          </w:p>
        </w:tc>
        <w:tc>
          <w:tcPr>
            <w:tcW w:w="1022" w:type="dxa"/>
            <w:vMerge w:val="restart"/>
            <w:tcBorders>
              <w:top w:val="none" w:color="auto" w:sz="0" w:space="0"/>
              <w:left w:val="none" w:color="auto" w:sz="0" w:space="0"/>
              <w:bottom w:val="none" w:color="auto" w:sz="0" w:space="0"/>
              <w:right w:val="nil"/>
              <w:tl2br w:val="none" w:color="auto" w:sz="0" w:space="0"/>
              <w:tr2bl w:val="none" w:color="auto" w:sz="0" w:space="0"/>
            </w:tcBorders>
            <w:shd w:val="clear" w:color="auto" w:themeFill="background1" w:themeFillTint="FF" w:themeFillShade="D9"/>
            <w:tcMar>
              <w:top w:w="28" w:type="dxa"/>
              <w:bottom w:w="28" w:type="dxa"/>
            </w:tcMar>
            <w:vAlign w:val="center"/>
          </w:tcPr>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令和</w:t>
            </w:r>
          </w:p>
          <w:p>
            <w:pPr>
              <w:pStyle w:val="0"/>
              <w:widowControl w:val="1"/>
              <w:snapToGrid w:val="0"/>
              <w:spacing w:line="0" w:lineRule="atLeast"/>
              <w:ind w:left="-67" w:leftChars="-30" w:right="-67" w:rightChars="-3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４年度</w:t>
            </w:r>
          </w:p>
        </w:tc>
        <w:tc>
          <w:tcPr>
            <w:tcW w:w="1022" w:type="dxa"/>
            <w:tcBorders>
              <w:top w:val="none" w:color="auto" w:sz="0" w:space="0"/>
              <w:left w:val="nil"/>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r>
      <w:tr>
        <w:trPr>
          <w:trHeight w:val="260" w:hRule="atLeast"/>
        </w:trPr>
        <w:tc>
          <w:tcPr>
            <w:tcW w:w="2748" w:type="dxa"/>
            <w:gridSpan w:val="2"/>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bottom w:w="28" w:type="dxa"/>
            </w:tcMar>
            <w:vAlign w:val="center"/>
          </w:tcPr>
          <w:p>
            <w:pPr>
              <w:pStyle w:val="44"/>
              <w:spacing w:before="37" w:beforeLines="0" w:beforeAutospacing="0" w:after="37" w:afterLines="0" w:afterAutospacing="0"/>
              <w:rPr>
                <w:rFonts w:hint="default" w:ascii="ＭＳ ゴシック" w:hAnsi="ＭＳ ゴシック" w:eastAsia="ＭＳ ゴシック"/>
                <w:w w:val="100"/>
                <w:sz w:val="20"/>
              </w:rPr>
            </w:pPr>
          </w:p>
        </w:tc>
        <w:tc>
          <w:tcPr>
            <w:tcW w:w="1021" w:type="dxa"/>
            <w:gridSpan w:val="2"/>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bottom w:w="28" w:type="dxa"/>
            </w:tcMar>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1022"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1022"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bottom w:w="28" w:type="dxa"/>
            </w:tcMar>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1022" w:type="dxa"/>
            <w:gridSpan w:val="2"/>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1022" w:type="dxa"/>
            <w:vMerge w:val="continue"/>
            <w:tcBorders>
              <w:top w:val="none" w:color="auto" w:sz="0" w:space="0"/>
              <w:left w:val="none" w:color="auto" w:sz="0" w:space="0"/>
              <w:bottom w:val="single" w:color="auto" w:sz="4" w:space="0"/>
              <w:right w:val="single" w:color="auto" w:sz="4" w:space="0"/>
              <w:tl2br w:val="none" w:color="auto" w:sz="0" w:space="0"/>
              <w:tr2bl w:val="none" w:color="auto" w:sz="0" w:space="0"/>
            </w:tcBorders>
            <w:shd w:val="clear" w:color="auto" w:themeFill="background1" w:themeFillTint="FF" w:themeFillShade="D9"/>
            <w:tcMar>
              <w:top w:w="28" w:type="dxa"/>
              <w:bottom w:w="28" w:type="dxa"/>
            </w:tcMar>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102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r>
              <w:rPr>
                <w:rFonts w:hint="default" w:ascii="ＭＳ ゴシック" w:hAnsi="ＭＳ ゴシック" w:eastAsia="ＭＳ ゴシック"/>
                <w:kern w:val="0"/>
                <w:sz w:val="20"/>
              </w:rPr>
              <w:t>構成比</w:t>
            </w:r>
          </w:p>
        </w:tc>
      </w:tr>
      <w:tr>
        <w:trPr/>
        <w:tc>
          <w:tcPr>
            <w:tcW w:w="720"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身体</w:t>
            </w:r>
          </w:p>
        </w:tc>
        <w:tc>
          <w:tcPr>
            <w:tcW w:w="2028"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18</w:t>
            </w:r>
            <w:r>
              <w:rPr>
                <w:rFonts w:hint="eastAsia" w:ascii="ＭＳ ゴシック" w:hAnsi="ＭＳ ゴシック" w:eastAsia="ＭＳ ゴシック"/>
                <w:w w:val="100"/>
                <w:sz w:val="20"/>
              </w:rPr>
              <w:t>歳未満</w:t>
            </w:r>
          </w:p>
        </w:tc>
        <w:tc>
          <w:tcPr>
            <w:tcW w:w="1021"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50</w:t>
            </w:r>
          </w:p>
        </w:tc>
        <w:tc>
          <w:tcPr>
            <w:tcW w:w="1022"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51</w:t>
            </w:r>
          </w:p>
        </w:tc>
        <w:tc>
          <w:tcPr>
            <w:tcW w:w="1022"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45</w:t>
            </w:r>
          </w:p>
        </w:tc>
        <w:tc>
          <w:tcPr>
            <w:tcW w:w="1022"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49</w:t>
            </w:r>
          </w:p>
        </w:tc>
        <w:tc>
          <w:tcPr>
            <w:tcW w:w="1022"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50</w:t>
            </w:r>
          </w:p>
        </w:tc>
        <w:tc>
          <w:tcPr>
            <w:tcW w:w="1022"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3.3</w:t>
            </w:r>
          </w:p>
        </w:tc>
      </w:tr>
      <w:tr>
        <w:trPr/>
        <w:tc>
          <w:tcPr>
            <w:tcW w:w="720" w:type="dxa"/>
            <w:vMerge w:val="continue"/>
            <w:shd w:val="clear" w:color="auto" w:fill="auto"/>
            <w:tcMar>
              <w:top w:w="28" w:type="dxa"/>
              <w:bottom w:w="28" w:type="dxa"/>
            </w:tcMar>
            <w:vAlign w:val="center"/>
          </w:tcPr>
          <w:p>
            <w:pPr>
              <w:pStyle w:val="44"/>
              <w:spacing w:before="0" w:beforeLines="0" w:beforeAutospacing="0" w:after="0" w:afterLines="0" w:afterAutospacing="0"/>
              <w:rPr>
                <w:rFonts w:hint="default" w:ascii="ＭＳ ゴシック" w:hAnsi="ＭＳ ゴシック" w:eastAsia="ＭＳ ゴシック"/>
                <w:w w:val="100"/>
                <w:sz w:val="20"/>
              </w:rPr>
            </w:pPr>
          </w:p>
        </w:tc>
        <w:tc>
          <w:tcPr>
            <w:tcW w:w="202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18</w:t>
            </w:r>
            <w:r>
              <w:rPr>
                <w:rFonts w:hint="eastAsia" w:ascii="ＭＳ ゴシック" w:hAnsi="ＭＳ ゴシック" w:eastAsia="ＭＳ ゴシック"/>
                <w:w w:val="100"/>
                <w:sz w:val="20"/>
              </w:rPr>
              <w:t>歳以上</w:t>
            </w:r>
            <w:r>
              <w:rPr>
                <w:rFonts w:hint="eastAsia" w:ascii="ＭＳ ゴシック" w:hAnsi="ＭＳ ゴシック" w:eastAsia="ＭＳ ゴシック"/>
                <w:w w:val="100"/>
                <w:sz w:val="20"/>
              </w:rPr>
              <w:t>65</w:t>
            </w:r>
            <w:r>
              <w:rPr>
                <w:rFonts w:hint="eastAsia" w:ascii="ＭＳ ゴシック" w:hAnsi="ＭＳ ゴシック" w:eastAsia="ＭＳ ゴシック"/>
                <w:w w:val="100"/>
                <w:sz w:val="20"/>
              </w:rPr>
              <w:t>歳未満</w:t>
            </w:r>
          </w:p>
        </w:tc>
        <w:tc>
          <w:tcPr>
            <w:tcW w:w="102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482</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474</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471</w:t>
            </w:r>
          </w:p>
        </w:tc>
        <w:tc>
          <w:tcPr>
            <w:tcW w:w="1022"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470</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457</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30.2</w:t>
            </w:r>
          </w:p>
        </w:tc>
      </w:tr>
      <w:tr>
        <w:trPr/>
        <w:tc>
          <w:tcPr>
            <w:tcW w:w="720" w:type="dxa"/>
            <w:vMerge w:val="continue"/>
            <w:shd w:val="clear" w:color="auto" w:fill="auto"/>
            <w:tcMar>
              <w:top w:w="28" w:type="dxa"/>
              <w:bottom w:w="28" w:type="dxa"/>
            </w:tcMar>
            <w:vAlign w:val="center"/>
          </w:tcPr>
          <w:p>
            <w:pPr>
              <w:pStyle w:val="44"/>
              <w:spacing w:before="0" w:beforeLines="0" w:beforeAutospacing="0" w:after="0" w:afterLines="0" w:afterAutospacing="0"/>
              <w:rPr>
                <w:rFonts w:hint="default" w:ascii="ＭＳ ゴシック" w:hAnsi="ＭＳ ゴシック" w:eastAsia="ＭＳ ゴシック"/>
                <w:w w:val="100"/>
                <w:sz w:val="20"/>
              </w:rPr>
            </w:pPr>
          </w:p>
        </w:tc>
        <w:tc>
          <w:tcPr>
            <w:tcW w:w="2028"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65</w:t>
            </w:r>
            <w:r>
              <w:rPr>
                <w:rFonts w:hint="eastAsia" w:ascii="ＭＳ ゴシック" w:hAnsi="ＭＳ ゴシック" w:eastAsia="ＭＳ ゴシック"/>
                <w:w w:val="100"/>
                <w:sz w:val="20"/>
              </w:rPr>
              <w:t>歳以上</w:t>
            </w:r>
          </w:p>
        </w:tc>
        <w:tc>
          <w:tcPr>
            <w:tcW w:w="1021" w:type="dxa"/>
            <w:gridSpan w:val="2"/>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859</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912</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932</w:t>
            </w:r>
          </w:p>
        </w:tc>
        <w:tc>
          <w:tcPr>
            <w:tcW w:w="1022" w:type="dxa"/>
            <w:gridSpan w:val="2"/>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963</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1,006</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66.5</w:t>
            </w:r>
          </w:p>
        </w:tc>
      </w:tr>
      <w:tr>
        <w:trPr/>
        <w:tc>
          <w:tcPr>
            <w:tcW w:w="720"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rPr>
                <w:rFonts w:hint="default" w:ascii="ＭＳ ゴシック" w:hAnsi="ＭＳ ゴシック" w:eastAsia="ＭＳ ゴシック"/>
                <w:w w:val="100"/>
                <w:sz w:val="20"/>
              </w:rPr>
            </w:pPr>
          </w:p>
        </w:tc>
        <w:tc>
          <w:tcPr>
            <w:tcW w:w="2028" w:type="dxa"/>
            <w:tcBorders>
              <w:top w:val="single" w:color="auto" w:sz="4"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1021" w:type="dxa"/>
            <w:gridSpan w:val="2"/>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1,391</w:t>
            </w:r>
          </w:p>
        </w:tc>
        <w:tc>
          <w:tcPr>
            <w:tcW w:w="1022" w:type="dxa"/>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1,437</w:t>
            </w:r>
          </w:p>
        </w:tc>
        <w:tc>
          <w:tcPr>
            <w:tcW w:w="1022" w:type="dxa"/>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1,448</w:t>
            </w:r>
          </w:p>
        </w:tc>
        <w:tc>
          <w:tcPr>
            <w:tcW w:w="1022" w:type="dxa"/>
            <w:gridSpan w:val="2"/>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1,482</w:t>
            </w:r>
          </w:p>
        </w:tc>
        <w:tc>
          <w:tcPr>
            <w:tcW w:w="1022" w:type="dxa"/>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1,513</w:t>
            </w:r>
          </w:p>
        </w:tc>
        <w:tc>
          <w:tcPr>
            <w:tcW w:w="1022" w:type="dxa"/>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100.0</w:t>
            </w:r>
          </w:p>
        </w:tc>
      </w:tr>
      <w:tr>
        <w:trPr/>
        <w:tc>
          <w:tcPr>
            <w:tcW w:w="720"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知的</w:t>
            </w:r>
          </w:p>
        </w:tc>
        <w:tc>
          <w:tcPr>
            <w:tcW w:w="2028" w:type="dxa"/>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18</w:t>
            </w:r>
            <w:r>
              <w:rPr>
                <w:rFonts w:hint="eastAsia" w:ascii="ＭＳ ゴシック" w:hAnsi="ＭＳ ゴシック" w:eastAsia="ＭＳ ゴシック"/>
                <w:w w:val="100"/>
                <w:sz w:val="20"/>
              </w:rPr>
              <w:t>歳未満</w:t>
            </w:r>
          </w:p>
        </w:tc>
        <w:tc>
          <w:tcPr>
            <w:tcW w:w="1021" w:type="dxa"/>
            <w:gridSpan w:val="2"/>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123</w:t>
            </w:r>
          </w:p>
        </w:tc>
        <w:tc>
          <w:tcPr>
            <w:tcW w:w="1022" w:type="dxa"/>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125</w:t>
            </w:r>
          </w:p>
        </w:tc>
        <w:tc>
          <w:tcPr>
            <w:tcW w:w="1022" w:type="dxa"/>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143</w:t>
            </w:r>
          </w:p>
        </w:tc>
        <w:tc>
          <w:tcPr>
            <w:tcW w:w="1022" w:type="dxa"/>
            <w:gridSpan w:val="2"/>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153</w:t>
            </w:r>
          </w:p>
        </w:tc>
        <w:tc>
          <w:tcPr>
            <w:tcW w:w="1022" w:type="dxa"/>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160</w:t>
            </w:r>
          </w:p>
        </w:tc>
        <w:tc>
          <w:tcPr>
            <w:tcW w:w="1022" w:type="dxa"/>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30.7</w:t>
            </w:r>
          </w:p>
        </w:tc>
      </w:tr>
      <w:tr>
        <w:trPr/>
        <w:tc>
          <w:tcPr>
            <w:tcW w:w="720" w:type="dxa"/>
            <w:vMerge w:val="continue"/>
            <w:shd w:val="clear" w:color="auto" w:fill="auto"/>
            <w:tcMar>
              <w:top w:w="28" w:type="dxa"/>
              <w:bottom w:w="28" w:type="dxa"/>
            </w:tcMar>
            <w:vAlign w:val="center"/>
          </w:tcPr>
          <w:p>
            <w:pPr>
              <w:pStyle w:val="44"/>
              <w:spacing w:before="0" w:beforeLines="0" w:beforeAutospacing="0" w:after="0" w:afterLines="0" w:afterAutospacing="0"/>
              <w:rPr>
                <w:rFonts w:hint="default" w:ascii="ＭＳ ゴシック" w:hAnsi="ＭＳ ゴシック" w:eastAsia="ＭＳ ゴシック"/>
                <w:w w:val="100"/>
                <w:sz w:val="20"/>
              </w:rPr>
            </w:pPr>
          </w:p>
        </w:tc>
        <w:tc>
          <w:tcPr>
            <w:tcW w:w="202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18</w:t>
            </w:r>
            <w:r>
              <w:rPr>
                <w:rFonts w:hint="eastAsia" w:ascii="ＭＳ ゴシック" w:hAnsi="ＭＳ ゴシック" w:eastAsia="ＭＳ ゴシック"/>
                <w:w w:val="100"/>
                <w:sz w:val="20"/>
              </w:rPr>
              <w:t>歳以上</w:t>
            </w:r>
            <w:r>
              <w:rPr>
                <w:rFonts w:hint="eastAsia" w:ascii="ＭＳ ゴシック" w:hAnsi="ＭＳ ゴシック" w:eastAsia="ＭＳ ゴシック"/>
                <w:w w:val="100"/>
                <w:sz w:val="20"/>
              </w:rPr>
              <w:t>65</w:t>
            </w:r>
            <w:r>
              <w:rPr>
                <w:rFonts w:hint="eastAsia" w:ascii="ＭＳ ゴシック" w:hAnsi="ＭＳ ゴシック" w:eastAsia="ＭＳ ゴシック"/>
                <w:w w:val="100"/>
                <w:sz w:val="20"/>
              </w:rPr>
              <w:t>歳未満</w:t>
            </w:r>
          </w:p>
        </w:tc>
        <w:tc>
          <w:tcPr>
            <w:tcW w:w="102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302</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324</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300</w:t>
            </w:r>
          </w:p>
        </w:tc>
        <w:tc>
          <w:tcPr>
            <w:tcW w:w="1022"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312</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324</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62.2</w:t>
            </w:r>
          </w:p>
        </w:tc>
      </w:tr>
      <w:tr>
        <w:trPr/>
        <w:tc>
          <w:tcPr>
            <w:tcW w:w="720" w:type="dxa"/>
            <w:vMerge w:val="continue"/>
            <w:shd w:val="clear" w:color="auto" w:fill="auto"/>
            <w:tcMar>
              <w:top w:w="28" w:type="dxa"/>
              <w:bottom w:w="28" w:type="dxa"/>
            </w:tcMar>
            <w:vAlign w:val="center"/>
          </w:tcPr>
          <w:p>
            <w:pPr>
              <w:pStyle w:val="44"/>
              <w:spacing w:before="0" w:beforeLines="0" w:beforeAutospacing="0" w:after="0" w:afterLines="0" w:afterAutospacing="0"/>
              <w:rPr>
                <w:rFonts w:hint="default" w:ascii="ＭＳ ゴシック" w:hAnsi="ＭＳ ゴシック" w:eastAsia="ＭＳ ゴシック"/>
                <w:w w:val="100"/>
                <w:sz w:val="20"/>
              </w:rPr>
            </w:pPr>
          </w:p>
        </w:tc>
        <w:tc>
          <w:tcPr>
            <w:tcW w:w="2028"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65</w:t>
            </w:r>
            <w:r>
              <w:rPr>
                <w:rFonts w:hint="eastAsia" w:ascii="ＭＳ ゴシック" w:hAnsi="ＭＳ ゴシック" w:eastAsia="ＭＳ ゴシック"/>
                <w:w w:val="100"/>
                <w:sz w:val="20"/>
              </w:rPr>
              <w:t>歳以上</w:t>
            </w:r>
          </w:p>
        </w:tc>
        <w:tc>
          <w:tcPr>
            <w:tcW w:w="1021" w:type="dxa"/>
            <w:gridSpan w:val="2"/>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c>
          <w:tcPr>
            <w:tcW w:w="1022" w:type="dxa"/>
            <w:gridSpan w:val="2"/>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31</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37</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7.1</w:t>
            </w:r>
          </w:p>
        </w:tc>
      </w:tr>
      <w:tr>
        <w:trPr/>
        <w:tc>
          <w:tcPr>
            <w:tcW w:w="720"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rPr>
                <w:rFonts w:hint="default" w:ascii="ＭＳ ゴシック" w:hAnsi="ＭＳ ゴシック" w:eastAsia="ＭＳ ゴシック"/>
                <w:w w:val="100"/>
                <w:sz w:val="20"/>
              </w:rPr>
            </w:pPr>
          </w:p>
        </w:tc>
        <w:tc>
          <w:tcPr>
            <w:tcW w:w="2028" w:type="dxa"/>
            <w:tcBorders>
              <w:top w:val="single" w:color="auto" w:sz="4"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1021" w:type="dxa"/>
            <w:gridSpan w:val="2"/>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443</w:t>
            </w:r>
          </w:p>
        </w:tc>
        <w:tc>
          <w:tcPr>
            <w:tcW w:w="1022" w:type="dxa"/>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469</w:t>
            </w:r>
          </w:p>
        </w:tc>
        <w:tc>
          <w:tcPr>
            <w:tcW w:w="1022" w:type="dxa"/>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472</w:t>
            </w:r>
          </w:p>
        </w:tc>
        <w:tc>
          <w:tcPr>
            <w:tcW w:w="1022" w:type="dxa"/>
            <w:gridSpan w:val="2"/>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496</w:t>
            </w:r>
          </w:p>
        </w:tc>
        <w:tc>
          <w:tcPr>
            <w:tcW w:w="1022" w:type="dxa"/>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521</w:t>
            </w:r>
          </w:p>
        </w:tc>
        <w:tc>
          <w:tcPr>
            <w:tcW w:w="1022" w:type="dxa"/>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100.0</w:t>
            </w:r>
          </w:p>
        </w:tc>
      </w:tr>
      <w:tr>
        <w:trPr/>
        <w:tc>
          <w:tcPr>
            <w:tcW w:w="720"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精神</w:t>
            </w:r>
          </w:p>
        </w:tc>
        <w:tc>
          <w:tcPr>
            <w:tcW w:w="2028" w:type="dxa"/>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18</w:t>
            </w:r>
            <w:r>
              <w:rPr>
                <w:rFonts w:hint="eastAsia" w:ascii="ＭＳ ゴシック" w:hAnsi="ＭＳ ゴシック" w:eastAsia="ＭＳ ゴシック"/>
                <w:w w:val="100"/>
                <w:sz w:val="20"/>
              </w:rPr>
              <w:t>歳未満</w:t>
            </w:r>
          </w:p>
        </w:tc>
        <w:tc>
          <w:tcPr>
            <w:tcW w:w="1021" w:type="dxa"/>
            <w:gridSpan w:val="2"/>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c>
          <w:tcPr>
            <w:tcW w:w="1022" w:type="dxa"/>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25</w:t>
            </w:r>
          </w:p>
        </w:tc>
        <w:tc>
          <w:tcPr>
            <w:tcW w:w="1022" w:type="dxa"/>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1022" w:type="dxa"/>
            <w:gridSpan w:val="2"/>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27</w:t>
            </w:r>
          </w:p>
        </w:tc>
        <w:tc>
          <w:tcPr>
            <w:tcW w:w="1022" w:type="dxa"/>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37</w:t>
            </w:r>
          </w:p>
        </w:tc>
        <w:tc>
          <w:tcPr>
            <w:tcW w:w="1022" w:type="dxa"/>
            <w:tcBorders>
              <w:top w:val="single" w:color="auto" w:sz="12"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6.3</w:t>
            </w:r>
          </w:p>
        </w:tc>
      </w:tr>
      <w:tr>
        <w:trPr/>
        <w:tc>
          <w:tcPr>
            <w:tcW w:w="720" w:type="dxa"/>
            <w:vMerge w:val="continue"/>
            <w:shd w:val="clear" w:color="auto" w:fill="auto"/>
            <w:tcMar>
              <w:top w:w="28" w:type="dxa"/>
              <w:bottom w:w="28" w:type="dxa"/>
            </w:tcMar>
            <w:vAlign w:val="center"/>
          </w:tcPr>
          <w:p>
            <w:pPr>
              <w:pStyle w:val="44"/>
              <w:spacing w:before="0" w:beforeLines="0" w:beforeAutospacing="0" w:after="0" w:afterLines="0" w:afterAutospacing="0"/>
              <w:rPr>
                <w:rFonts w:hint="default" w:ascii="ＭＳ ゴシック" w:hAnsi="ＭＳ ゴシック" w:eastAsia="ＭＳ ゴシック"/>
                <w:w w:val="100"/>
                <w:sz w:val="20"/>
              </w:rPr>
            </w:pPr>
          </w:p>
        </w:tc>
        <w:tc>
          <w:tcPr>
            <w:tcW w:w="202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18</w:t>
            </w:r>
            <w:r>
              <w:rPr>
                <w:rFonts w:hint="eastAsia" w:ascii="ＭＳ ゴシック" w:hAnsi="ＭＳ ゴシック" w:eastAsia="ＭＳ ゴシック"/>
                <w:w w:val="100"/>
                <w:sz w:val="20"/>
              </w:rPr>
              <w:t>歳以上</w:t>
            </w:r>
            <w:r>
              <w:rPr>
                <w:rFonts w:hint="eastAsia" w:ascii="ＭＳ ゴシック" w:hAnsi="ＭＳ ゴシック" w:eastAsia="ＭＳ ゴシック"/>
                <w:w w:val="100"/>
                <w:sz w:val="20"/>
              </w:rPr>
              <w:t>65</w:t>
            </w:r>
            <w:r>
              <w:rPr>
                <w:rFonts w:hint="eastAsia" w:ascii="ＭＳ ゴシック" w:hAnsi="ＭＳ ゴシック" w:eastAsia="ＭＳ ゴシック"/>
                <w:w w:val="100"/>
                <w:sz w:val="20"/>
              </w:rPr>
              <w:t>歳未満</w:t>
            </w:r>
          </w:p>
        </w:tc>
        <w:tc>
          <w:tcPr>
            <w:tcW w:w="102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313</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326</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332</w:t>
            </w:r>
          </w:p>
        </w:tc>
        <w:tc>
          <w:tcPr>
            <w:tcW w:w="1022"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373</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375</w:t>
            </w:r>
          </w:p>
        </w:tc>
        <w:tc>
          <w:tcPr>
            <w:tcW w:w="1022"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63.3</w:t>
            </w:r>
          </w:p>
        </w:tc>
      </w:tr>
      <w:tr>
        <w:trPr/>
        <w:tc>
          <w:tcPr>
            <w:tcW w:w="720" w:type="dxa"/>
            <w:vMerge w:val="continue"/>
            <w:shd w:val="clear" w:color="auto" w:fill="auto"/>
            <w:tcMar>
              <w:top w:w="28" w:type="dxa"/>
              <w:bottom w:w="28" w:type="dxa"/>
            </w:tcMar>
            <w:vAlign w:val="center"/>
          </w:tcPr>
          <w:p>
            <w:pPr>
              <w:pStyle w:val="44"/>
              <w:spacing w:before="0" w:beforeLines="0" w:beforeAutospacing="0" w:after="0" w:afterLines="0" w:afterAutospacing="0"/>
              <w:rPr>
                <w:rFonts w:hint="default" w:ascii="ＭＳ ゴシック" w:hAnsi="ＭＳ ゴシック" w:eastAsia="ＭＳ ゴシック"/>
                <w:w w:val="100"/>
                <w:sz w:val="20"/>
              </w:rPr>
            </w:pPr>
          </w:p>
        </w:tc>
        <w:tc>
          <w:tcPr>
            <w:tcW w:w="2028"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65</w:t>
            </w:r>
            <w:r>
              <w:rPr>
                <w:rFonts w:hint="eastAsia" w:ascii="ＭＳ ゴシック" w:hAnsi="ＭＳ ゴシック" w:eastAsia="ＭＳ ゴシック"/>
                <w:w w:val="100"/>
                <w:sz w:val="20"/>
              </w:rPr>
              <w:t>歳以上</w:t>
            </w:r>
          </w:p>
        </w:tc>
        <w:tc>
          <w:tcPr>
            <w:tcW w:w="1021" w:type="dxa"/>
            <w:gridSpan w:val="2"/>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150</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140</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170</w:t>
            </w:r>
          </w:p>
        </w:tc>
        <w:tc>
          <w:tcPr>
            <w:tcW w:w="1022" w:type="dxa"/>
            <w:gridSpan w:val="2"/>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168</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180</w:t>
            </w:r>
          </w:p>
        </w:tc>
        <w:tc>
          <w:tcPr>
            <w:tcW w:w="1022" w:type="dxa"/>
            <w:tcBorders>
              <w:top w:val="sing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30.4</w:t>
            </w:r>
          </w:p>
        </w:tc>
      </w:tr>
      <w:tr>
        <w:trPr/>
        <w:tc>
          <w:tcPr>
            <w:tcW w:w="720"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rPr>
                <w:rFonts w:hint="default" w:ascii="ＭＳ ゴシック" w:hAnsi="ＭＳ ゴシック" w:eastAsia="ＭＳ ゴシック"/>
                <w:w w:val="100"/>
                <w:sz w:val="20"/>
              </w:rPr>
            </w:pPr>
          </w:p>
        </w:tc>
        <w:tc>
          <w:tcPr>
            <w:tcW w:w="2028" w:type="dxa"/>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1021" w:type="dxa"/>
            <w:gridSpan w:val="2"/>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483</w:t>
            </w:r>
          </w:p>
        </w:tc>
        <w:tc>
          <w:tcPr>
            <w:tcW w:w="1022" w:type="dxa"/>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491</w:t>
            </w:r>
          </w:p>
        </w:tc>
        <w:tc>
          <w:tcPr>
            <w:tcW w:w="1022" w:type="dxa"/>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523</w:t>
            </w:r>
          </w:p>
        </w:tc>
        <w:tc>
          <w:tcPr>
            <w:tcW w:w="1022" w:type="dxa"/>
            <w:gridSpan w:val="2"/>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568</w:t>
            </w:r>
          </w:p>
        </w:tc>
        <w:tc>
          <w:tcPr>
            <w:tcW w:w="1022" w:type="dxa"/>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bottom w:w="28"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592</w:t>
            </w:r>
          </w:p>
        </w:tc>
        <w:tc>
          <w:tcPr>
            <w:tcW w:w="1022" w:type="dxa"/>
            <w:tcBorders>
              <w:top w:val="doub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100.0</w:t>
            </w:r>
          </w:p>
        </w:tc>
      </w:tr>
    </w:tbl>
    <w:p>
      <w:pPr>
        <w:pStyle w:val="68"/>
        <w:spacing w:before="37" w:beforeLines="0" w:beforeAutospacing="0" w:after="0" w:afterLines="0" w:afterAutospacing="0"/>
        <w:ind w:left="1172"/>
        <w:rPr>
          <w:rFonts w:hint="default"/>
        </w:rPr>
      </w:pPr>
      <w:r>
        <w:rPr>
          <w:rFonts w:hint="eastAsia"/>
        </w:rPr>
        <w:t>資料：保健福祉課（各年度末現在）</w:t>
      </w:r>
    </w:p>
    <w:p>
      <w:pPr>
        <w:pStyle w:val="67"/>
        <w:ind w:left="448" w:firstLine="214" w:firstLineChars="100"/>
        <w:rPr>
          <w:rFonts w:hint="default"/>
        </w:rPr>
      </w:pPr>
    </w:p>
    <w:p>
      <w:pPr>
        <w:pStyle w:val="0"/>
        <w:widowControl w:val="1"/>
        <w:jc w:val="left"/>
        <w:rPr>
          <w:rFonts w:hint="default" w:ascii="ＭＳ ゴシック" w:hAnsi="ＭＳ ゴシック" w:eastAsia="ＭＳ ゴシック"/>
        </w:rPr>
      </w:pPr>
      <w:r>
        <w:rPr>
          <w:rFonts w:hint="default"/>
        </w:rPr>
        <w:br w:type="page"/>
      </w:r>
    </w:p>
    <w:p>
      <w:pPr>
        <w:pStyle w:val="66"/>
        <w:spacing w:after="74" w:afterLines="0" w:afterAutospacing="0"/>
        <w:ind w:left="112"/>
        <w:outlineLvl w:val="3"/>
        <w:rPr>
          <w:rFonts w:hint="default"/>
          <w:color w:val="auto"/>
          <w:sz w:val="22"/>
        </w:rPr>
      </w:pPr>
      <w:r>
        <w:rPr>
          <w:rFonts w:hint="eastAsia"/>
          <w:color w:val="auto"/>
          <w:sz w:val="22"/>
        </w:rPr>
        <w:t>（３）</w:t>
      </w:r>
      <w:r>
        <w:rPr>
          <w:rFonts w:hint="eastAsia"/>
          <w:color w:val="auto"/>
          <w:sz w:val="22"/>
          <w:u w:val="single" w:color="auto"/>
        </w:rPr>
        <w:t>身体障がいの内訳</w:t>
      </w:r>
    </w:p>
    <w:p>
      <w:pPr>
        <w:pStyle w:val="67"/>
        <w:ind w:left="448" w:firstLine="210" w:firstLineChars="100"/>
        <w:rPr>
          <w:rFonts w:hint="default"/>
          <w:spacing w:val="-2"/>
        </w:rPr>
      </w:pPr>
      <w:r>
        <w:rPr>
          <w:rFonts w:hint="default"/>
          <w:spacing w:val="-2"/>
        </w:rPr>
        <w:t>身体障がいの内訳</w:t>
      </w:r>
      <w:r>
        <w:rPr>
          <w:rFonts w:hint="eastAsia"/>
          <w:spacing w:val="-2"/>
        </w:rPr>
        <w:t>をみると</w:t>
      </w:r>
      <w:r>
        <w:rPr>
          <w:rFonts w:hint="default"/>
          <w:spacing w:val="-2"/>
        </w:rPr>
        <w:t>、「肢体不自由」と「内部疾患」が多く、「肢体不自由」</w:t>
      </w:r>
      <w:r>
        <w:rPr>
          <w:rFonts w:hint="eastAsia"/>
          <w:spacing w:val="-2"/>
        </w:rPr>
        <w:t>は令和２年度に減少しましたが、</w:t>
      </w:r>
      <w:r>
        <w:rPr>
          <w:rFonts w:hint="default"/>
          <w:spacing w:val="-2"/>
        </w:rPr>
        <w:t>いずれも</w:t>
      </w:r>
      <w:r>
        <w:rPr>
          <w:rFonts w:hint="eastAsia"/>
          <w:spacing w:val="-2"/>
        </w:rPr>
        <w:t>毎年度</w:t>
      </w:r>
      <w:r>
        <w:rPr>
          <w:rFonts w:hint="default"/>
          <w:spacing w:val="-2"/>
        </w:rPr>
        <w:t>増加</w:t>
      </w:r>
      <w:r>
        <w:rPr>
          <w:rFonts w:hint="eastAsia"/>
          <w:spacing w:val="-2"/>
        </w:rPr>
        <w:t>しており、令和４年度では、「肢体不自由」が</w:t>
      </w:r>
      <w:r>
        <w:rPr>
          <w:rFonts w:hint="default"/>
          <w:spacing w:val="-2"/>
        </w:rPr>
        <w:t>553</w:t>
      </w:r>
      <w:r>
        <w:rPr>
          <w:rFonts w:hint="eastAsia"/>
          <w:spacing w:val="-2"/>
        </w:rPr>
        <w:t>人、「内部疾患」が</w:t>
      </w:r>
      <w:r>
        <w:rPr>
          <w:rFonts w:hint="default"/>
          <w:spacing w:val="-2"/>
        </w:rPr>
        <w:t>656</w:t>
      </w:r>
      <w:r>
        <w:rPr>
          <w:rFonts w:hint="eastAsia"/>
          <w:spacing w:val="-2"/>
        </w:rPr>
        <w:t>人で、この２つの障がいで全体の</w:t>
      </w:r>
      <w:r>
        <w:rPr>
          <w:rFonts w:hint="eastAsia"/>
          <w:spacing w:val="-2"/>
        </w:rPr>
        <w:t>79.9</w:t>
      </w:r>
      <w:r>
        <w:rPr>
          <w:rFonts w:hint="eastAsia"/>
          <w:spacing w:val="-2"/>
        </w:rPr>
        <w:t>％を占めます。</w:t>
      </w:r>
    </w:p>
    <w:p>
      <w:pPr>
        <w:pStyle w:val="67"/>
        <w:ind w:left="448" w:firstLine="210" w:firstLineChars="100"/>
        <w:rPr>
          <w:rFonts w:hint="default"/>
          <w:spacing w:val="-2"/>
        </w:rPr>
      </w:pPr>
      <w:r>
        <w:rPr>
          <w:rFonts w:hint="default"/>
          <w:spacing w:val="-2"/>
        </w:rPr>
        <w:t>「視覚障害」</w:t>
      </w:r>
      <w:r>
        <w:rPr>
          <w:rFonts w:hint="eastAsia"/>
          <w:spacing w:val="-2"/>
        </w:rPr>
        <w:t>のみ増加傾向にあり、そのほかの障害では横ばいか減少傾向にあります。</w:t>
      </w:r>
    </w:p>
    <w:p>
      <w:pPr>
        <w:pStyle w:val="67"/>
        <w:spacing w:line="0" w:lineRule="atLeast"/>
        <w:ind w:left="448" w:firstLine="164" w:firstLineChars="100"/>
        <w:rPr>
          <w:rFonts w:hint="default"/>
          <w:sz w:val="16"/>
        </w:rPr>
      </w:pPr>
    </w:p>
    <w:tbl>
      <w:tblPr>
        <w:tblStyle w:val="11"/>
        <w:tblW w:w="9043" w:type="dxa"/>
        <w:tblInd w:w="567" w:type="dxa"/>
        <w:tblLayout w:type="fixed"/>
        <w:tblCellMar>
          <w:top w:w="28" w:type="dxa"/>
          <w:bottom w:w="28" w:type="dxa"/>
        </w:tblCellMar>
        <w:tblLook w:firstRow="0" w:lastRow="0" w:firstColumn="0" w:lastColumn="0" w:noHBand="0" w:noVBand="0" w:val="0000"/>
      </w:tblPr>
      <w:tblGrid>
        <w:gridCol w:w="2268"/>
        <w:gridCol w:w="921"/>
        <w:gridCol w:w="457"/>
        <w:gridCol w:w="465"/>
        <w:gridCol w:w="756"/>
        <w:gridCol w:w="756"/>
        <w:gridCol w:w="756"/>
        <w:gridCol w:w="383"/>
        <w:gridCol w:w="326"/>
        <w:gridCol w:w="977"/>
        <w:gridCol w:w="978"/>
      </w:tblGrid>
      <w:tr>
        <w:trPr/>
        <w:tc>
          <w:tcPr>
            <w:tcW w:w="3646" w:type="dxa"/>
            <w:gridSpan w:val="3"/>
            <w:vAlign w:val="bottom"/>
          </w:tcPr>
          <w:p>
            <w:pPr>
              <w:pStyle w:val="51"/>
              <w:snapToGrid w:val="0"/>
              <w:spacing w:line="0" w:lineRule="atLeast"/>
              <w:ind w:left="-221"/>
              <w:rPr>
                <w:rFonts w:hint="default" w:ascii="ＭＳ ゴシック" w:hAnsi="ＭＳ ゴシック" w:eastAsia="ＭＳ ゴシック"/>
              </w:rPr>
            </w:pPr>
            <w:r>
              <w:rPr>
                <w:rFonts w:hint="default" w:ascii="ＭＳ ゴシック" w:hAnsi="ＭＳ ゴシック" w:eastAsia="ＭＳ ゴシック"/>
                <w:sz w:val="21"/>
              </w:rPr>
              <w:t>【身体障がいの内訳】</w:t>
            </w:r>
          </w:p>
        </w:tc>
        <w:tc>
          <w:tcPr>
            <w:tcW w:w="3116" w:type="dxa"/>
            <w:gridSpan w:val="5"/>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281" w:type="dxa"/>
            <w:gridSpan w:val="3"/>
            <w:tcMar>
              <w:top w:w="0" w:type="dxa"/>
              <w:bottom w:w="0" w:type="dxa"/>
            </w:tcMar>
            <w:vAlign w:val="bottom"/>
          </w:tcPr>
          <w:p>
            <w:pPr>
              <w:pStyle w:val="54"/>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c>
          <w:tcPr>
            <w:tcW w:w="2268"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ＭＳ ゴシック" w:hAnsi="ＭＳ ゴシック" w:eastAsia="ＭＳ ゴシック"/>
                <w:sz w:val="20"/>
              </w:rPr>
            </w:pPr>
          </w:p>
        </w:tc>
        <w:tc>
          <w:tcPr>
            <w:tcW w:w="921" w:type="dxa"/>
            <w:vMerge w:val="restart"/>
            <w:tcBorders>
              <w:top w:val="single" w:color="000000" w:sz="4" w:space="0"/>
              <w:left w:val="single" w:color="000000" w:sz="4" w:space="0"/>
              <w:bottom w:val="none" w:color="auto" w:sz="0" w:space="0"/>
              <w:right w:val="single" w:color="auto" w:sz="4"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default" w:ascii="ＭＳ ゴシック" w:hAnsi="ＭＳ ゴシック" w:eastAsia="ＭＳ ゴシック"/>
                <w:spacing w:val="-6"/>
                <w:w w:val="95"/>
                <w:kern w:val="0"/>
                <w:sz w:val="20"/>
              </w:rPr>
              <w:t>平成</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年度</w:t>
            </w:r>
          </w:p>
        </w:tc>
        <w:tc>
          <w:tcPr>
            <w:tcW w:w="922" w:type="dxa"/>
            <w:gridSpan w:val="2"/>
            <w:vMerge w:val="restart"/>
            <w:tcBorders>
              <w:top w:val="single" w:color="000000" w:sz="4"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元年度</w:t>
            </w:r>
          </w:p>
        </w:tc>
        <w:tc>
          <w:tcPr>
            <w:tcW w:w="756"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２年度</w:t>
            </w:r>
          </w:p>
        </w:tc>
        <w:tc>
          <w:tcPr>
            <w:tcW w:w="756"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３年度</w:t>
            </w:r>
          </w:p>
        </w:tc>
        <w:tc>
          <w:tcPr>
            <w:tcW w:w="756"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４年度</w:t>
            </w:r>
          </w:p>
        </w:tc>
        <w:tc>
          <w:tcPr>
            <w:tcW w:w="709" w:type="dxa"/>
            <w:gridSpan w:val="2"/>
            <w:tcBorders>
              <w:top w:val="single" w:color="000000" w:sz="4" w:space="0"/>
              <w:left w:val="none" w:color="auto" w:sz="0" w:space="0"/>
              <w:bottom w:val="single" w:color="000000" w:sz="4" w:space="0"/>
              <w:right w:val="single" w:color="000000" w:sz="12"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77" w:type="dxa"/>
            <w:vMerge w:val="restart"/>
            <w:tcBorders>
              <w:top w:val="single" w:color="000000" w:sz="4" w:space="0"/>
              <w:left w:val="single" w:color="000000" w:sz="12"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Ｈ</w:t>
            </w: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Ｒ４</w:t>
            </w:r>
          </w:p>
          <w:p>
            <w:pPr>
              <w:pStyle w:val="0"/>
              <w:widowControl w:val="1"/>
              <w:snapToGrid w:val="0"/>
              <w:spacing w:line="0" w:lineRule="atLeast"/>
              <w:ind w:left="-45" w:leftChars="-20" w:right="-45" w:rightChars="-20"/>
              <w:jc w:val="center"/>
              <w:rPr>
                <w:rFonts w:hint="default" w:ascii="ＭＳ ゴシック" w:hAnsi="ＭＳ ゴシック" w:eastAsia="ＭＳ ゴシック"/>
                <w:spacing w:val="-4"/>
                <w:w w:val="90"/>
                <w:kern w:val="0"/>
                <w:sz w:val="20"/>
              </w:rPr>
            </w:pPr>
            <w:r>
              <w:rPr>
                <w:rFonts w:hint="eastAsia" w:ascii="ＭＳ ゴシック" w:hAnsi="ＭＳ ゴシック" w:eastAsia="ＭＳ ゴシック"/>
                <w:spacing w:val="-6"/>
                <w:w w:val="95"/>
                <w:kern w:val="0"/>
                <w:sz w:val="20"/>
              </w:rPr>
              <w:t>増減</w:t>
            </w:r>
          </w:p>
        </w:tc>
        <w:tc>
          <w:tcPr>
            <w:tcW w:w="978" w:type="dxa"/>
            <w:vMerge w:val="restart"/>
            <w:tcBorders>
              <w:top w:val="single" w:color="000000" w:sz="4" w:space="0"/>
              <w:left w:val="single" w:color="auto" w:sz="4" w:space="0"/>
              <w:bottom w:val="none" w:color="auto" w:sz="0"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Ｈ</w:t>
            </w: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Ｒ４</w:t>
            </w:r>
          </w:p>
          <w:p>
            <w:pPr>
              <w:pStyle w:val="0"/>
              <w:widowControl w:val="1"/>
              <w:snapToGrid w:val="0"/>
              <w:spacing w:line="0" w:lineRule="atLeast"/>
              <w:ind w:left="-45" w:leftChars="-20" w:right="-45" w:rightChars="-20"/>
              <w:jc w:val="center"/>
              <w:rPr>
                <w:rFonts w:hint="default" w:ascii="ＭＳ ゴシック" w:hAnsi="ＭＳ ゴシック" w:eastAsia="ＭＳ ゴシック"/>
                <w:spacing w:val="-4"/>
                <w:w w:val="90"/>
                <w:kern w:val="0"/>
                <w:sz w:val="20"/>
              </w:rPr>
            </w:pPr>
            <w:r>
              <w:rPr>
                <w:rFonts w:hint="eastAsia" w:ascii="ＭＳ ゴシック" w:hAnsi="ＭＳ ゴシック" w:eastAsia="ＭＳ ゴシック"/>
                <w:spacing w:val="-6"/>
                <w:w w:val="95"/>
                <w:kern w:val="0"/>
                <w:sz w:val="20"/>
              </w:rPr>
              <w:t>伸び率</w:t>
            </w:r>
          </w:p>
        </w:tc>
      </w:tr>
      <w:tr>
        <w:trPr/>
        <w:tc>
          <w:tcPr>
            <w:tcW w:w="2268"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ＭＳ ゴシック" w:hAnsi="ＭＳ ゴシック" w:eastAsia="ＭＳ ゴシック"/>
                <w:sz w:val="20"/>
              </w:rPr>
            </w:pPr>
          </w:p>
        </w:tc>
        <w:tc>
          <w:tcPr>
            <w:tcW w:w="921" w:type="dxa"/>
            <w:vMerge w:val="continue"/>
            <w:tcBorders>
              <w:top w:val="none" w:color="auto" w:sz="0" w:space="0"/>
              <w:left w:val="single" w:color="000000" w:sz="4" w:space="0"/>
              <w:bottom w:val="single" w:color="000000" w:sz="4" w:space="0"/>
              <w:right w:val="single" w:color="auto" w:sz="4"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22" w:type="dxa"/>
            <w:gridSpan w:val="2"/>
            <w:vMerge w:val="continue"/>
            <w:tcBorders>
              <w:top w:val="none" w:color="auto" w:sz="0" w:space="0"/>
              <w:left w:val="single" w:color="auto"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756"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756"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756"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709" w:type="dxa"/>
            <w:gridSpan w:val="2"/>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default" w:ascii="ＭＳ ゴシック" w:hAnsi="ＭＳ ゴシック" w:eastAsia="ＭＳ ゴシック"/>
                <w:spacing w:val="-6"/>
                <w:w w:val="95"/>
                <w:kern w:val="0"/>
                <w:sz w:val="20"/>
              </w:rPr>
              <w:t>構成比</w:t>
            </w:r>
          </w:p>
        </w:tc>
        <w:tc>
          <w:tcPr>
            <w:tcW w:w="977" w:type="dxa"/>
            <w:vMerge w:val="continue"/>
            <w:tcBorders>
              <w:top w:val="none" w:color="auto" w:sz="0" w:space="0"/>
              <w:left w:val="single" w:color="000000" w:sz="12"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78" w:type="dxa"/>
            <w:vMerge w:val="continue"/>
            <w:tcBorders>
              <w:top w:val="none" w:color="auto" w:sz="0" w:space="0"/>
              <w:left w:val="single" w:color="auto"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r>
      <w:tr>
        <w:trPr/>
        <w:tc>
          <w:tcPr>
            <w:tcW w:w="2268"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4"/>
              <w:spacing w:before="0" w:beforeLines="0" w:beforeAutospacing="0" w:after="0" w:afterLines="0" w:afterAutospacing="0"/>
              <w:jc w:val="both"/>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視覚障害</w:t>
            </w:r>
          </w:p>
        </w:tc>
        <w:tc>
          <w:tcPr>
            <w:tcW w:w="921"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110</w:t>
            </w:r>
          </w:p>
        </w:tc>
        <w:tc>
          <w:tcPr>
            <w:tcW w:w="9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117</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118</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123</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124</w:t>
            </w:r>
          </w:p>
        </w:tc>
        <w:tc>
          <w:tcPr>
            <w:tcW w:w="709" w:type="dxa"/>
            <w:gridSpan w:val="2"/>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8.2</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14</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12.7</w:t>
            </w:r>
          </w:p>
        </w:tc>
      </w:tr>
      <w:tr>
        <w:trPr/>
        <w:tc>
          <w:tcPr>
            <w:tcW w:w="2268"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4"/>
              <w:spacing w:before="0" w:beforeLines="0" w:beforeAutospacing="0" w:after="0" w:afterLines="0" w:afterAutospacing="0"/>
              <w:jc w:val="both"/>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聴覚障害</w:t>
            </w:r>
          </w:p>
        </w:tc>
        <w:tc>
          <w:tcPr>
            <w:tcW w:w="921"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151</w:t>
            </w:r>
          </w:p>
        </w:tc>
        <w:tc>
          <w:tcPr>
            <w:tcW w:w="9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159</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158</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165</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168</w:t>
            </w:r>
          </w:p>
        </w:tc>
        <w:tc>
          <w:tcPr>
            <w:tcW w:w="709" w:type="dxa"/>
            <w:gridSpan w:val="2"/>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11.1</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17</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11.3</w:t>
            </w:r>
          </w:p>
        </w:tc>
      </w:tr>
      <w:tr>
        <w:trPr/>
        <w:tc>
          <w:tcPr>
            <w:tcW w:w="2268"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4"/>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平行機能障害</w:t>
            </w:r>
          </w:p>
        </w:tc>
        <w:tc>
          <w:tcPr>
            <w:tcW w:w="921"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w:t>
            </w:r>
          </w:p>
        </w:tc>
        <w:tc>
          <w:tcPr>
            <w:tcW w:w="9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w:t>
            </w:r>
          </w:p>
        </w:tc>
        <w:tc>
          <w:tcPr>
            <w:tcW w:w="709" w:type="dxa"/>
            <w:gridSpan w:val="2"/>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0.1</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0.0</w:t>
            </w:r>
          </w:p>
        </w:tc>
      </w:tr>
      <w:tr>
        <w:trPr/>
        <w:tc>
          <w:tcPr>
            <w:tcW w:w="2268"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4"/>
              <w:spacing w:before="0" w:beforeLines="0" w:beforeAutospacing="0" w:after="0" w:afterLines="0" w:afterAutospacing="0"/>
              <w:jc w:val="both"/>
              <w:rPr>
                <w:rFonts w:hint="default" w:ascii="ＭＳ ゴシック" w:hAnsi="ＭＳ ゴシック" w:eastAsia="ＭＳ ゴシック"/>
                <w:spacing w:val="-8"/>
                <w:w w:val="85"/>
                <w:sz w:val="20"/>
              </w:rPr>
            </w:pPr>
            <w:r>
              <w:rPr>
                <w:rFonts w:hint="default" w:ascii="ＭＳ ゴシック" w:hAnsi="ＭＳ ゴシック" w:eastAsia="ＭＳ ゴシック"/>
                <w:spacing w:val="-8"/>
                <w:w w:val="85"/>
                <w:sz w:val="20"/>
              </w:rPr>
              <w:t>音声･言語･そしゃく機能障害</w:t>
            </w:r>
          </w:p>
        </w:tc>
        <w:tc>
          <w:tcPr>
            <w:tcW w:w="921"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13</w:t>
            </w:r>
          </w:p>
        </w:tc>
        <w:tc>
          <w:tcPr>
            <w:tcW w:w="9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12</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11</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11</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11</w:t>
            </w:r>
          </w:p>
        </w:tc>
        <w:tc>
          <w:tcPr>
            <w:tcW w:w="709" w:type="dxa"/>
            <w:gridSpan w:val="2"/>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0.7</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-15.4</w:t>
            </w:r>
          </w:p>
        </w:tc>
      </w:tr>
      <w:tr>
        <w:trPr/>
        <w:tc>
          <w:tcPr>
            <w:tcW w:w="2268"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4"/>
              <w:spacing w:before="0" w:beforeLines="0" w:beforeAutospacing="0" w:after="0" w:afterLines="0" w:afterAutospacing="0"/>
              <w:jc w:val="both"/>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肢体不自由</w:t>
            </w:r>
          </w:p>
        </w:tc>
        <w:tc>
          <w:tcPr>
            <w:tcW w:w="921"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523</w:t>
            </w:r>
          </w:p>
        </w:tc>
        <w:tc>
          <w:tcPr>
            <w:tcW w:w="9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540</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536</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548</w:t>
            </w:r>
          </w:p>
        </w:tc>
        <w:tc>
          <w:tcPr>
            <w:tcW w:w="756"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553</w:t>
            </w:r>
          </w:p>
        </w:tc>
        <w:tc>
          <w:tcPr>
            <w:tcW w:w="709" w:type="dxa"/>
            <w:gridSpan w:val="2"/>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36.5</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30</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5.7</w:t>
            </w:r>
          </w:p>
        </w:tc>
      </w:tr>
      <w:tr>
        <w:trPr/>
        <w:tc>
          <w:tcPr>
            <w:tcW w:w="2268" w:type="dxa"/>
            <w:tcBorders>
              <w:top w:val="none" w:color="auto" w:sz="0" w:space="0"/>
              <w:left w:val="single" w:color="000000" w:sz="4" w:space="0"/>
              <w:bottom w:val="none" w:color="auto" w:sz="0" w:space="0"/>
              <w:right w:val="none" w:color="auto" w:sz="0" w:space="0"/>
              <w:tl2br w:val="none" w:color="auto" w:sz="0" w:space="0"/>
              <w:tr2bl w:val="none" w:color="auto" w:sz="0" w:space="0"/>
            </w:tcBorders>
            <w:vAlign w:val="center"/>
          </w:tcPr>
          <w:p>
            <w:pPr>
              <w:pStyle w:val="44"/>
              <w:spacing w:before="0" w:beforeLines="0" w:beforeAutospacing="0" w:after="0" w:afterLines="0" w:afterAutospacing="0"/>
              <w:jc w:val="both"/>
              <w:rPr>
                <w:rFonts w:hint="default" w:ascii="ＭＳ ゴシック" w:hAnsi="ＭＳ ゴシック" w:eastAsia="ＭＳ ゴシック"/>
                <w:w w:val="100"/>
                <w:sz w:val="20"/>
              </w:rPr>
            </w:pPr>
            <w:r>
              <w:rPr>
                <w:rFonts w:hint="default" w:ascii="ＭＳ ゴシック" w:hAnsi="ＭＳ ゴシック" w:eastAsia="ＭＳ ゴシック"/>
                <w:w w:val="100"/>
                <w:sz w:val="20"/>
              </w:rPr>
              <w:t>内部疾患</w:t>
            </w:r>
          </w:p>
        </w:tc>
        <w:tc>
          <w:tcPr>
            <w:tcW w:w="921"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593</w:t>
            </w:r>
          </w:p>
        </w:tc>
        <w:tc>
          <w:tcPr>
            <w:tcW w:w="922" w:type="dxa"/>
            <w:gridSpan w:val="2"/>
            <w:tcBorders>
              <w:top w:val="single" w:color="000000" w:sz="4" w:space="0"/>
              <w:left w:val="single" w:color="auto" w:sz="4" w:space="0"/>
              <w:bottom w:val="doub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608</w:t>
            </w:r>
          </w:p>
        </w:tc>
        <w:tc>
          <w:tcPr>
            <w:tcW w:w="756"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624</w:t>
            </w:r>
          </w:p>
        </w:tc>
        <w:tc>
          <w:tcPr>
            <w:tcW w:w="756"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634</w:t>
            </w:r>
          </w:p>
        </w:tc>
        <w:tc>
          <w:tcPr>
            <w:tcW w:w="756"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656</w:t>
            </w:r>
          </w:p>
        </w:tc>
        <w:tc>
          <w:tcPr>
            <w:tcW w:w="709" w:type="dxa"/>
            <w:gridSpan w:val="2"/>
            <w:tcBorders>
              <w:top w:val="single" w:color="000000" w:sz="4" w:space="0"/>
              <w:left w:val="single" w:color="000000" w:sz="4" w:space="0"/>
              <w:bottom w:val="double" w:color="auto" w:sz="4" w:space="0"/>
              <w:right w:val="single" w:color="000000" w:sz="12"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43.4</w:t>
            </w:r>
          </w:p>
        </w:tc>
        <w:tc>
          <w:tcPr>
            <w:tcW w:w="977" w:type="dxa"/>
            <w:tcBorders>
              <w:top w:val="single" w:color="000000" w:sz="4" w:space="0"/>
              <w:left w:val="single" w:color="000000" w:sz="12" w:space="0"/>
              <w:bottom w:val="doub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63</w:t>
            </w:r>
          </w:p>
        </w:tc>
        <w:tc>
          <w:tcPr>
            <w:tcW w:w="978" w:type="dxa"/>
            <w:tcBorders>
              <w:top w:val="single" w:color="000000" w:sz="4" w:space="0"/>
              <w:left w:val="single" w:color="auto" w:sz="4" w:space="0"/>
              <w:bottom w:val="double" w:color="auto"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10.6</w:t>
            </w:r>
          </w:p>
        </w:tc>
      </w:tr>
      <w:tr>
        <w:trPr/>
        <w:tc>
          <w:tcPr>
            <w:tcW w:w="2268" w:type="dxa"/>
            <w:tcBorders>
              <w:top w:val="double" w:color="auto" w:sz="4" w:space="0"/>
              <w:left w:val="single" w:color="000000" w:sz="4" w:space="0"/>
              <w:bottom w:val="single" w:color="auto"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計</w:t>
            </w:r>
          </w:p>
        </w:tc>
        <w:tc>
          <w:tcPr>
            <w:tcW w:w="921" w:type="dxa"/>
            <w:tcBorders>
              <w:top w:val="doub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1,391</w:t>
            </w:r>
          </w:p>
        </w:tc>
        <w:tc>
          <w:tcPr>
            <w:tcW w:w="922" w:type="dxa"/>
            <w:gridSpan w:val="2"/>
            <w:tcBorders>
              <w:top w:val="doub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eastAsia" w:ascii="ＭＳ ゴシック" w:hAnsi="ＭＳ ゴシック" w:eastAsia="ＭＳ ゴシック"/>
                <w:w w:val="90"/>
                <w:sz w:val="20"/>
              </w:rPr>
              <w:t>1,437</w:t>
            </w:r>
          </w:p>
        </w:tc>
        <w:tc>
          <w:tcPr>
            <w:tcW w:w="756"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1,448</w:t>
            </w:r>
          </w:p>
        </w:tc>
        <w:tc>
          <w:tcPr>
            <w:tcW w:w="756"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1,482</w:t>
            </w:r>
          </w:p>
        </w:tc>
        <w:tc>
          <w:tcPr>
            <w:tcW w:w="756"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90"/>
                <w:sz w:val="20"/>
              </w:rPr>
            </w:pPr>
            <w:r>
              <w:rPr>
                <w:rFonts w:hint="default" w:ascii="ＭＳ ゴシック" w:hAnsi="ＭＳ ゴシック" w:eastAsia="ＭＳ ゴシック"/>
                <w:w w:val="90"/>
                <w:sz w:val="20"/>
              </w:rPr>
              <w:t>1,513</w:t>
            </w:r>
          </w:p>
        </w:tc>
        <w:tc>
          <w:tcPr>
            <w:tcW w:w="709" w:type="dxa"/>
            <w:gridSpan w:val="2"/>
            <w:tcBorders>
              <w:top w:val="double" w:color="auto" w:sz="4" w:space="0"/>
              <w:left w:val="single" w:color="000000" w:sz="4" w:space="0"/>
              <w:bottom w:val="single" w:color="auto" w:sz="4" w:space="0"/>
              <w:right w:val="single" w:color="000000" w:sz="12"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100.0</w:t>
            </w:r>
          </w:p>
        </w:tc>
        <w:tc>
          <w:tcPr>
            <w:tcW w:w="977" w:type="dxa"/>
            <w:tcBorders>
              <w:top w:val="double" w:color="auto" w:sz="4" w:space="0"/>
              <w:left w:val="single" w:color="000000" w:sz="12"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122</w:t>
            </w:r>
          </w:p>
        </w:tc>
        <w:tc>
          <w:tcPr>
            <w:tcW w:w="978" w:type="dxa"/>
            <w:tcBorders>
              <w:top w:val="doub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8.8</w:t>
            </w:r>
          </w:p>
        </w:tc>
      </w:tr>
    </w:tbl>
    <w:p>
      <w:pPr>
        <w:pStyle w:val="68"/>
        <w:spacing w:before="37" w:beforeLines="0" w:beforeAutospacing="0" w:after="0" w:afterLines="0" w:afterAutospacing="0"/>
        <w:ind w:left="1172"/>
        <w:rPr>
          <w:rFonts w:hint="default"/>
        </w:rPr>
      </w:pPr>
      <w:r>
        <w:rPr>
          <w:rFonts w:hint="eastAsia"/>
        </w:rPr>
        <w:t>資料：保健福祉課（各年度末現在）</w:t>
      </w:r>
    </w:p>
    <w:p>
      <w:pPr>
        <w:pStyle w:val="67"/>
        <w:ind w:left="448" w:firstLine="214" w:firstLineChars="100"/>
        <w:rPr>
          <w:rFonts w:hint="default"/>
        </w:rPr>
      </w:pPr>
    </w:p>
    <w:p>
      <w:pPr>
        <w:pStyle w:val="67"/>
        <w:ind w:left="448" w:firstLine="214" w:firstLineChars="100"/>
        <w:rPr>
          <w:rFonts w:hint="default"/>
          <w:spacing w:val="-2"/>
        </w:rPr>
      </w:pPr>
      <w:r>
        <w:rPr>
          <w:rFonts w:hint="eastAsia"/>
        </w:rPr>
        <w:t>「</w:t>
      </w:r>
      <w:r>
        <w:rPr>
          <w:rFonts w:hint="default"/>
        </w:rPr>
        <w:t>肢体不</w:t>
      </w:r>
      <w:r>
        <w:rPr>
          <w:rFonts w:hint="default"/>
          <w:spacing w:val="-2"/>
        </w:rPr>
        <w:t>自由</w:t>
      </w:r>
      <w:r>
        <w:rPr>
          <w:rFonts w:hint="eastAsia"/>
          <w:spacing w:val="-2"/>
        </w:rPr>
        <w:t>」</w:t>
      </w:r>
      <w:r>
        <w:rPr>
          <w:rFonts w:hint="default"/>
          <w:spacing w:val="-2"/>
        </w:rPr>
        <w:t>の内訳</w:t>
      </w:r>
      <w:r>
        <w:rPr>
          <w:rFonts w:hint="eastAsia"/>
          <w:spacing w:val="-2"/>
        </w:rPr>
        <w:t>をみると</w:t>
      </w:r>
      <w:r>
        <w:rPr>
          <w:rFonts w:hint="default"/>
          <w:spacing w:val="-2"/>
        </w:rPr>
        <w:t>、</w:t>
      </w:r>
      <w:r>
        <w:rPr>
          <w:rFonts w:hint="eastAsia"/>
          <w:spacing w:val="-2"/>
        </w:rPr>
        <w:t>毎年度</w:t>
      </w:r>
      <w:r>
        <w:rPr>
          <w:rFonts w:hint="default"/>
          <w:spacing w:val="-2"/>
        </w:rPr>
        <w:t>「上肢・下肢・四肢」が最も多</w:t>
      </w:r>
      <w:r>
        <w:rPr>
          <w:rFonts w:hint="eastAsia"/>
          <w:spacing w:val="-2"/>
        </w:rPr>
        <w:t>く、令和４年度では全体の</w:t>
      </w:r>
      <w:r>
        <w:rPr>
          <w:rFonts w:hint="default"/>
          <w:spacing w:val="-2"/>
        </w:rPr>
        <w:t>86.3</w:t>
      </w:r>
      <w:r>
        <w:rPr>
          <w:rFonts w:hint="eastAsia"/>
          <w:spacing w:val="-2"/>
        </w:rPr>
        <w:t>％を占めています。</w:t>
      </w:r>
    </w:p>
    <w:p>
      <w:pPr>
        <w:pStyle w:val="67"/>
        <w:ind w:left="448" w:firstLine="210" w:firstLineChars="100"/>
        <w:rPr>
          <w:rFonts w:hint="default"/>
        </w:rPr>
      </w:pPr>
      <w:r>
        <w:rPr>
          <w:rFonts w:hint="default"/>
          <w:spacing w:val="-2"/>
        </w:rPr>
        <w:t>「体幹機能障害」</w:t>
      </w:r>
      <w:r>
        <w:rPr>
          <w:rFonts w:hint="eastAsia"/>
          <w:spacing w:val="-2"/>
        </w:rPr>
        <w:t>は令和２年度以降</w:t>
      </w:r>
      <w:r>
        <w:rPr>
          <w:rFonts w:hint="eastAsia"/>
          <w:spacing w:val="-2"/>
        </w:rPr>
        <w:t>40</w:t>
      </w:r>
      <w:r>
        <w:rPr>
          <w:rFonts w:hint="eastAsia"/>
          <w:spacing w:val="-2"/>
        </w:rPr>
        <w:t>人程度で推移し、「運動機能障害」は増加で推移しており、平</w:t>
      </w:r>
      <w:r>
        <w:rPr>
          <w:rFonts w:hint="eastAsia"/>
        </w:rPr>
        <w:t>成</w:t>
      </w:r>
      <w:r>
        <w:rPr>
          <w:rFonts w:hint="eastAsia"/>
        </w:rPr>
        <w:t>30</w:t>
      </w:r>
      <w:r>
        <w:rPr>
          <w:rFonts w:hint="eastAsia"/>
        </w:rPr>
        <w:t>年度から</w:t>
      </w:r>
      <w:r>
        <w:rPr>
          <w:rFonts w:hint="eastAsia"/>
        </w:rPr>
        <w:t>6</w:t>
      </w:r>
      <w:r>
        <w:rPr>
          <w:rFonts w:hint="eastAsia"/>
        </w:rPr>
        <w:t>人増加しています。</w:t>
      </w:r>
    </w:p>
    <w:p>
      <w:pPr>
        <w:pStyle w:val="67"/>
        <w:spacing w:line="0" w:lineRule="atLeast"/>
        <w:ind w:left="448" w:firstLine="164" w:firstLineChars="100"/>
        <w:rPr>
          <w:rFonts w:hint="default"/>
          <w:sz w:val="16"/>
        </w:rPr>
      </w:pPr>
    </w:p>
    <w:tbl>
      <w:tblPr>
        <w:tblStyle w:val="11"/>
        <w:tblW w:w="9043" w:type="dxa"/>
        <w:tblInd w:w="567" w:type="dxa"/>
        <w:tblLayout w:type="fixed"/>
        <w:tblCellMar>
          <w:top w:w="28" w:type="dxa"/>
          <w:bottom w:w="28" w:type="dxa"/>
        </w:tblCellMar>
        <w:tblLook w:firstRow="0" w:lastRow="0" w:firstColumn="0" w:lastColumn="0" w:noHBand="0" w:noVBand="0" w:val="0000"/>
      </w:tblPr>
      <w:tblGrid>
        <w:gridCol w:w="2268"/>
        <w:gridCol w:w="822"/>
        <w:gridCol w:w="556"/>
        <w:gridCol w:w="266"/>
        <w:gridCol w:w="822"/>
        <w:gridCol w:w="822"/>
        <w:gridCol w:w="823"/>
        <w:gridCol w:w="383"/>
        <w:gridCol w:w="326"/>
        <w:gridCol w:w="977"/>
        <w:gridCol w:w="978"/>
      </w:tblGrid>
      <w:tr>
        <w:trPr/>
        <w:tc>
          <w:tcPr>
            <w:tcW w:w="3646" w:type="dxa"/>
            <w:gridSpan w:val="3"/>
            <w:vAlign w:val="bottom"/>
          </w:tcPr>
          <w:p>
            <w:pPr>
              <w:pStyle w:val="51"/>
              <w:snapToGrid w:val="0"/>
              <w:spacing w:line="0" w:lineRule="atLeast"/>
              <w:ind w:left="-221"/>
              <w:rPr>
                <w:rFonts w:hint="default" w:ascii="ＭＳ ゴシック" w:hAnsi="ＭＳ ゴシック" w:eastAsia="ＭＳ ゴシック"/>
              </w:rPr>
            </w:pPr>
            <w:r>
              <w:rPr>
                <w:rFonts w:hint="default" w:ascii="ＭＳ ゴシック" w:hAnsi="ＭＳ ゴシック" w:eastAsia="ＭＳ ゴシック"/>
                <w:sz w:val="21"/>
              </w:rPr>
              <w:t>【肢体不自由の内訳】</w:t>
            </w:r>
          </w:p>
        </w:tc>
        <w:tc>
          <w:tcPr>
            <w:tcW w:w="3116" w:type="dxa"/>
            <w:gridSpan w:val="5"/>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281" w:type="dxa"/>
            <w:gridSpan w:val="3"/>
            <w:tcMar>
              <w:top w:w="0" w:type="dxa"/>
              <w:bottom w:w="0" w:type="dxa"/>
            </w:tcMar>
            <w:vAlign w:val="bottom"/>
          </w:tcPr>
          <w:p>
            <w:pPr>
              <w:pStyle w:val="54"/>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c>
          <w:tcPr>
            <w:tcW w:w="2268"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ＭＳ ゴシック" w:hAnsi="ＭＳ ゴシック" w:eastAsia="ＭＳ ゴシック"/>
                <w:sz w:val="20"/>
              </w:rPr>
            </w:pPr>
          </w:p>
        </w:tc>
        <w:tc>
          <w:tcPr>
            <w:tcW w:w="822" w:type="dxa"/>
            <w:vMerge w:val="restart"/>
            <w:tcBorders>
              <w:top w:val="single" w:color="000000" w:sz="4" w:space="0"/>
              <w:left w:val="single" w:color="000000" w:sz="4" w:space="0"/>
              <w:bottom w:val="none" w:color="auto" w:sz="0" w:space="0"/>
              <w:right w:val="single" w:color="auto" w:sz="4"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default" w:ascii="ＭＳ ゴシック" w:hAnsi="ＭＳ ゴシック" w:eastAsia="ＭＳ ゴシック"/>
                <w:spacing w:val="-6"/>
                <w:w w:val="95"/>
                <w:kern w:val="0"/>
                <w:sz w:val="20"/>
              </w:rPr>
              <w:t>平成</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年度</w:t>
            </w:r>
          </w:p>
        </w:tc>
        <w:tc>
          <w:tcPr>
            <w:tcW w:w="822" w:type="dxa"/>
            <w:gridSpan w:val="2"/>
            <w:vMerge w:val="restart"/>
            <w:tcBorders>
              <w:top w:val="single" w:color="000000" w:sz="4"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元年度</w:t>
            </w:r>
          </w:p>
        </w:tc>
        <w:tc>
          <w:tcPr>
            <w:tcW w:w="822"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２年度</w:t>
            </w:r>
          </w:p>
        </w:tc>
        <w:tc>
          <w:tcPr>
            <w:tcW w:w="822"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３年度</w:t>
            </w:r>
          </w:p>
        </w:tc>
        <w:tc>
          <w:tcPr>
            <w:tcW w:w="823"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４年度</w:t>
            </w:r>
          </w:p>
        </w:tc>
        <w:tc>
          <w:tcPr>
            <w:tcW w:w="709" w:type="dxa"/>
            <w:gridSpan w:val="2"/>
            <w:tcBorders>
              <w:top w:val="single" w:color="000000" w:sz="4" w:space="0"/>
              <w:left w:val="none" w:color="auto" w:sz="0" w:space="0"/>
              <w:bottom w:val="single" w:color="000000" w:sz="4" w:space="0"/>
              <w:right w:val="single" w:color="000000" w:sz="12"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45" w:leftChars="-20" w:right="-45" w:rightChars="-20"/>
              <w:jc w:val="center"/>
              <w:rPr>
                <w:rFonts w:hint="default" w:ascii="ＭＳ ゴシック" w:hAnsi="ＭＳ ゴシック" w:eastAsia="ＭＳ ゴシック"/>
                <w:spacing w:val="-6"/>
                <w:w w:val="95"/>
                <w:kern w:val="0"/>
                <w:sz w:val="20"/>
              </w:rPr>
            </w:pPr>
          </w:p>
        </w:tc>
        <w:tc>
          <w:tcPr>
            <w:tcW w:w="977" w:type="dxa"/>
            <w:vMerge w:val="restart"/>
            <w:tcBorders>
              <w:top w:val="single" w:color="000000" w:sz="4" w:space="0"/>
              <w:left w:val="single" w:color="000000" w:sz="12"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Ｈ</w:t>
            </w: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Ｒ４</w:t>
            </w:r>
          </w:p>
          <w:p>
            <w:pPr>
              <w:pStyle w:val="0"/>
              <w:widowControl w:val="1"/>
              <w:snapToGrid w:val="0"/>
              <w:spacing w:line="0" w:lineRule="atLeast"/>
              <w:ind w:left="-45" w:leftChars="-20" w:right="-45" w:rightChars="-20"/>
              <w:jc w:val="center"/>
              <w:rPr>
                <w:rFonts w:hint="default" w:ascii="ＭＳ ゴシック" w:hAnsi="ＭＳ ゴシック" w:eastAsia="ＭＳ ゴシック"/>
                <w:spacing w:val="-4"/>
                <w:w w:val="90"/>
                <w:kern w:val="0"/>
                <w:sz w:val="20"/>
              </w:rPr>
            </w:pPr>
            <w:r>
              <w:rPr>
                <w:rFonts w:hint="eastAsia" w:ascii="ＭＳ ゴシック" w:hAnsi="ＭＳ ゴシック" w:eastAsia="ＭＳ ゴシック"/>
                <w:spacing w:val="-6"/>
                <w:w w:val="95"/>
                <w:kern w:val="0"/>
                <w:sz w:val="20"/>
              </w:rPr>
              <w:t>増減</w:t>
            </w:r>
          </w:p>
        </w:tc>
        <w:tc>
          <w:tcPr>
            <w:tcW w:w="978" w:type="dxa"/>
            <w:vMerge w:val="restart"/>
            <w:tcBorders>
              <w:top w:val="single" w:color="000000" w:sz="4" w:space="0"/>
              <w:left w:val="single" w:color="auto" w:sz="4" w:space="0"/>
              <w:bottom w:val="none" w:color="auto" w:sz="0"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Ｈ</w:t>
            </w: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Ｒ４</w:t>
            </w:r>
          </w:p>
          <w:p>
            <w:pPr>
              <w:pStyle w:val="0"/>
              <w:widowControl w:val="1"/>
              <w:snapToGrid w:val="0"/>
              <w:spacing w:line="0" w:lineRule="atLeast"/>
              <w:ind w:left="-45" w:leftChars="-20" w:right="-45" w:rightChars="-20"/>
              <w:jc w:val="center"/>
              <w:rPr>
                <w:rFonts w:hint="default" w:ascii="ＭＳ ゴシック" w:hAnsi="ＭＳ ゴシック" w:eastAsia="ＭＳ ゴシック"/>
                <w:spacing w:val="-4"/>
                <w:w w:val="90"/>
                <w:kern w:val="0"/>
                <w:sz w:val="20"/>
              </w:rPr>
            </w:pPr>
            <w:r>
              <w:rPr>
                <w:rFonts w:hint="eastAsia" w:ascii="ＭＳ ゴシック" w:hAnsi="ＭＳ ゴシック" w:eastAsia="ＭＳ ゴシック"/>
                <w:spacing w:val="-6"/>
                <w:w w:val="95"/>
                <w:kern w:val="0"/>
                <w:sz w:val="20"/>
              </w:rPr>
              <w:t>伸び率</w:t>
            </w:r>
          </w:p>
        </w:tc>
      </w:tr>
      <w:tr>
        <w:trPr/>
        <w:tc>
          <w:tcPr>
            <w:tcW w:w="2268"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ＭＳ ゴシック" w:hAnsi="ＭＳ ゴシック" w:eastAsia="ＭＳ ゴシック"/>
                <w:sz w:val="20"/>
              </w:rPr>
            </w:pPr>
          </w:p>
        </w:tc>
        <w:tc>
          <w:tcPr>
            <w:tcW w:w="822" w:type="dxa"/>
            <w:vMerge w:val="continue"/>
            <w:tcBorders>
              <w:top w:val="none" w:color="auto" w:sz="0" w:space="0"/>
              <w:left w:val="single" w:color="000000" w:sz="4" w:space="0"/>
              <w:bottom w:val="single" w:color="000000" w:sz="4" w:space="0"/>
              <w:right w:val="single" w:color="auto" w:sz="4"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p>
        </w:tc>
        <w:tc>
          <w:tcPr>
            <w:tcW w:w="822" w:type="dxa"/>
            <w:gridSpan w:val="2"/>
            <w:vMerge w:val="continue"/>
            <w:tcBorders>
              <w:top w:val="none" w:color="auto" w:sz="0" w:space="0"/>
              <w:left w:val="single" w:color="auto"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p>
        </w:tc>
        <w:tc>
          <w:tcPr>
            <w:tcW w:w="822"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p>
        </w:tc>
        <w:tc>
          <w:tcPr>
            <w:tcW w:w="822"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p>
        </w:tc>
        <w:tc>
          <w:tcPr>
            <w:tcW w:w="823"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p>
        </w:tc>
        <w:tc>
          <w:tcPr>
            <w:tcW w:w="709" w:type="dxa"/>
            <w:gridSpan w:val="2"/>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default" w:ascii="ＭＳ ゴシック" w:hAnsi="ＭＳ ゴシック" w:eastAsia="ＭＳ ゴシック"/>
                <w:spacing w:val="-6"/>
                <w:w w:val="95"/>
                <w:kern w:val="0"/>
                <w:sz w:val="20"/>
              </w:rPr>
              <w:t>構成比</w:t>
            </w:r>
          </w:p>
        </w:tc>
        <w:tc>
          <w:tcPr>
            <w:tcW w:w="977" w:type="dxa"/>
            <w:vMerge w:val="continue"/>
            <w:tcBorders>
              <w:top w:val="none" w:color="auto" w:sz="0" w:space="0"/>
              <w:left w:val="single" w:color="000000" w:sz="12"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78" w:type="dxa"/>
            <w:vMerge w:val="continue"/>
            <w:tcBorders>
              <w:top w:val="none" w:color="auto" w:sz="0" w:space="0"/>
              <w:left w:val="single" w:color="auto"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r>
      <w:tr>
        <w:trPr/>
        <w:tc>
          <w:tcPr>
            <w:tcW w:w="226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both"/>
              <w:rPr>
                <w:rFonts w:hint="default" w:ascii="ＭＳ ゴシック" w:hAnsi="ＭＳ ゴシック" w:eastAsia="ＭＳ ゴシック"/>
                <w:w w:val="100"/>
                <w:sz w:val="20"/>
              </w:rPr>
            </w:pPr>
            <w:bookmarkStart w:id="20" w:name="_Hlk147484366"/>
            <w:r>
              <w:rPr>
                <w:rFonts w:hint="eastAsia" w:ascii="ＭＳ ゴシック" w:hAnsi="ＭＳ ゴシック" w:eastAsia="ＭＳ ゴシック"/>
                <w:w w:val="100"/>
                <w:sz w:val="20"/>
              </w:rPr>
              <w:t>上肢・下肢・四肢</w:t>
            </w:r>
            <w:bookmarkEnd w:id="20"/>
          </w:p>
        </w:tc>
        <w:tc>
          <w:tcPr>
            <w:tcW w:w="822"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449</w:t>
            </w:r>
          </w:p>
        </w:tc>
        <w:tc>
          <w:tcPr>
            <w:tcW w:w="8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469</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466</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473</w:t>
            </w:r>
          </w:p>
        </w:tc>
        <w:tc>
          <w:tcPr>
            <w:tcW w:w="823"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477</w:t>
            </w:r>
          </w:p>
        </w:tc>
        <w:tc>
          <w:tcPr>
            <w:tcW w:w="709" w:type="dxa"/>
            <w:gridSpan w:val="2"/>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86.3</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28</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6.2</w:t>
            </w:r>
          </w:p>
        </w:tc>
      </w:tr>
      <w:tr>
        <w:trPr/>
        <w:tc>
          <w:tcPr>
            <w:tcW w:w="226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体幹機能障害</w:t>
            </w:r>
          </w:p>
        </w:tc>
        <w:tc>
          <w:tcPr>
            <w:tcW w:w="822"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47</w:t>
            </w:r>
          </w:p>
        </w:tc>
        <w:tc>
          <w:tcPr>
            <w:tcW w:w="8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45</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42</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43</w:t>
            </w:r>
          </w:p>
        </w:tc>
        <w:tc>
          <w:tcPr>
            <w:tcW w:w="823"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43</w:t>
            </w:r>
          </w:p>
        </w:tc>
        <w:tc>
          <w:tcPr>
            <w:tcW w:w="709" w:type="dxa"/>
            <w:gridSpan w:val="2"/>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7.8</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-8.5</w:t>
            </w:r>
          </w:p>
        </w:tc>
      </w:tr>
      <w:tr>
        <w:trPr/>
        <w:tc>
          <w:tcPr>
            <w:tcW w:w="2268"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運動機能障害</w:t>
            </w:r>
          </w:p>
        </w:tc>
        <w:tc>
          <w:tcPr>
            <w:tcW w:w="822"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27</w:t>
            </w:r>
          </w:p>
        </w:tc>
        <w:tc>
          <w:tcPr>
            <w:tcW w:w="822" w:type="dxa"/>
            <w:gridSpan w:val="2"/>
            <w:tcBorders>
              <w:top w:val="single" w:color="000000" w:sz="4" w:space="0"/>
              <w:left w:val="single" w:color="auto" w:sz="4" w:space="0"/>
              <w:bottom w:val="doub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26</w:t>
            </w:r>
          </w:p>
        </w:tc>
        <w:tc>
          <w:tcPr>
            <w:tcW w:w="822"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28</w:t>
            </w:r>
          </w:p>
        </w:tc>
        <w:tc>
          <w:tcPr>
            <w:tcW w:w="822"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32</w:t>
            </w:r>
          </w:p>
        </w:tc>
        <w:tc>
          <w:tcPr>
            <w:tcW w:w="823"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33</w:t>
            </w:r>
          </w:p>
        </w:tc>
        <w:tc>
          <w:tcPr>
            <w:tcW w:w="709" w:type="dxa"/>
            <w:gridSpan w:val="2"/>
            <w:tcBorders>
              <w:top w:val="single" w:color="000000" w:sz="4" w:space="0"/>
              <w:left w:val="single" w:color="000000" w:sz="4" w:space="0"/>
              <w:bottom w:val="double" w:color="auto" w:sz="4" w:space="0"/>
              <w:right w:val="single" w:color="000000" w:sz="12"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6.0</w:t>
            </w:r>
          </w:p>
        </w:tc>
        <w:tc>
          <w:tcPr>
            <w:tcW w:w="977" w:type="dxa"/>
            <w:tcBorders>
              <w:top w:val="single" w:color="000000" w:sz="4" w:space="0"/>
              <w:left w:val="single" w:color="000000" w:sz="12" w:space="0"/>
              <w:bottom w:val="doub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6</w:t>
            </w:r>
          </w:p>
        </w:tc>
        <w:tc>
          <w:tcPr>
            <w:tcW w:w="978" w:type="dxa"/>
            <w:tcBorders>
              <w:top w:val="single" w:color="000000" w:sz="4" w:space="0"/>
              <w:left w:val="single" w:color="auto" w:sz="4" w:space="0"/>
              <w:bottom w:val="double" w:color="auto"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22.2</w:t>
            </w:r>
          </w:p>
        </w:tc>
      </w:tr>
      <w:tr>
        <w:trPr/>
        <w:tc>
          <w:tcPr>
            <w:tcW w:w="2268" w:type="dxa"/>
            <w:tcBorders>
              <w:top w:val="double" w:color="auto" w:sz="4" w:space="0"/>
              <w:left w:val="single" w:color="000000" w:sz="4" w:space="0"/>
              <w:bottom w:val="single" w:color="auto"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計</w:t>
            </w:r>
          </w:p>
        </w:tc>
        <w:tc>
          <w:tcPr>
            <w:tcW w:w="822" w:type="dxa"/>
            <w:tcBorders>
              <w:top w:val="doub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523</w:t>
            </w:r>
          </w:p>
        </w:tc>
        <w:tc>
          <w:tcPr>
            <w:tcW w:w="822" w:type="dxa"/>
            <w:gridSpan w:val="2"/>
            <w:tcBorders>
              <w:top w:val="doub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540</w:t>
            </w:r>
          </w:p>
        </w:tc>
        <w:tc>
          <w:tcPr>
            <w:tcW w:w="822"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536</w:t>
            </w:r>
          </w:p>
        </w:tc>
        <w:tc>
          <w:tcPr>
            <w:tcW w:w="822"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548</w:t>
            </w:r>
          </w:p>
        </w:tc>
        <w:tc>
          <w:tcPr>
            <w:tcW w:w="823"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553</w:t>
            </w:r>
          </w:p>
        </w:tc>
        <w:tc>
          <w:tcPr>
            <w:tcW w:w="709" w:type="dxa"/>
            <w:gridSpan w:val="2"/>
            <w:tcBorders>
              <w:top w:val="double" w:color="auto" w:sz="4" w:space="0"/>
              <w:left w:val="single" w:color="000000" w:sz="4" w:space="0"/>
              <w:bottom w:val="single" w:color="auto" w:sz="4" w:space="0"/>
              <w:right w:val="single" w:color="000000" w:sz="12"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100.0</w:t>
            </w:r>
          </w:p>
        </w:tc>
        <w:tc>
          <w:tcPr>
            <w:tcW w:w="977" w:type="dxa"/>
            <w:tcBorders>
              <w:top w:val="double" w:color="auto" w:sz="4" w:space="0"/>
              <w:left w:val="single" w:color="000000" w:sz="12"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30</w:t>
            </w:r>
          </w:p>
        </w:tc>
        <w:tc>
          <w:tcPr>
            <w:tcW w:w="978" w:type="dxa"/>
            <w:tcBorders>
              <w:top w:val="doub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5.7</w:t>
            </w:r>
          </w:p>
        </w:tc>
      </w:tr>
    </w:tbl>
    <w:p>
      <w:pPr>
        <w:pStyle w:val="68"/>
        <w:spacing w:before="37" w:beforeLines="0" w:beforeAutospacing="0" w:after="0" w:afterLines="0" w:afterAutospacing="0"/>
        <w:ind w:left="1172"/>
        <w:rPr>
          <w:rFonts w:hint="default"/>
        </w:rPr>
      </w:pPr>
      <w:r>
        <w:rPr>
          <w:rFonts w:hint="eastAsia"/>
        </w:rPr>
        <w:t>資料：保健福祉課（各年度末現在）</w:t>
      </w:r>
    </w:p>
    <w:p>
      <w:pPr>
        <w:pStyle w:val="67"/>
        <w:ind w:left="448" w:firstLine="214" w:firstLineChars="100"/>
        <w:rPr>
          <w:rFonts w:hint="default"/>
        </w:rPr>
      </w:pPr>
    </w:p>
    <w:p>
      <w:pPr>
        <w:pStyle w:val="0"/>
        <w:widowControl w:val="1"/>
        <w:jc w:val="left"/>
        <w:rPr>
          <w:rFonts w:hint="default"/>
          <w:sz w:val="21"/>
        </w:rPr>
      </w:pPr>
      <w:r>
        <w:rPr>
          <w:rFonts w:hint="default"/>
        </w:rPr>
        <w:br w:type="page"/>
      </w:r>
    </w:p>
    <w:p>
      <w:pPr>
        <w:pStyle w:val="67"/>
        <w:ind w:left="448" w:firstLine="214" w:firstLineChars="100"/>
        <w:rPr>
          <w:rFonts w:hint="default"/>
          <w:spacing w:val="-2"/>
        </w:rPr>
      </w:pPr>
      <w:r>
        <w:rPr>
          <w:rFonts w:hint="eastAsia"/>
        </w:rPr>
        <w:t>「</w:t>
      </w:r>
      <w:r>
        <w:rPr>
          <w:rFonts w:hint="default"/>
        </w:rPr>
        <w:t>内部疾患</w:t>
      </w:r>
      <w:r>
        <w:rPr>
          <w:rFonts w:hint="eastAsia"/>
        </w:rPr>
        <w:t>」</w:t>
      </w:r>
      <w:r>
        <w:rPr>
          <w:rFonts w:hint="default"/>
          <w:spacing w:val="-2"/>
        </w:rPr>
        <w:t>の内訳</w:t>
      </w:r>
      <w:r>
        <w:rPr>
          <w:rFonts w:hint="eastAsia"/>
          <w:spacing w:val="-2"/>
        </w:rPr>
        <w:t>をみると</w:t>
      </w:r>
      <w:r>
        <w:rPr>
          <w:rFonts w:hint="default"/>
          <w:spacing w:val="-2"/>
        </w:rPr>
        <w:t>、毎年度「心臓機能障害」が最も多く、次に「じん臓機能障害」</w:t>
      </w:r>
      <w:r>
        <w:rPr>
          <w:rFonts w:hint="eastAsia"/>
          <w:spacing w:val="-2"/>
        </w:rPr>
        <w:t>となっており、令和４年</w:t>
      </w:r>
      <w:r>
        <w:rPr>
          <w:rFonts w:hint="default"/>
          <w:spacing w:val="-2"/>
        </w:rPr>
        <w:t>度では「心臓機能障害」が</w:t>
      </w:r>
      <w:r>
        <w:rPr>
          <w:rFonts w:hint="eastAsia"/>
          <w:spacing w:val="-2"/>
        </w:rPr>
        <w:t>445</w:t>
      </w:r>
      <w:r>
        <w:rPr>
          <w:rFonts w:hint="eastAsia"/>
          <w:spacing w:val="-2"/>
        </w:rPr>
        <w:t>人で</w:t>
      </w:r>
      <w:r>
        <w:rPr>
          <w:rFonts w:hint="default"/>
          <w:spacing w:val="-2"/>
        </w:rPr>
        <w:t>全体の</w:t>
      </w:r>
      <w:r>
        <w:rPr>
          <w:rFonts w:hint="default"/>
          <w:spacing w:val="-2"/>
        </w:rPr>
        <w:t>6</w:t>
      </w:r>
      <w:r>
        <w:rPr>
          <w:rFonts w:hint="eastAsia"/>
          <w:spacing w:val="-2"/>
        </w:rPr>
        <w:t>7.8</w:t>
      </w:r>
      <w:r>
        <w:rPr>
          <w:rFonts w:hint="default"/>
          <w:spacing w:val="-2"/>
        </w:rPr>
        <w:t>％と大半を占め、「じん臓機能障害」が</w:t>
      </w:r>
      <w:r>
        <w:rPr>
          <w:rFonts w:hint="eastAsia"/>
          <w:spacing w:val="-2"/>
        </w:rPr>
        <w:t>148</w:t>
      </w:r>
      <w:r>
        <w:rPr>
          <w:rFonts w:hint="eastAsia"/>
          <w:spacing w:val="-2"/>
        </w:rPr>
        <w:t>人で全体の</w:t>
      </w:r>
      <w:r>
        <w:rPr>
          <w:rFonts w:hint="default"/>
          <w:spacing w:val="-2"/>
        </w:rPr>
        <w:t>2</w:t>
      </w:r>
      <w:r>
        <w:rPr>
          <w:rFonts w:hint="eastAsia"/>
          <w:spacing w:val="-2"/>
        </w:rPr>
        <w:t>2.6</w:t>
      </w:r>
      <w:r>
        <w:rPr>
          <w:rFonts w:hint="default"/>
          <w:spacing w:val="-2"/>
        </w:rPr>
        <w:t>％</w:t>
      </w:r>
      <w:r>
        <w:rPr>
          <w:rFonts w:hint="eastAsia"/>
          <w:spacing w:val="-2"/>
        </w:rPr>
        <w:t>を占め</w:t>
      </w:r>
      <w:r>
        <w:rPr>
          <w:rFonts w:hint="default"/>
          <w:spacing w:val="-2"/>
        </w:rPr>
        <w:t>ます。</w:t>
      </w:r>
    </w:p>
    <w:p>
      <w:pPr>
        <w:pStyle w:val="67"/>
        <w:ind w:left="448" w:firstLine="210" w:firstLineChars="100"/>
        <w:rPr>
          <w:rFonts w:hint="default"/>
        </w:rPr>
      </w:pPr>
      <w:r>
        <w:rPr>
          <w:rFonts w:hint="eastAsia"/>
          <w:spacing w:val="-2"/>
        </w:rPr>
        <w:t>「ぼうこう・直腸機能障害」は減少傾向、そのほかの「呼吸器機能障害」、「小腸機能障害」、「免疫機能障害</w:t>
      </w:r>
      <w:r>
        <w:rPr>
          <w:rFonts w:hint="eastAsia"/>
        </w:rPr>
        <w:t>」、「肝臓機能障害」はそれぞれ横ばいで推移しています。</w:t>
      </w:r>
    </w:p>
    <w:p>
      <w:pPr>
        <w:pStyle w:val="67"/>
        <w:spacing w:line="0" w:lineRule="atLeast"/>
        <w:ind w:left="448" w:firstLine="164" w:firstLineChars="100"/>
        <w:rPr>
          <w:rFonts w:hint="default"/>
          <w:sz w:val="16"/>
        </w:rPr>
      </w:pPr>
    </w:p>
    <w:tbl>
      <w:tblPr>
        <w:tblStyle w:val="11"/>
        <w:tblW w:w="9043" w:type="dxa"/>
        <w:tblInd w:w="567" w:type="dxa"/>
        <w:tblLayout w:type="fixed"/>
        <w:tblCellMar>
          <w:top w:w="28" w:type="dxa"/>
          <w:bottom w:w="28" w:type="dxa"/>
        </w:tblCellMar>
        <w:tblLook w:firstRow="0" w:lastRow="0" w:firstColumn="0" w:lastColumn="0" w:noHBand="0" w:noVBand="0" w:val="0000"/>
      </w:tblPr>
      <w:tblGrid>
        <w:gridCol w:w="2268"/>
        <w:gridCol w:w="822"/>
        <w:gridCol w:w="556"/>
        <w:gridCol w:w="266"/>
        <w:gridCol w:w="822"/>
        <w:gridCol w:w="822"/>
        <w:gridCol w:w="823"/>
        <w:gridCol w:w="709"/>
        <w:gridCol w:w="977"/>
        <w:gridCol w:w="978"/>
      </w:tblGrid>
      <w:tr>
        <w:trPr/>
        <w:tc>
          <w:tcPr>
            <w:tcW w:w="3646" w:type="dxa"/>
            <w:gridSpan w:val="3"/>
            <w:vAlign w:val="bottom"/>
          </w:tcPr>
          <w:p>
            <w:pPr>
              <w:pStyle w:val="51"/>
              <w:snapToGrid w:val="0"/>
              <w:spacing w:line="0" w:lineRule="atLeast"/>
              <w:ind w:left="-221"/>
              <w:rPr>
                <w:rFonts w:hint="default" w:ascii="ＭＳ ゴシック" w:hAnsi="ＭＳ ゴシック" w:eastAsia="ＭＳ ゴシック"/>
              </w:rPr>
            </w:pPr>
            <w:r>
              <w:rPr>
                <w:rFonts w:hint="default" w:ascii="ＭＳ ゴシック" w:hAnsi="ＭＳ ゴシック" w:eastAsia="ＭＳ ゴシック"/>
                <w:sz w:val="21"/>
              </w:rPr>
              <w:t>【内部疾患の内訳】</w:t>
            </w:r>
          </w:p>
        </w:tc>
        <w:tc>
          <w:tcPr>
            <w:tcW w:w="2733" w:type="dxa"/>
            <w:gridSpan w:val="4"/>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664" w:type="dxa"/>
            <w:gridSpan w:val="3"/>
            <w:tcMar>
              <w:top w:w="0" w:type="dxa"/>
              <w:bottom w:w="0" w:type="dxa"/>
            </w:tcMar>
            <w:vAlign w:val="bottom"/>
          </w:tcPr>
          <w:p>
            <w:pPr>
              <w:pStyle w:val="54"/>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c>
          <w:tcPr>
            <w:tcW w:w="2268"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ＭＳ ゴシック" w:hAnsi="ＭＳ ゴシック" w:eastAsia="ＭＳ ゴシック"/>
                <w:sz w:val="20"/>
              </w:rPr>
            </w:pPr>
          </w:p>
        </w:tc>
        <w:tc>
          <w:tcPr>
            <w:tcW w:w="822" w:type="dxa"/>
            <w:vMerge w:val="restart"/>
            <w:tcBorders>
              <w:top w:val="single" w:color="000000" w:sz="4" w:space="0"/>
              <w:left w:val="single" w:color="000000" w:sz="4" w:space="0"/>
              <w:bottom w:val="none" w:color="auto" w:sz="0" w:space="0"/>
              <w:right w:val="single" w:color="auto" w:sz="4"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default" w:ascii="ＭＳ ゴシック" w:hAnsi="ＭＳ ゴシック" w:eastAsia="ＭＳ ゴシック"/>
                <w:spacing w:val="-6"/>
                <w:w w:val="95"/>
                <w:kern w:val="0"/>
                <w:sz w:val="20"/>
              </w:rPr>
              <w:t>平成</w:t>
            </w:r>
          </w:p>
          <w:p>
            <w:pPr>
              <w:pStyle w:val="0"/>
              <w:widowControl w:val="1"/>
              <w:spacing w:line="0" w:lineRule="atLeast"/>
              <w:jc w:val="center"/>
              <w:rPr>
                <w:rFonts w:hint="default" w:ascii="ＭＳ ゴシック" w:hAnsi="ＭＳ ゴシック" w:eastAsia="ＭＳ ゴシック"/>
                <w:w w:val="90"/>
                <w:kern w:val="0"/>
                <w:sz w:val="20"/>
              </w:rPr>
            </w:pP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年度</w:t>
            </w:r>
          </w:p>
        </w:tc>
        <w:tc>
          <w:tcPr>
            <w:tcW w:w="822" w:type="dxa"/>
            <w:gridSpan w:val="2"/>
            <w:vMerge w:val="restart"/>
            <w:tcBorders>
              <w:top w:val="single" w:color="000000" w:sz="4" w:space="0"/>
              <w:left w:val="single" w:color="auto"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jc w:val="center"/>
              <w:rPr>
                <w:rFonts w:hint="default" w:ascii="ＭＳ ゴシック" w:hAnsi="ＭＳ ゴシック" w:eastAsia="ＭＳ ゴシック"/>
                <w:w w:val="90"/>
                <w:kern w:val="0"/>
                <w:sz w:val="20"/>
              </w:rPr>
            </w:pPr>
            <w:r>
              <w:rPr>
                <w:rFonts w:hint="eastAsia" w:ascii="ＭＳ ゴシック" w:hAnsi="ＭＳ ゴシック" w:eastAsia="ＭＳ ゴシック"/>
                <w:spacing w:val="-6"/>
                <w:w w:val="95"/>
                <w:kern w:val="0"/>
                <w:sz w:val="20"/>
              </w:rPr>
              <w:t>元年度</w:t>
            </w:r>
          </w:p>
        </w:tc>
        <w:tc>
          <w:tcPr>
            <w:tcW w:w="822"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jc w:val="center"/>
              <w:rPr>
                <w:rFonts w:hint="default" w:ascii="ＭＳ ゴシック" w:hAnsi="ＭＳ ゴシック" w:eastAsia="ＭＳ ゴシック"/>
                <w:w w:val="90"/>
                <w:kern w:val="0"/>
                <w:sz w:val="20"/>
              </w:rPr>
            </w:pPr>
            <w:r>
              <w:rPr>
                <w:rFonts w:hint="eastAsia" w:ascii="ＭＳ ゴシック" w:hAnsi="ＭＳ ゴシック" w:eastAsia="ＭＳ ゴシック"/>
                <w:spacing w:val="-6"/>
                <w:w w:val="95"/>
                <w:kern w:val="0"/>
                <w:sz w:val="20"/>
              </w:rPr>
              <w:t>２年度</w:t>
            </w:r>
          </w:p>
        </w:tc>
        <w:tc>
          <w:tcPr>
            <w:tcW w:w="822"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jc w:val="center"/>
              <w:rPr>
                <w:rFonts w:hint="default" w:ascii="ＭＳ ゴシック" w:hAnsi="ＭＳ ゴシック" w:eastAsia="ＭＳ ゴシック"/>
                <w:w w:val="90"/>
                <w:kern w:val="0"/>
                <w:sz w:val="20"/>
              </w:rPr>
            </w:pPr>
            <w:r>
              <w:rPr>
                <w:rFonts w:hint="eastAsia" w:ascii="ＭＳ ゴシック" w:hAnsi="ＭＳ ゴシック" w:eastAsia="ＭＳ ゴシック"/>
                <w:spacing w:val="-6"/>
                <w:w w:val="95"/>
                <w:kern w:val="0"/>
                <w:sz w:val="20"/>
              </w:rPr>
              <w:t>３年度</w:t>
            </w:r>
          </w:p>
        </w:tc>
        <w:tc>
          <w:tcPr>
            <w:tcW w:w="823" w:type="dxa"/>
            <w:vMerge w:val="restart"/>
            <w:tcBorders>
              <w:top w:val="single" w:color="000000" w:sz="4" w:space="0"/>
              <w:left w:val="single" w:color="000000" w:sz="4"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令和</w:t>
            </w:r>
          </w:p>
          <w:p>
            <w:pPr>
              <w:pStyle w:val="0"/>
              <w:widowControl w:val="1"/>
              <w:spacing w:line="0" w:lineRule="atLeast"/>
              <w:jc w:val="center"/>
              <w:rPr>
                <w:rFonts w:hint="default" w:ascii="ＭＳ ゴシック" w:hAnsi="ＭＳ ゴシック" w:eastAsia="ＭＳ ゴシック"/>
                <w:w w:val="90"/>
                <w:kern w:val="0"/>
                <w:sz w:val="20"/>
              </w:rPr>
            </w:pPr>
            <w:r>
              <w:rPr>
                <w:rFonts w:hint="eastAsia" w:ascii="ＭＳ ゴシック" w:hAnsi="ＭＳ ゴシック" w:eastAsia="ＭＳ ゴシック"/>
                <w:spacing w:val="-6"/>
                <w:w w:val="95"/>
                <w:kern w:val="0"/>
                <w:sz w:val="20"/>
              </w:rPr>
              <w:t>４年度</w:t>
            </w:r>
          </w:p>
        </w:tc>
        <w:tc>
          <w:tcPr>
            <w:tcW w:w="709" w:type="dxa"/>
            <w:tcBorders>
              <w:top w:val="single" w:color="000000" w:sz="4" w:space="0"/>
              <w:left w:val="none" w:color="auto" w:sz="0" w:space="0"/>
              <w:bottom w:val="single" w:color="000000" w:sz="4" w:space="0"/>
              <w:right w:val="single" w:color="000000" w:sz="12"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77" w:type="dxa"/>
            <w:vMerge w:val="restart"/>
            <w:tcBorders>
              <w:top w:val="single" w:color="000000" w:sz="4" w:space="0"/>
              <w:left w:val="single" w:color="000000" w:sz="12"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Ｈ</w:t>
            </w: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Ｒ４</w:t>
            </w:r>
          </w:p>
          <w:p>
            <w:pPr>
              <w:pStyle w:val="0"/>
              <w:widowControl w:val="1"/>
              <w:snapToGrid w:val="0"/>
              <w:spacing w:line="0" w:lineRule="atLeast"/>
              <w:ind w:left="-45" w:leftChars="-20" w:right="-45" w:rightChars="-20"/>
              <w:jc w:val="center"/>
              <w:rPr>
                <w:rFonts w:hint="default" w:ascii="ＭＳ ゴシック" w:hAnsi="ＭＳ ゴシック" w:eastAsia="ＭＳ ゴシック"/>
                <w:spacing w:val="-4"/>
                <w:w w:val="90"/>
                <w:kern w:val="0"/>
                <w:sz w:val="20"/>
              </w:rPr>
            </w:pPr>
            <w:r>
              <w:rPr>
                <w:rFonts w:hint="eastAsia" w:ascii="ＭＳ ゴシック" w:hAnsi="ＭＳ ゴシック" w:eastAsia="ＭＳ ゴシック"/>
                <w:spacing w:val="-6"/>
                <w:w w:val="95"/>
                <w:kern w:val="0"/>
                <w:sz w:val="20"/>
              </w:rPr>
              <w:t>増減</w:t>
            </w:r>
          </w:p>
        </w:tc>
        <w:tc>
          <w:tcPr>
            <w:tcW w:w="978" w:type="dxa"/>
            <w:vMerge w:val="restart"/>
            <w:tcBorders>
              <w:top w:val="single" w:color="000000" w:sz="4" w:space="0"/>
              <w:left w:val="single" w:color="auto" w:sz="4" w:space="0"/>
              <w:bottom w:val="none" w:color="auto" w:sz="0"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napToGrid w:val="0"/>
              <w:spacing w:line="0" w:lineRule="atLeast"/>
              <w:ind w:left="-45" w:leftChars="-20" w:right="-45" w:rightChars="-20"/>
              <w:jc w:val="center"/>
              <w:rPr>
                <w:rFonts w:hint="default" w:ascii="ＭＳ ゴシック" w:hAnsi="ＭＳ ゴシック" w:eastAsia="ＭＳ ゴシック"/>
                <w:spacing w:val="-6"/>
                <w:w w:val="95"/>
                <w:kern w:val="0"/>
                <w:sz w:val="20"/>
              </w:rPr>
            </w:pPr>
            <w:r>
              <w:rPr>
                <w:rFonts w:hint="eastAsia" w:ascii="ＭＳ ゴシック" w:hAnsi="ＭＳ ゴシック" w:eastAsia="ＭＳ ゴシック"/>
                <w:spacing w:val="-6"/>
                <w:w w:val="95"/>
                <w:kern w:val="0"/>
                <w:sz w:val="20"/>
              </w:rPr>
              <w:t>Ｈ</w:t>
            </w:r>
            <w:r>
              <w:rPr>
                <w:rFonts w:hint="default" w:ascii="ＭＳ ゴシック" w:hAnsi="ＭＳ ゴシック" w:eastAsia="ＭＳ ゴシック"/>
                <w:spacing w:val="-6"/>
                <w:w w:val="95"/>
                <w:kern w:val="0"/>
                <w:sz w:val="20"/>
              </w:rPr>
              <w:t>30-</w:t>
            </w:r>
            <w:r>
              <w:rPr>
                <w:rFonts w:hint="default" w:ascii="ＭＳ ゴシック" w:hAnsi="ＭＳ ゴシック" w:eastAsia="ＭＳ ゴシック"/>
                <w:spacing w:val="-6"/>
                <w:w w:val="95"/>
                <w:kern w:val="0"/>
                <w:sz w:val="20"/>
              </w:rPr>
              <w:t>Ｒ４</w:t>
            </w:r>
          </w:p>
          <w:p>
            <w:pPr>
              <w:pStyle w:val="0"/>
              <w:widowControl w:val="1"/>
              <w:snapToGrid w:val="0"/>
              <w:spacing w:line="0" w:lineRule="atLeast"/>
              <w:ind w:left="-45" w:leftChars="-20" w:right="-45" w:rightChars="-20"/>
              <w:jc w:val="center"/>
              <w:rPr>
                <w:rFonts w:hint="default" w:ascii="ＭＳ ゴシック" w:hAnsi="ＭＳ ゴシック" w:eastAsia="ＭＳ ゴシック"/>
                <w:spacing w:val="-4"/>
                <w:w w:val="90"/>
                <w:kern w:val="0"/>
                <w:sz w:val="20"/>
              </w:rPr>
            </w:pPr>
            <w:r>
              <w:rPr>
                <w:rFonts w:hint="eastAsia" w:ascii="ＭＳ ゴシック" w:hAnsi="ＭＳ ゴシック" w:eastAsia="ＭＳ ゴシック"/>
                <w:spacing w:val="-6"/>
                <w:w w:val="95"/>
                <w:kern w:val="0"/>
                <w:sz w:val="20"/>
              </w:rPr>
              <w:t>伸び率</w:t>
            </w:r>
          </w:p>
        </w:tc>
      </w:tr>
      <w:tr>
        <w:trPr/>
        <w:tc>
          <w:tcPr>
            <w:tcW w:w="2268"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ＭＳ ゴシック" w:hAnsi="ＭＳ ゴシック" w:eastAsia="ＭＳ ゴシック"/>
                <w:sz w:val="20"/>
              </w:rPr>
            </w:pPr>
          </w:p>
        </w:tc>
        <w:tc>
          <w:tcPr>
            <w:tcW w:w="822" w:type="dxa"/>
            <w:vMerge w:val="continue"/>
            <w:tcBorders>
              <w:top w:val="none" w:color="auto" w:sz="0" w:space="0"/>
              <w:left w:val="single" w:color="000000" w:sz="4" w:space="0"/>
              <w:bottom w:val="single" w:color="000000" w:sz="4" w:space="0"/>
              <w:right w:val="single" w:color="auto" w:sz="4"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822" w:type="dxa"/>
            <w:gridSpan w:val="2"/>
            <w:vMerge w:val="continue"/>
            <w:tcBorders>
              <w:top w:val="none" w:color="auto" w:sz="0" w:space="0"/>
              <w:left w:val="single" w:color="auto"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822"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822"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823" w:type="dxa"/>
            <w:vMerge w:val="continue"/>
            <w:tcBorders>
              <w:top w:val="none" w:color="auto" w:sz="0"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709" w:type="dxa"/>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spacing w:val="-4"/>
                <w:w w:val="80"/>
                <w:kern w:val="0"/>
                <w:sz w:val="20"/>
              </w:rPr>
            </w:pPr>
            <w:r>
              <w:rPr>
                <w:rFonts w:hint="default" w:ascii="ＭＳ ゴシック" w:hAnsi="ＭＳ ゴシック" w:eastAsia="ＭＳ ゴシック"/>
                <w:spacing w:val="-4"/>
                <w:w w:val="80"/>
                <w:kern w:val="0"/>
                <w:sz w:val="20"/>
              </w:rPr>
              <w:t>構成比</w:t>
            </w:r>
          </w:p>
        </w:tc>
        <w:tc>
          <w:tcPr>
            <w:tcW w:w="977" w:type="dxa"/>
            <w:vMerge w:val="continue"/>
            <w:tcBorders>
              <w:top w:val="none" w:color="auto" w:sz="0" w:space="0"/>
              <w:left w:val="single" w:color="000000" w:sz="12"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78" w:type="dxa"/>
            <w:vMerge w:val="continue"/>
            <w:tcBorders>
              <w:top w:val="none" w:color="auto" w:sz="0" w:space="0"/>
              <w:left w:val="single" w:color="auto"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kern w:val="0"/>
                <w:sz w:val="20"/>
              </w:rPr>
            </w:pPr>
          </w:p>
        </w:tc>
      </w:tr>
      <w:tr>
        <w:trPr/>
        <w:tc>
          <w:tcPr>
            <w:tcW w:w="2268"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心臓機能障害</w:t>
            </w:r>
          </w:p>
        </w:tc>
        <w:tc>
          <w:tcPr>
            <w:tcW w:w="822"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417</w:t>
            </w:r>
          </w:p>
        </w:tc>
        <w:tc>
          <w:tcPr>
            <w:tcW w:w="8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422</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431</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431</w:t>
            </w:r>
          </w:p>
        </w:tc>
        <w:tc>
          <w:tcPr>
            <w:tcW w:w="823"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445</w:t>
            </w:r>
          </w:p>
        </w:tc>
        <w:tc>
          <w:tcPr>
            <w:tcW w:w="709" w:type="dxa"/>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67.8</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28</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6.7</w:t>
            </w:r>
          </w:p>
        </w:tc>
      </w:tr>
      <w:tr>
        <w:trPr/>
        <w:tc>
          <w:tcPr>
            <w:tcW w:w="226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呼吸器機能障害</w:t>
            </w:r>
          </w:p>
        </w:tc>
        <w:tc>
          <w:tcPr>
            <w:tcW w:w="822"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14</w:t>
            </w:r>
          </w:p>
        </w:tc>
        <w:tc>
          <w:tcPr>
            <w:tcW w:w="8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16</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c>
          <w:tcPr>
            <w:tcW w:w="823"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709" w:type="dxa"/>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2.7</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4</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28.6</w:t>
            </w:r>
          </w:p>
        </w:tc>
      </w:tr>
      <w:tr>
        <w:trPr/>
        <w:tc>
          <w:tcPr>
            <w:tcW w:w="226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じん臓機能障害</w:t>
            </w:r>
          </w:p>
        </w:tc>
        <w:tc>
          <w:tcPr>
            <w:tcW w:w="822"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117</w:t>
            </w:r>
          </w:p>
        </w:tc>
        <w:tc>
          <w:tcPr>
            <w:tcW w:w="8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125</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131</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141</w:t>
            </w:r>
          </w:p>
        </w:tc>
        <w:tc>
          <w:tcPr>
            <w:tcW w:w="823"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148</w:t>
            </w:r>
          </w:p>
        </w:tc>
        <w:tc>
          <w:tcPr>
            <w:tcW w:w="709" w:type="dxa"/>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22.6</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31</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26.5</w:t>
            </w:r>
          </w:p>
        </w:tc>
      </w:tr>
      <w:tr>
        <w:trPr/>
        <w:tc>
          <w:tcPr>
            <w:tcW w:w="2268"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spacing w:val="-4"/>
                <w:w w:val="98"/>
                <w:sz w:val="20"/>
              </w:rPr>
            </w:pPr>
            <w:r>
              <w:rPr>
                <w:rFonts w:hint="eastAsia" w:ascii="ＭＳ ゴシック" w:hAnsi="ＭＳ ゴシック" w:eastAsia="ＭＳ ゴシック"/>
                <w:spacing w:val="-4"/>
                <w:w w:val="98"/>
                <w:sz w:val="20"/>
              </w:rPr>
              <w:t>ぼうこう・直腸機能障害</w:t>
            </w:r>
          </w:p>
        </w:tc>
        <w:tc>
          <w:tcPr>
            <w:tcW w:w="822"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34</w:t>
            </w:r>
          </w:p>
        </w:tc>
        <w:tc>
          <w:tcPr>
            <w:tcW w:w="8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33</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36</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35</w:t>
            </w:r>
          </w:p>
        </w:tc>
        <w:tc>
          <w:tcPr>
            <w:tcW w:w="823"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32</w:t>
            </w:r>
          </w:p>
        </w:tc>
        <w:tc>
          <w:tcPr>
            <w:tcW w:w="709" w:type="dxa"/>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4.9</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-5.9</w:t>
            </w:r>
          </w:p>
        </w:tc>
      </w:tr>
      <w:tr>
        <w:trPr/>
        <w:tc>
          <w:tcPr>
            <w:tcW w:w="2268"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小腸機能障害</w:t>
            </w:r>
          </w:p>
        </w:tc>
        <w:tc>
          <w:tcPr>
            <w:tcW w:w="822"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8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823"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709" w:type="dxa"/>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0.5</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0.0</w:t>
            </w:r>
          </w:p>
        </w:tc>
      </w:tr>
      <w:tr>
        <w:trPr/>
        <w:tc>
          <w:tcPr>
            <w:tcW w:w="2268"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免疫機能障害</w:t>
            </w:r>
          </w:p>
        </w:tc>
        <w:tc>
          <w:tcPr>
            <w:tcW w:w="822"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822" w:type="dxa"/>
            <w:gridSpan w:val="2"/>
            <w:tcBorders>
              <w:top w:val="single" w:color="000000" w:sz="4" w:space="0"/>
              <w:left w:val="single" w:color="auto"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822"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823"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709" w:type="dxa"/>
            <w:tcBorders>
              <w:top w:val="single" w:color="000000" w:sz="4" w:space="0"/>
              <w:left w:val="single" w:color="000000" w:sz="4" w:space="0"/>
              <w:bottom w:val="single" w:color="000000" w:sz="4" w:space="0"/>
              <w:right w:val="single" w:color="000000" w:sz="12"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0.8</w:t>
            </w:r>
          </w:p>
        </w:tc>
        <w:tc>
          <w:tcPr>
            <w:tcW w:w="977" w:type="dxa"/>
            <w:tcBorders>
              <w:top w:val="single" w:color="000000" w:sz="4" w:space="0"/>
              <w:left w:val="single" w:color="000000" w:sz="12"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7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66.7</w:t>
            </w:r>
          </w:p>
        </w:tc>
      </w:tr>
      <w:tr>
        <w:trPr/>
        <w:tc>
          <w:tcPr>
            <w:tcW w:w="2268" w:type="dxa"/>
            <w:tcBorders>
              <w:top w:val="none" w:color="auto" w:sz="0" w:space="0"/>
              <w:left w:val="single" w:color="000000" w:sz="4" w:space="0"/>
              <w:bottom w:val="none" w:color="auto" w:sz="0"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肝臓機能障害</w:t>
            </w:r>
          </w:p>
        </w:tc>
        <w:tc>
          <w:tcPr>
            <w:tcW w:w="822"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w:t>
            </w:r>
          </w:p>
        </w:tc>
        <w:tc>
          <w:tcPr>
            <w:tcW w:w="822" w:type="dxa"/>
            <w:gridSpan w:val="2"/>
            <w:tcBorders>
              <w:top w:val="single" w:color="000000" w:sz="4" w:space="0"/>
              <w:left w:val="single" w:color="auto" w:sz="4"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w:t>
            </w:r>
          </w:p>
        </w:tc>
        <w:tc>
          <w:tcPr>
            <w:tcW w:w="822"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822"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823"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709" w:type="dxa"/>
            <w:tcBorders>
              <w:top w:val="single" w:color="000000" w:sz="4" w:space="0"/>
              <w:left w:val="single" w:color="000000" w:sz="4" w:space="0"/>
              <w:bottom w:val="double" w:color="auto" w:sz="4" w:space="0"/>
              <w:right w:val="single" w:color="000000" w:sz="12"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0.8</w:t>
            </w:r>
          </w:p>
        </w:tc>
        <w:tc>
          <w:tcPr>
            <w:tcW w:w="977" w:type="dxa"/>
            <w:tcBorders>
              <w:top w:val="single" w:color="000000" w:sz="4" w:space="0"/>
              <w:left w:val="single" w:color="000000" w:sz="12"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0</w:t>
            </w:r>
          </w:p>
        </w:tc>
        <w:tc>
          <w:tcPr>
            <w:tcW w:w="978" w:type="dxa"/>
            <w:tcBorders>
              <w:top w:val="single" w:color="000000" w:sz="4" w:space="0"/>
              <w:left w:val="single" w:color="auto" w:sz="4" w:space="0"/>
              <w:bottom w:val="double" w:color="auto"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0.0</w:t>
            </w:r>
          </w:p>
        </w:tc>
      </w:tr>
      <w:tr>
        <w:trPr/>
        <w:tc>
          <w:tcPr>
            <w:tcW w:w="2268" w:type="dxa"/>
            <w:tcBorders>
              <w:top w:val="double" w:color="auto" w:sz="4" w:space="0"/>
              <w:left w:val="single" w:color="000000" w:sz="4" w:space="0"/>
              <w:bottom w:val="single" w:color="auto"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計</w:t>
            </w:r>
          </w:p>
        </w:tc>
        <w:tc>
          <w:tcPr>
            <w:tcW w:w="822" w:type="dxa"/>
            <w:tcBorders>
              <w:top w:val="doub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593</w:t>
            </w:r>
          </w:p>
        </w:tc>
        <w:tc>
          <w:tcPr>
            <w:tcW w:w="822" w:type="dxa"/>
            <w:gridSpan w:val="2"/>
            <w:tcBorders>
              <w:top w:val="double" w:color="auto" w:sz="4" w:space="0"/>
              <w:left w:val="single" w:color="auto" w:sz="4"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608</w:t>
            </w:r>
          </w:p>
        </w:tc>
        <w:tc>
          <w:tcPr>
            <w:tcW w:w="822"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624</w:t>
            </w:r>
          </w:p>
        </w:tc>
        <w:tc>
          <w:tcPr>
            <w:tcW w:w="822"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634</w:t>
            </w:r>
          </w:p>
        </w:tc>
        <w:tc>
          <w:tcPr>
            <w:tcW w:w="823"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656</w:t>
            </w:r>
          </w:p>
        </w:tc>
        <w:tc>
          <w:tcPr>
            <w:tcW w:w="709" w:type="dxa"/>
            <w:tcBorders>
              <w:top w:val="double" w:color="auto" w:sz="4" w:space="0"/>
              <w:left w:val="single" w:color="000000" w:sz="4" w:space="0"/>
              <w:bottom w:val="single" w:color="auto" w:sz="4" w:space="0"/>
              <w:right w:val="single" w:color="000000" w:sz="12"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100.0</w:t>
            </w:r>
          </w:p>
        </w:tc>
        <w:tc>
          <w:tcPr>
            <w:tcW w:w="977" w:type="dxa"/>
            <w:tcBorders>
              <w:top w:val="double" w:color="auto" w:sz="4" w:space="0"/>
              <w:left w:val="single" w:color="000000" w:sz="12"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67" w:leftChars="-3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63</w:t>
            </w:r>
          </w:p>
        </w:tc>
        <w:tc>
          <w:tcPr>
            <w:tcW w:w="978" w:type="dxa"/>
            <w:tcBorders>
              <w:top w:val="doub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ind w:left="-112" w:leftChars="-5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10.6</w:t>
            </w:r>
          </w:p>
        </w:tc>
      </w:tr>
    </w:tbl>
    <w:p>
      <w:pPr>
        <w:pStyle w:val="68"/>
        <w:spacing w:before="37" w:beforeLines="0" w:beforeAutospacing="0" w:after="0" w:afterLines="0" w:afterAutospacing="0"/>
        <w:ind w:left="1172"/>
        <w:rPr>
          <w:rFonts w:hint="default"/>
        </w:rPr>
      </w:pPr>
      <w:r>
        <w:rPr>
          <w:rFonts w:hint="eastAsia"/>
        </w:rPr>
        <w:t>資料：保健福祉課（各年度末現在）</w:t>
      </w:r>
    </w:p>
    <w:p>
      <w:pPr>
        <w:pStyle w:val="67"/>
        <w:ind w:left="448" w:firstLine="214" w:firstLineChars="100"/>
        <w:rPr>
          <w:rFonts w:hint="default"/>
        </w:rPr>
      </w:pPr>
    </w:p>
    <w:p>
      <w:pPr>
        <w:pStyle w:val="0"/>
        <w:widowControl w:val="1"/>
        <w:jc w:val="left"/>
        <w:rPr>
          <w:rFonts w:hint="default"/>
        </w:rPr>
      </w:pPr>
      <w:r>
        <w:rPr>
          <w:rFonts w:hint="default"/>
        </w:rPr>
        <w:br w:type="page"/>
      </w:r>
    </w:p>
    <w:p>
      <w:pPr>
        <w:pStyle w:val="66"/>
        <w:spacing w:after="74" w:afterLines="0" w:afterAutospacing="0"/>
        <w:ind w:left="112"/>
        <w:outlineLvl w:val="3"/>
        <w:rPr>
          <w:rFonts w:hint="default"/>
          <w:color w:val="auto"/>
          <w:sz w:val="22"/>
        </w:rPr>
      </w:pPr>
      <w:r>
        <w:rPr>
          <w:rFonts w:hint="eastAsia"/>
          <w:color w:val="auto"/>
          <w:sz w:val="22"/>
        </w:rPr>
        <w:t>（４）</w:t>
      </w:r>
      <w:r>
        <w:rPr>
          <w:rFonts w:hint="eastAsia"/>
          <w:color w:val="auto"/>
          <w:sz w:val="22"/>
          <w:u w:val="single" w:color="auto"/>
        </w:rPr>
        <w:t>障がいの程度</w:t>
      </w:r>
    </w:p>
    <w:p>
      <w:pPr>
        <w:pStyle w:val="76"/>
        <w:spacing w:after="74" w:afterLines="0" w:afterAutospacing="0"/>
        <w:ind w:left="448"/>
        <w:outlineLvl w:val="4"/>
        <w:rPr>
          <w:rFonts w:hint="default"/>
          <w:color w:val="auto"/>
        </w:rPr>
      </w:pPr>
      <w:r>
        <w:rPr>
          <w:rFonts w:hint="eastAsia"/>
          <w:color w:val="auto"/>
        </w:rPr>
        <w:t>①身体障がい</w:t>
      </w:r>
    </w:p>
    <w:p>
      <w:pPr>
        <w:pStyle w:val="67"/>
        <w:ind w:left="672" w:leftChars="300" w:firstLine="214" w:firstLineChars="100"/>
        <w:rPr>
          <w:rFonts w:hint="default"/>
        </w:rPr>
      </w:pPr>
      <w:r>
        <w:rPr>
          <w:rFonts w:hint="default"/>
        </w:rPr>
        <w:t>身体障がいの程度を表わす等級</w:t>
      </w:r>
      <w:r>
        <w:rPr>
          <w:rFonts w:hint="default"/>
        </w:rPr>
        <w:t>(</w:t>
      </w:r>
      <w:r>
        <w:rPr>
          <w:rFonts w:hint="default"/>
        </w:rPr>
        <w:t>数値が小さいほど重度</w:t>
      </w:r>
      <w:r>
        <w:rPr>
          <w:rFonts w:hint="default"/>
        </w:rPr>
        <w:t>)</w:t>
      </w:r>
      <w:r>
        <w:rPr>
          <w:rFonts w:hint="default"/>
        </w:rPr>
        <w:t>は、「１級」が</w:t>
      </w:r>
      <w:r>
        <w:rPr>
          <w:rFonts w:hint="default"/>
        </w:rPr>
        <w:t>38.4</w:t>
      </w:r>
      <w:r>
        <w:rPr>
          <w:rFonts w:hint="default"/>
        </w:rPr>
        <w:t>％と最も</w:t>
      </w:r>
      <w:r>
        <w:rPr>
          <w:rFonts w:hint="eastAsia"/>
        </w:rPr>
        <w:t>多</w:t>
      </w:r>
      <w:r>
        <w:rPr>
          <w:rFonts w:hint="default"/>
        </w:rPr>
        <w:t>く、次に「４級」が</w:t>
      </w:r>
      <w:r>
        <w:rPr>
          <w:rFonts w:hint="default"/>
        </w:rPr>
        <w:t>18.9</w:t>
      </w:r>
      <w:r>
        <w:rPr>
          <w:rFonts w:hint="default"/>
        </w:rPr>
        <w:t>％、「３級」が</w:t>
      </w:r>
      <w:r>
        <w:rPr>
          <w:rFonts w:hint="default"/>
        </w:rPr>
        <w:t>16.1</w:t>
      </w:r>
      <w:r>
        <w:rPr>
          <w:rFonts w:hint="default"/>
        </w:rPr>
        <w:t>％となります。また、「１級」と「２級」を合わせた重度者が</w:t>
      </w:r>
      <w:r>
        <w:rPr>
          <w:rFonts w:hint="eastAsia"/>
        </w:rPr>
        <w:t>53.8</w:t>
      </w:r>
      <w:r>
        <w:rPr>
          <w:rFonts w:hint="default"/>
        </w:rPr>
        <w:t>％を占め、「３級」と「４級」を合わせた中度者が</w:t>
      </w:r>
      <w:r>
        <w:rPr>
          <w:rFonts w:hint="eastAsia"/>
        </w:rPr>
        <w:t>35.0</w:t>
      </w:r>
      <w:r>
        <w:rPr>
          <w:rFonts w:hint="default"/>
        </w:rPr>
        <w:t>％とな</w:t>
      </w:r>
      <w:r>
        <w:rPr>
          <w:rFonts w:hint="eastAsia"/>
        </w:rPr>
        <w:t>ってい</w:t>
      </w:r>
      <w:r>
        <w:rPr>
          <w:rFonts w:hint="default"/>
        </w:rPr>
        <w:t>ます。</w:t>
      </w:r>
    </w:p>
    <w:p>
      <w:pPr>
        <w:pStyle w:val="67"/>
        <w:ind w:left="672" w:leftChars="300" w:firstLine="214" w:firstLineChars="100"/>
        <w:rPr>
          <w:rFonts w:hint="default"/>
        </w:rPr>
      </w:pPr>
      <w:r>
        <w:rPr>
          <w:rFonts w:hint="default"/>
        </w:rPr>
        <w:t>「１級」と「３級」、「４級」では「心臓機能障害」が最も多く、「２級」</w:t>
      </w:r>
      <w:r>
        <w:rPr>
          <w:rFonts w:hint="eastAsia"/>
        </w:rPr>
        <w:t>と「５級」では「肢体不自由</w:t>
      </w:r>
      <w:r>
        <w:rPr>
          <w:rFonts w:hint="eastAsia"/>
        </w:rPr>
        <w:t>(</w:t>
      </w:r>
      <w:r>
        <w:rPr>
          <w:rFonts w:hint="eastAsia"/>
        </w:rPr>
        <w:t>上肢・下肢・四肢</w:t>
      </w:r>
      <w:r>
        <w:rPr>
          <w:rFonts w:hint="eastAsia"/>
        </w:rPr>
        <w:t>)</w:t>
      </w:r>
      <w:r>
        <w:rPr>
          <w:rFonts w:hint="eastAsia"/>
        </w:rPr>
        <w:t>」が最も多くなっています。また、「６級」では「聴覚障害」が最も多くなっています。</w:t>
      </w:r>
    </w:p>
    <w:p>
      <w:pPr>
        <w:pStyle w:val="67"/>
        <w:spacing w:line="0" w:lineRule="atLeast"/>
        <w:ind w:left="448" w:firstLine="164" w:firstLineChars="100"/>
        <w:rPr>
          <w:rFonts w:hint="default"/>
          <w:sz w:val="16"/>
        </w:rPr>
      </w:pPr>
    </w:p>
    <w:tbl>
      <w:tblPr>
        <w:tblStyle w:val="11"/>
        <w:tblW w:w="8969" w:type="dxa"/>
        <w:tblInd w:w="567" w:type="dxa"/>
        <w:tblLayout w:type="fixed"/>
        <w:tblCellMar>
          <w:top w:w="28" w:type="dxa"/>
          <w:bottom w:w="28" w:type="dxa"/>
        </w:tblCellMar>
        <w:tblLook w:firstRow="0" w:lastRow="0" w:firstColumn="0" w:lastColumn="0" w:noHBand="0" w:noVBand="0" w:val="0000"/>
      </w:tblPr>
      <w:tblGrid>
        <w:gridCol w:w="1486"/>
        <w:gridCol w:w="1486"/>
        <w:gridCol w:w="572"/>
        <w:gridCol w:w="162"/>
        <w:gridCol w:w="734"/>
        <w:gridCol w:w="734"/>
        <w:gridCol w:w="735"/>
        <w:gridCol w:w="734"/>
        <w:gridCol w:w="19"/>
        <w:gridCol w:w="715"/>
        <w:gridCol w:w="735"/>
        <w:gridCol w:w="824"/>
        <w:gridCol w:w="33"/>
      </w:tblGrid>
      <w:tr>
        <w:trPr>
          <w:gridAfter w:val="1"/>
          <w:wAfter w:w="33" w:type="dxa"/>
        </w:trPr>
        <w:tc>
          <w:tcPr>
            <w:tcW w:w="3544" w:type="dxa"/>
            <w:gridSpan w:val="3"/>
            <w:vAlign w:val="bottom"/>
          </w:tcPr>
          <w:p>
            <w:pPr>
              <w:pStyle w:val="51"/>
              <w:snapToGrid w:val="0"/>
              <w:spacing w:line="0" w:lineRule="atLeast"/>
              <w:ind w:left="-221"/>
              <w:rPr>
                <w:rFonts w:hint="default" w:ascii="ＭＳ ゴシック" w:hAnsi="ＭＳ ゴシック" w:eastAsia="ＭＳ ゴシック"/>
              </w:rPr>
            </w:pPr>
            <w:r>
              <w:rPr>
                <w:rFonts w:hint="default" w:ascii="ＭＳ ゴシック" w:hAnsi="ＭＳ ゴシック" w:eastAsia="ＭＳ ゴシック"/>
                <w:sz w:val="21"/>
              </w:rPr>
              <w:t>【身体障がいの等級】</w:t>
            </w:r>
          </w:p>
        </w:tc>
        <w:tc>
          <w:tcPr>
            <w:tcW w:w="3118" w:type="dxa"/>
            <w:gridSpan w:val="6"/>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274" w:type="dxa"/>
            <w:gridSpan w:val="3"/>
            <w:tcMar>
              <w:top w:w="0" w:type="dxa"/>
              <w:bottom w:w="0" w:type="dxa"/>
            </w:tcMar>
            <w:vAlign w:val="bottom"/>
          </w:tcPr>
          <w:p>
            <w:pPr>
              <w:pStyle w:val="54"/>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rHeight w:val="283" w:hRule="atLeast"/>
        </w:trPr>
        <w:tc>
          <w:tcPr>
            <w:tcW w:w="297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snapToGrid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１級</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snapToGrid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２級</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３級</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４級</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５級</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６級</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７級</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r>
              <w:rPr>
                <w:rFonts w:hint="default" w:ascii="ＭＳ ゴシック" w:hAnsi="ＭＳ ゴシック" w:eastAsia="ＭＳ ゴシック"/>
                <w:sz w:val="20"/>
              </w:rPr>
              <w:t>計</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視覚障害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61</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38</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124</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聴覚障害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35</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43</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65</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168</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平行機能障害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spacing w:val="-4"/>
                <w:w w:val="100"/>
                <w:sz w:val="20"/>
              </w:rPr>
            </w:pPr>
            <w:r>
              <w:rPr>
                <w:rFonts w:hint="default" w:ascii="ＭＳ ゴシック" w:hAnsi="ＭＳ ゴシック" w:eastAsia="ＭＳ ゴシック"/>
                <w:spacing w:val="-4"/>
                <w:w w:val="100"/>
                <w:sz w:val="20"/>
              </w:rPr>
              <w:t>音声･言語･咀嚼機能障害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ind w:right="-112" w:rightChars="-5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肢体不自由</w:t>
            </w:r>
            <w:r>
              <w:rPr>
                <w:rFonts w:hint="default" w:ascii="ＭＳ ゴシック" w:hAnsi="ＭＳ ゴシック" w:eastAsia="ＭＳ ゴシック"/>
                <w:w w:val="100"/>
                <w:sz w:val="20"/>
              </w:rPr>
              <w:t>(</w:t>
            </w:r>
            <w:r>
              <w:rPr>
                <w:rFonts w:hint="default" w:ascii="ＭＳ ゴシック" w:hAnsi="ＭＳ ゴシック" w:eastAsia="ＭＳ ゴシック"/>
                <w:w w:val="100"/>
                <w:sz w:val="20"/>
              </w:rPr>
              <w:t>上肢・下肢・四肢</w:t>
            </w:r>
            <w:r>
              <w:rPr>
                <w:rFonts w:hint="default" w:ascii="ＭＳ ゴシック" w:hAnsi="ＭＳ ゴシック" w:eastAsia="ＭＳ ゴシック"/>
                <w:w w:val="100"/>
                <w:sz w:val="20"/>
              </w:rPr>
              <w:t>)</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116</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133</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61</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83</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53</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31</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477</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ind w:right="-112" w:rightChars="-5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肢体不自由</w:t>
            </w:r>
            <w:r>
              <w:rPr>
                <w:rFonts w:hint="default" w:ascii="ＭＳ ゴシック" w:hAnsi="ＭＳ ゴシック" w:eastAsia="ＭＳ ゴシック"/>
                <w:w w:val="100"/>
                <w:sz w:val="20"/>
              </w:rPr>
              <w:t>(</w:t>
            </w:r>
            <w:r>
              <w:rPr>
                <w:rFonts w:hint="default" w:ascii="ＭＳ ゴシック" w:hAnsi="ＭＳ ゴシック" w:eastAsia="ＭＳ ゴシック"/>
                <w:w w:val="100"/>
                <w:sz w:val="20"/>
              </w:rPr>
              <w:t>体幹機能障害</w:t>
            </w:r>
            <w:r>
              <w:rPr>
                <w:rFonts w:hint="default" w:ascii="ＭＳ ゴシック" w:hAnsi="ＭＳ ゴシック" w:eastAsia="ＭＳ ゴシック"/>
                <w:w w:val="100"/>
                <w:sz w:val="20"/>
              </w:rPr>
              <w:t>)</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43</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ind w:right="-112" w:rightChars="-5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肢体不自由</w:t>
            </w:r>
            <w:r>
              <w:rPr>
                <w:rFonts w:hint="default" w:ascii="ＭＳ ゴシック" w:hAnsi="ＭＳ ゴシック" w:eastAsia="ＭＳ ゴシック"/>
                <w:w w:val="100"/>
                <w:sz w:val="20"/>
              </w:rPr>
              <w:t>(</w:t>
            </w:r>
            <w:r>
              <w:rPr>
                <w:rFonts w:hint="default" w:ascii="ＭＳ ゴシック" w:hAnsi="ＭＳ ゴシック" w:eastAsia="ＭＳ ゴシック"/>
                <w:w w:val="100"/>
                <w:sz w:val="20"/>
              </w:rPr>
              <w:t>運動機能障害</w:t>
            </w:r>
            <w:r>
              <w:rPr>
                <w:rFonts w:hint="default" w:ascii="ＭＳ ゴシック" w:hAnsi="ＭＳ ゴシック" w:eastAsia="ＭＳ ゴシック"/>
                <w:w w:val="100"/>
                <w:sz w:val="20"/>
              </w:rPr>
              <w:t>)</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33</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心臓機能障害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208</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122</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445</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じん臓機能障害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呼吸器機能障害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127</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148</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ぼうこう・直腸機能障害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27</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32</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小腸機能障害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r>
      <w:tr>
        <w:trPr>
          <w:trHeight w:val="283" w:hRule="atLeast"/>
        </w:trPr>
        <w:tc>
          <w:tcPr>
            <w:tcW w:w="2972" w:type="dxa"/>
            <w:gridSpan w:val="2"/>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免疫機能障害</w:t>
            </w:r>
          </w:p>
        </w:tc>
        <w:tc>
          <w:tcPr>
            <w:tcW w:w="734"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734"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r>
      <w:tr>
        <w:trPr>
          <w:trHeight w:val="283" w:hRule="atLeast"/>
        </w:trPr>
        <w:tc>
          <w:tcPr>
            <w:tcW w:w="2972" w:type="dxa"/>
            <w:gridSpan w:val="2"/>
            <w:tcBorders>
              <w:top w:val="none" w:color="auto" w:sz="0" w:space="0"/>
              <w:left w:val="single" w:color="000000" w:sz="4" w:space="0"/>
              <w:bottom w:val="double" w:color="auto" w:sz="4"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肝臓機能障害</w:t>
            </w:r>
          </w:p>
        </w:tc>
        <w:tc>
          <w:tcPr>
            <w:tcW w:w="734" w:type="dxa"/>
            <w:gridSpan w:val="2"/>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734"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tcBorders>
              <w:top w:val="single" w:color="000000" w:sz="4" w:space="0"/>
              <w:left w:val="single" w:color="000000" w:sz="4"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4" w:type="dxa"/>
            <w:gridSpan w:val="2"/>
            <w:tcBorders>
              <w:top w:val="single" w:color="000000" w:sz="4" w:space="0"/>
              <w:left w:val="single" w:color="000000"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35" w:type="dxa"/>
            <w:tcBorders>
              <w:top w:val="single" w:color="000000"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single" w:color="000000"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r>
      <w:tr>
        <w:trPr>
          <w:trHeight w:val="283" w:hRule="atLeast"/>
        </w:trPr>
        <w:tc>
          <w:tcPr>
            <w:tcW w:w="2972" w:type="dxa"/>
            <w:gridSpan w:val="2"/>
            <w:tcBorders>
              <w:top w:val="double" w:color="auto" w:sz="4" w:space="0"/>
              <w:left w:val="single" w:color="000000" w:sz="4" w:space="0"/>
              <w:bottom w:val="none" w:color="auto" w:sz="0" w:space="0"/>
              <w:right w:val="none" w:color="auto" w:sz="0" w:space="0"/>
              <w:tl2br w:val="none" w:color="auto" w:sz="0" w:space="0"/>
              <w:tr2bl w:val="none" w:color="auto" w:sz="0" w:space="0"/>
            </w:tcBorders>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計</w:t>
            </w:r>
          </w:p>
        </w:tc>
        <w:tc>
          <w:tcPr>
            <w:tcW w:w="734" w:type="dxa"/>
            <w:gridSpan w:val="2"/>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581</w:t>
            </w:r>
          </w:p>
        </w:tc>
        <w:tc>
          <w:tcPr>
            <w:tcW w:w="734"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233</w:t>
            </w:r>
          </w:p>
        </w:tc>
        <w:tc>
          <w:tcPr>
            <w:tcW w:w="734"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243</w:t>
            </w:r>
          </w:p>
        </w:tc>
        <w:tc>
          <w:tcPr>
            <w:tcW w:w="735"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286</w:t>
            </w:r>
          </w:p>
        </w:tc>
        <w:tc>
          <w:tcPr>
            <w:tcW w:w="734" w:type="dxa"/>
            <w:tcBorders>
              <w:top w:val="double" w:color="auto" w:sz="4" w:space="0"/>
              <w:left w:val="single" w:color="000000" w:sz="4"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72</w:t>
            </w:r>
          </w:p>
        </w:tc>
        <w:tc>
          <w:tcPr>
            <w:tcW w:w="734" w:type="dxa"/>
            <w:gridSpan w:val="2"/>
            <w:tcBorders>
              <w:top w:val="doub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98</w:t>
            </w:r>
          </w:p>
        </w:tc>
        <w:tc>
          <w:tcPr>
            <w:tcW w:w="735"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857" w:type="dxa"/>
            <w:gridSpan w:val="2"/>
            <w:tcBorders>
              <w:top w:val="doub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1,513</w:t>
            </w:r>
          </w:p>
        </w:tc>
      </w:tr>
      <w:tr>
        <w:trPr>
          <w:trHeight w:val="283" w:hRule="atLeast"/>
        </w:trPr>
        <w:tc>
          <w:tcPr>
            <w:tcW w:w="1486" w:type="dxa"/>
            <w:tcBorders>
              <w:top w:val="none" w:color="auto" w:sz="0" w:space="0"/>
              <w:left w:val="single" w:color="000000" w:sz="4" w:space="0"/>
              <w:bottom w:val="single" w:color="000000" w:sz="4" w:space="0"/>
              <w:right w:val="none" w:color="auto" w:sz="0" w:space="0"/>
              <w:tl2br w:val="none" w:color="auto" w:sz="0" w:space="0"/>
              <w:tr2bl w:val="none" w:color="auto" w:sz="0" w:space="0"/>
            </w:tcBorders>
            <w:vAlign w:val="center"/>
          </w:tcPr>
          <w:p>
            <w:pPr>
              <w:pStyle w:val="0"/>
              <w:snapToGrid w:val="0"/>
              <w:spacing w:line="0" w:lineRule="atLeast"/>
              <w:jc w:val="center"/>
              <w:rPr>
                <w:rFonts w:hint="default" w:ascii="ＭＳ ゴシック" w:hAnsi="ＭＳ ゴシック" w:eastAsia="ＭＳ ゴシック"/>
                <w:sz w:val="20"/>
              </w:rPr>
            </w:pPr>
          </w:p>
        </w:tc>
        <w:tc>
          <w:tcPr>
            <w:tcW w:w="1486" w:type="dxa"/>
            <w:tcBorders>
              <w:top w:val="single" w:color="auto" w:sz="4" w:space="0"/>
              <w:left w:val="single" w:color="000000" w:sz="4" w:space="0"/>
              <w:bottom w:val="single" w:color="000000" w:sz="4" w:space="0"/>
              <w:right w:val="none" w:color="auto" w:sz="0" w:space="0"/>
              <w:tl2br w:val="none" w:color="auto" w:sz="0" w:space="0"/>
              <w:tr2bl w:val="none" w:color="auto" w:sz="0" w:space="0"/>
            </w:tcBorders>
            <w:vAlign w:val="center"/>
          </w:tcPr>
          <w:p>
            <w:pPr>
              <w:pStyle w:val="0"/>
              <w:snapToGrid w:val="0"/>
              <w:spacing w:line="0" w:lineRule="atLeast"/>
              <w:jc w:val="center"/>
              <w:rPr>
                <w:rFonts w:hint="default" w:ascii="ＭＳ ゴシック" w:hAnsi="ＭＳ ゴシック" w:eastAsia="ＭＳ ゴシック"/>
                <w:sz w:val="20"/>
              </w:rPr>
            </w:pPr>
            <w:r>
              <w:rPr>
                <w:rFonts w:hint="default" w:ascii="ＭＳ ゴシック" w:hAnsi="ＭＳ ゴシック" w:eastAsia="ＭＳ ゴシック"/>
                <w:sz w:val="20"/>
              </w:rPr>
              <w:t>構成比</w:t>
            </w:r>
          </w:p>
        </w:tc>
        <w:tc>
          <w:tcPr>
            <w:tcW w:w="734" w:type="dxa"/>
            <w:gridSpan w:val="2"/>
            <w:tcBorders>
              <w:top w:val="single" w:color="auto"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38.4</w:t>
            </w:r>
          </w:p>
        </w:tc>
        <w:tc>
          <w:tcPr>
            <w:tcW w:w="734" w:type="dxa"/>
            <w:tcBorders>
              <w:top w:val="single" w:color="auto" w:sz="4" w:space="0"/>
              <w:left w:val="single" w:color="000000" w:sz="4" w:space="0"/>
              <w:bottom w:val="single" w:color="000000"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15.4</w:t>
            </w:r>
          </w:p>
        </w:tc>
        <w:tc>
          <w:tcPr>
            <w:tcW w:w="734" w:type="dxa"/>
            <w:tcBorders>
              <w:top w:val="single" w:color="auto"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16.1</w:t>
            </w:r>
          </w:p>
        </w:tc>
        <w:tc>
          <w:tcPr>
            <w:tcW w:w="735" w:type="dxa"/>
            <w:tcBorders>
              <w:top w:val="single" w:color="auto"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18.9</w:t>
            </w:r>
          </w:p>
        </w:tc>
        <w:tc>
          <w:tcPr>
            <w:tcW w:w="734" w:type="dxa"/>
            <w:tcBorders>
              <w:top w:val="single" w:color="auto"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4.8</w:t>
            </w:r>
          </w:p>
        </w:tc>
        <w:tc>
          <w:tcPr>
            <w:tcW w:w="734" w:type="dxa"/>
            <w:gridSpan w:val="2"/>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6.5</w:t>
            </w:r>
          </w:p>
        </w:tc>
        <w:tc>
          <w:tcPr>
            <w:tcW w:w="735" w:type="dxa"/>
            <w:tcBorders>
              <w:top w:val="single" w:color="auto"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0.0</w:t>
            </w:r>
          </w:p>
        </w:tc>
        <w:tc>
          <w:tcPr>
            <w:tcW w:w="857" w:type="dxa"/>
            <w:gridSpan w:val="2"/>
            <w:tcBorders>
              <w:top w:val="single" w:color="auto" w:sz="4" w:space="0"/>
              <w:left w:val="doub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100.0</w:t>
            </w:r>
          </w:p>
        </w:tc>
      </w:tr>
    </w:tbl>
    <w:p>
      <w:pPr>
        <w:pStyle w:val="68"/>
        <w:spacing w:before="37" w:beforeLines="0" w:beforeAutospacing="0" w:after="0" w:afterLines="0" w:afterAutospacing="0"/>
        <w:ind w:left="1172"/>
        <w:rPr>
          <w:rFonts w:hint="default"/>
        </w:rPr>
      </w:pPr>
      <w:r>
        <w:rPr>
          <w:rFonts w:hint="eastAsia"/>
        </w:rPr>
        <w:t>資料：保健福祉課（令和５年３月末現在）</w:t>
      </w:r>
    </w:p>
    <w:p>
      <w:pPr>
        <w:pStyle w:val="67"/>
        <w:ind w:left="448" w:firstLine="214" w:firstLineChars="100"/>
        <w:rPr>
          <w:rFonts w:hint="default"/>
        </w:rPr>
      </w:pPr>
      <w:r>
        <w:rPr>
          <w:rFonts w:hint="default"/>
        </w:rPr>
        <mc:AlternateContent>
          <mc:Choice Requires="wps">
            <w:drawing>
              <wp:anchor distT="0" distB="0" distL="114300" distR="114300" simplePos="0" relativeHeight="137" behindDoc="0" locked="0" layoutInCell="1" hidden="0" allowOverlap="1">
                <wp:simplePos x="0" y="0"/>
                <wp:positionH relativeFrom="column">
                  <wp:posOffset>2276475</wp:posOffset>
                </wp:positionH>
                <wp:positionV relativeFrom="paragraph">
                  <wp:posOffset>110490</wp:posOffset>
                </wp:positionV>
                <wp:extent cx="1835785" cy="251460"/>
                <wp:effectExtent l="0" t="0" r="635" b="635"/>
                <wp:wrapNone/>
                <wp:docPr id="1124" name="テキスト ボックス 33"/>
                <a:graphic xmlns:a="http://schemas.openxmlformats.org/drawingml/2006/main">
                  <a:graphicData uri="http://schemas.microsoft.com/office/word/2010/wordprocessingShape">
                    <wps:wsp>
                      <wps:cNvPr id="1124" name="テキスト ボックス 33"/>
                      <wps:cNvSpPr txBox="1"/>
                      <wps:spPr>
                        <a:xfrm>
                          <a:off x="0" y="0"/>
                          <a:ext cx="183578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身体障がいの等級</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3" style="mso-wrap-distance-right:9pt;mso-wrap-distance-bottom:0pt;margin-top:8.69pt;mso-position-vertical-relative:text;mso-position-horizontal-relative:text;v-text-anchor:middle;position:absolute;height:19.8pt;mso-wrap-distance-top:0pt;width:144.55000000000001pt;mso-wrap-distance-left:9pt;margin-left:179.25pt;z-index:137;" o:spid="_x0000_s1124" o:allowincell="t" o:allowoverlap="t" filled="f" stroked="f" strokeweight="0.5pt" o:spt="202" type="#_x0000_t202">
                <v:fill/>
                <v:textbox style="layout-flow:horizontal;" inset="0mm,0mm,0mm,0mm">
                  <w:txbxContent>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身体障がいの等級</w:t>
                      </w:r>
                    </w:p>
                  </w:txbxContent>
                </v:textbox>
                <v:imagedata o:title=""/>
                <w10:wrap type="none" anchorx="text" anchory="text"/>
              </v:shape>
            </w:pict>
          </mc:Fallback>
        </mc:AlternateContent>
      </w:r>
    </w:p>
    <w:p>
      <w:pPr>
        <w:pStyle w:val="67"/>
        <w:ind w:left="448" w:firstLine="214" w:firstLineChars="100"/>
        <w:rPr>
          <w:rFonts w:hint="default"/>
        </w:rPr>
      </w:pPr>
      <w:r>
        <w:rPr>
          <w:rFonts w:hint="default"/>
        </w:rPr>
        <w:drawing>
          <wp:anchor distT="0" distB="0" distL="114300" distR="114300" simplePos="0" relativeHeight="131" behindDoc="0" locked="0" layoutInCell="1" hidden="0" allowOverlap="1">
            <wp:simplePos x="0" y="0"/>
            <wp:positionH relativeFrom="column">
              <wp:posOffset>1746885</wp:posOffset>
            </wp:positionH>
            <wp:positionV relativeFrom="paragraph">
              <wp:posOffset>132080</wp:posOffset>
            </wp:positionV>
            <wp:extent cx="2486025" cy="2533650"/>
            <wp:effectExtent l="0" t="0" r="0" b="0"/>
            <wp:wrapNone/>
            <wp:docPr id="1125" name="Picture 3"/>
            <a:graphic xmlns:a="http://schemas.openxmlformats.org/drawingml/2006/main">
              <a:graphicData uri="http://schemas.openxmlformats.org/drawingml/2006/picture">
                <pic:pic xmlns:pic="http://schemas.openxmlformats.org/drawingml/2006/picture">
                  <pic:nvPicPr>
                    <pic:cNvPr id="1125" name="Picture 3"/>
                    <pic:cNvPicPr>
                      <a:picLocks noChangeAspect="1" noChangeArrowheads="1"/>
                    </pic:cNvPicPr>
                  </pic:nvPicPr>
                  <pic:blipFill>
                    <a:blip r:embed="rId10"/>
                    <a:srcRect l="11536" t="12624" r="16772" b="11073"/>
                    <a:stretch>
                      <a:fillRect/>
                    </a:stretch>
                  </pic:blipFill>
                  <pic:spPr>
                    <a:xfrm>
                      <a:off x="0" y="0"/>
                      <a:ext cx="2486025" cy="2533650"/>
                    </a:xfrm>
                    <a:prstGeom prst="rect">
                      <a:avLst/>
                    </a:prstGeom>
                    <a:noFill/>
                    <a:ln>
                      <a:noFill/>
                    </a:ln>
                  </pic:spPr>
                </pic:pic>
              </a:graphicData>
            </a:graphic>
          </wp:anchor>
        </w:drawing>
      </w: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0"/>
        <w:widowControl w:val="1"/>
        <w:jc w:val="left"/>
        <w:rPr>
          <w:rFonts w:hint="default" w:ascii="ＭＳ ゴシック" w:hAnsi="ＭＳ ゴシック" w:eastAsia="ＭＳ ゴシック"/>
        </w:rPr>
      </w:pPr>
      <w:r>
        <w:rPr>
          <w:rFonts w:hint="default"/>
        </w:rPr>
        <w:br w:type="page"/>
      </w:r>
    </w:p>
    <w:p>
      <w:pPr>
        <w:pStyle w:val="76"/>
        <w:spacing w:after="74" w:afterLines="0" w:afterAutospacing="0"/>
        <w:ind w:left="448"/>
        <w:outlineLvl w:val="4"/>
        <w:rPr>
          <w:rFonts w:hint="default"/>
          <w:color w:val="auto"/>
        </w:rPr>
      </w:pPr>
      <w:r>
        <w:rPr>
          <w:rFonts w:hint="eastAsia"/>
          <w:color w:val="auto"/>
        </w:rPr>
        <w:t>②</w:t>
      </w:r>
      <w:r>
        <w:rPr>
          <w:rFonts w:hint="default"/>
          <w:color w:val="auto"/>
        </w:rPr>
        <w:t>知的障がい</w:t>
      </w:r>
    </w:p>
    <w:p>
      <w:pPr>
        <w:pStyle w:val="67"/>
        <w:ind w:left="672" w:leftChars="300" w:firstLine="214" w:firstLineChars="100"/>
        <w:rPr>
          <w:rFonts w:hint="default"/>
        </w:rPr>
      </w:pPr>
      <w:r>
        <w:rPr>
          <w:rFonts w:hint="default"/>
        </w:rPr>
        <w:t>知的障がいの判定では、「Ｂ２</w:t>
      </w:r>
      <w:r>
        <w:rPr>
          <w:rFonts w:hint="default"/>
        </w:rPr>
        <w:t>(</w:t>
      </w:r>
      <w:r>
        <w:rPr>
          <w:rFonts w:hint="default"/>
        </w:rPr>
        <w:t>軽度</w:t>
      </w:r>
      <w:r>
        <w:rPr>
          <w:rFonts w:hint="default"/>
        </w:rPr>
        <w:t>)</w:t>
      </w:r>
      <w:r>
        <w:rPr>
          <w:rFonts w:hint="default"/>
        </w:rPr>
        <w:t>」が</w:t>
      </w:r>
      <w:r>
        <w:rPr>
          <w:rFonts w:hint="default"/>
        </w:rPr>
        <w:t>39.0</w:t>
      </w:r>
      <w:r>
        <w:rPr>
          <w:rFonts w:hint="default"/>
        </w:rPr>
        <w:t>％と最も</w:t>
      </w:r>
      <w:r>
        <w:rPr>
          <w:rFonts w:hint="eastAsia"/>
        </w:rPr>
        <w:t>多く</w:t>
      </w:r>
      <w:r>
        <w:rPr>
          <w:rFonts w:hint="default"/>
        </w:rPr>
        <w:t>、障がいの程度が重くなるほど割合は低く</w:t>
      </w:r>
      <w:r>
        <w:rPr>
          <w:rFonts w:hint="eastAsia"/>
        </w:rPr>
        <w:t>なる傾向にあり</w:t>
      </w:r>
      <w:r>
        <w:rPr>
          <w:rFonts w:hint="default"/>
        </w:rPr>
        <w:t>、「Ａ１</w:t>
      </w:r>
      <w:r>
        <w:rPr>
          <w:rFonts w:hint="default"/>
        </w:rPr>
        <w:t>(</w:t>
      </w:r>
      <w:r>
        <w:rPr>
          <w:rFonts w:hint="default"/>
        </w:rPr>
        <w:t>最重度</w:t>
      </w:r>
      <w:r>
        <w:rPr>
          <w:rFonts w:hint="default"/>
        </w:rPr>
        <w:t>)</w:t>
      </w:r>
      <w:r>
        <w:rPr>
          <w:rFonts w:hint="default"/>
        </w:rPr>
        <w:t>」</w:t>
      </w:r>
      <w:r>
        <w:rPr>
          <w:rFonts w:hint="eastAsia"/>
        </w:rPr>
        <w:t>で</w:t>
      </w:r>
      <w:r>
        <w:rPr>
          <w:rFonts w:hint="default"/>
        </w:rPr>
        <w:t>は</w:t>
      </w:r>
      <w:r>
        <w:rPr>
          <w:rFonts w:hint="default"/>
        </w:rPr>
        <w:t>12.5</w:t>
      </w:r>
      <w:r>
        <w:rPr>
          <w:rFonts w:hint="default"/>
        </w:rPr>
        <w:t>％とな</w:t>
      </w:r>
      <w:r>
        <w:rPr>
          <w:rFonts w:hint="eastAsia"/>
        </w:rPr>
        <w:t>ってい</w:t>
      </w:r>
      <w:r>
        <w:rPr>
          <w:rFonts w:hint="default"/>
        </w:rPr>
        <w:t>ます。</w:t>
      </w:r>
    </w:p>
    <w:p>
      <w:pPr>
        <w:pStyle w:val="67"/>
        <w:spacing w:line="0" w:lineRule="atLeast"/>
        <w:ind w:left="448" w:firstLine="164" w:firstLineChars="100"/>
        <w:rPr>
          <w:rFonts w:hint="default"/>
          <w:sz w:val="16"/>
        </w:rPr>
      </w:pPr>
      <w:r>
        <w:rPr>
          <w:rFonts w:hint="default"/>
          <w:sz w:val="16"/>
        </w:rPr>
        <mc:AlternateContent>
          <mc:Choice Requires="wps">
            <w:drawing>
              <wp:anchor distT="0" distB="0" distL="114300" distR="114300" simplePos="0" relativeHeight="132" behindDoc="0" locked="0" layoutInCell="1" hidden="0" allowOverlap="1">
                <wp:simplePos x="0" y="0"/>
                <wp:positionH relativeFrom="column">
                  <wp:posOffset>3894455</wp:posOffset>
                </wp:positionH>
                <wp:positionV relativeFrom="paragraph">
                  <wp:posOffset>100330</wp:posOffset>
                </wp:positionV>
                <wp:extent cx="1835785" cy="251460"/>
                <wp:effectExtent l="0" t="0" r="635" b="635"/>
                <wp:wrapNone/>
                <wp:docPr id="1126" name="テキスト ボックス 33"/>
                <a:graphic xmlns:a="http://schemas.openxmlformats.org/drawingml/2006/main">
                  <a:graphicData uri="http://schemas.microsoft.com/office/word/2010/wordprocessingShape">
                    <wps:wsp>
                      <wps:cNvPr id="1126" name="テキスト ボックス 33"/>
                      <wps:cNvSpPr txBox="1"/>
                      <wps:spPr>
                        <a:xfrm>
                          <a:off x="0" y="0"/>
                          <a:ext cx="183578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知的障がいの判定</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3" style="mso-wrap-distance-right:9pt;mso-wrap-distance-bottom:0pt;margin-top:7.9pt;mso-position-vertical-relative:text;mso-position-horizontal-relative:text;v-text-anchor:middle;position:absolute;height:19.8pt;mso-wrap-distance-top:0pt;width:144.55000000000001pt;mso-wrap-distance-left:9pt;margin-left:306.64pt;z-index:132;" o:spid="_x0000_s1126" o:allowincell="t" o:allowoverlap="t" filled="f" stroked="f" strokeweight="0.5pt" o:spt="202" type="#_x0000_t202">
                <v:fill/>
                <v:textbox style="layout-flow:horizontal;" inset="0mm,0mm,0mm,0mm">
                  <w:txbxContent>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知的障がいの判定</w:t>
                      </w:r>
                    </w:p>
                  </w:txbxContent>
                </v:textbox>
                <v:imagedata o:title=""/>
                <w10:wrap type="none" anchorx="text" anchory="text"/>
              </v:shape>
            </w:pict>
          </mc:Fallback>
        </mc:AlternateContent>
      </w:r>
      <w:r>
        <w:rPr>
          <w:rFonts w:hint="default"/>
          <w:sz w:val="16"/>
        </w:rPr>
        <w:drawing>
          <wp:anchor distT="0" distB="0" distL="114300" distR="114300" simplePos="0" relativeHeight="134" behindDoc="0" locked="0" layoutInCell="1" hidden="0" allowOverlap="1">
            <wp:simplePos x="0" y="0"/>
            <wp:positionH relativeFrom="column">
              <wp:posOffset>3672205</wp:posOffset>
            </wp:positionH>
            <wp:positionV relativeFrom="page">
              <wp:posOffset>1967865</wp:posOffset>
            </wp:positionV>
            <wp:extent cx="2257425" cy="2495550"/>
            <wp:effectExtent l="0" t="0" r="0" b="0"/>
            <wp:wrapNone/>
            <wp:docPr id="1127" name="Picture 4"/>
            <a:graphic xmlns:a="http://schemas.openxmlformats.org/drawingml/2006/main">
              <a:graphicData uri="http://schemas.openxmlformats.org/drawingml/2006/picture">
                <pic:pic xmlns:pic="http://schemas.openxmlformats.org/drawingml/2006/picture">
                  <pic:nvPicPr>
                    <pic:cNvPr id="1127" name="Picture 4"/>
                    <pic:cNvPicPr>
                      <a:picLocks noChangeAspect="1" noChangeArrowheads="1"/>
                    </pic:cNvPicPr>
                  </pic:nvPicPr>
                  <pic:blipFill>
                    <a:blip r:embed="rId11"/>
                    <a:srcRect l="20313" t="13776" r="14624" b="11040"/>
                    <a:stretch>
                      <a:fillRect/>
                    </a:stretch>
                  </pic:blipFill>
                  <pic:spPr>
                    <a:xfrm>
                      <a:off x="0" y="0"/>
                      <a:ext cx="2257425" cy="2495550"/>
                    </a:xfrm>
                    <a:prstGeom prst="rect">
                      <a:avLst/>
                    </a:prstGeom>
                    <a:noFill/>
                    <a:ln>
                      <a:noFill/>
                    </a:ln>
                  </pic:spPr>
                </pic:pic>
              </a:graphicData>
            </a:graphic>
          </wp:anchor>
        </w:drawing>
      </w:r>
    </w:p>
    <w:tbl>
      <w:tblPr>
        <w:tblStyle w:val="11"/>
        <w:tblW w:w="4536" w:type="dxa"/>
        <w:tblInd w:w="567" w:type="dxa"/>
        <w:shd w:val="clear" w:color="auto" w:fill="FFFF00"/>
        <w:tblLayout w:type="fixed"/>
        <w:tblCellMar>
          <w:top w:w="28" w:type="dxa"/>
          <w:bottom w:w="28" w:type="dxa"/>
        </w:tblCellMar>
        <w:tblLook w:firstRow="0" w:lastRow="0" w:firstColumn="0" w:lastColumn="0" w:noHBand="0" w:noVBand="0" w:val="0000"/>
      </w:tblPr>
      <w:tblGrid>
        <w:gridCol w:w="1843"/>
        <w:gridCol w:w="425"/>
        <w:gridCol w:w="921"/>
        <w:gridCol w:w="1347"/>
      </w:tblGrid>
      <w:tr>
        <w:trPr/>
        <w:tc>
          <w:tcPr>
            <w:tcW w:w="2268"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bottom"/>
          </w:tcPr>
          <w:p>
            <w:pPr>
              <w:pStyle w:val="51"/>
              <w:snapToGrid w:val="0"/>
              <w:spacing w:line="0" w:lineRule="atLeast"/>
              <w:ind w:left="-221"/>
              <w:rPr>
                <w:rFonts w:hint="default" w:ascii="ＭＳ ゴシック" w:hAnsi="ＭＳ ゴシック" w:eastAsia="ＭＳ ゴシック"/>
              </w:rPr>
            </w:pPr>
            <w:r>
              <w:rPr>
                <w:rFonts w:hint="default" w:ascii="ＭＳ ゴシック" w:hAnsi="ＭＳ ゴシック" w:eastAsia="ＭＳ ゴシック"/>
                <w:sz w:val="21"/>
              </w:rPr>
              <w:t>【知的障がいの判定】</w:t>
            </w:r>
          </w:p>
        </w:tc>
        <w:tc>
          <w:tcPr>
            <w:tcW w:w="2268"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bottom"/>
          </w:tcPr>
          <w:p>
            <w:pPr>
              <w:pStyle w:val="54"/>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rHeight w:val="283" w:hRule="atLeast"/>
        </w:trPr>
        <w:tc>
          <w:tcPr>
            <w:tcW w:w="1843"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判定</w:t>
            </w:r>
          </w:p>
        </w:tc>
        <w:tc>
          <w:tcPr>
            <w:tcW w:w="134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45" w:leftChars="-20" w:right="-45" w:rightChars="-20"/>
              <w:jc w:val="center"/>
              <w:rPr>
                <w:rFonts w:hint="default" w:ascii="ＭＳ ゴシック" w:hAnsi="ＭＳ ゴシック" w:eastAsia="ＭＳ ゴシック"/>
                <w:spacing w:val="-4"/>
                <w:kern w:val="0"/>
                <w:sz w:val="20"/>
              </w:rPr>
            </w:pPr>
            <w:r>
              <w:rPr>
                <w:rFonts w:hint="default" w:ascii="ＭＳ ゴシック" w:hAnsi="ＭＳ ゴシック" w:eastAsia="ＭＳ ゴシック"/>
                <w:spacing w:val="-4"/>
                <w:kern w:val="0"/>
                <w:sz w:val="20"/>
              </w:rPr>
              <w:t>人数</w:t>
            </w:r>
          </w:p>
        </w:tc>
        <w:tc>
          <w:tcPr>
            <w:tcW w:w="13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45" w:leftChars="-20" w:right="-45" w:rightChars="-20"/>
              <w:jc w:val="center"/>
              <w:rPr>
                <w:rFonts w:hint="default" w:ascii="ＭＳ ゴシック" w:hAnsi="ＭＳ ゴシック" w:eastAsia="ＭＳ ゴシック"/>
                <w:spacing w:val="-4"/>
                <w:kern w:val="0"/>
                <w:sz w:val="20"/>
              </w:rPr>
            </w:pPr>
            <w:r>
              <w:rPr>
                <w:rFonts w:hint="default" w:ascii="ＭＳ ゴシック" w:hAnsi="ＭＳ ゴシック" w:eastAsia="ＭＳ ゴシック"/>
                <w:spacing w:val="-4"/>
                <w:kern w:val="0"/>
                <w:sz w:val="20"/>
              </w:rPr>
              <w:t>構成比</w:t>
            </w:r>
          </w:p>
        </w:tc>
      </w:tr>
      <w:tr>
        <w:trPr>
          <w:trHeight w:val="283" w:hRule="atLeast"/>
        </w:trPr>
        <w:tc>
          <w:tcPr>
            <w:tcW w:w="1843"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Ａ１（最重度）</w:t>
            </w:r>
          </w:p>
        </w:tc>
        <w:tc>
          <w:tcPr>
            <w:tcW w:w="134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65</w:t>
            </w:r>
          </w:p>
        </w:tc>
        <w:tc>
          <w:tcPr>
            <w:tcW w:w="13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12.5</w:t>
            </w:r>
          </w:p>
        </w:tc>
      </w:tr>
      <w:tr>
        <w:trPr>
          <w:trHeight w:val="283" w:hRule="atLeast"/>
        </w:trPr>
        <w:tc>
          <w:tcPr>
            <w:tcW w:w="1843"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Ａ２（重　度）</w:t>
            </w:r>
          </w:p>
        </w:tc>
        <w:tc>
          <w:tcPr>
            <w:tcW w:w="134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128</w:t>
            </w:r>
          </w:p>
        </w:tc>
        <w:tc>
          <w:tcPr>
            <w:tcW w:w="13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24.6</w:t>
            </w:r>
          </w:p>
        </w:tc>
      </w:tr>
      <w:tr>
        <w:trPr>
          <w:trHeight w:val="283" w:hRule="atLeast"/>
        </w:trPr>
        <w:tc>
          <w:tcPr>
            <w:tcW w:w="1843"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Ｂ１（中　度）</w:t>
            </w:r>
          </w:p>
        </w:tc>
        <w:tc>
          <w:tcPr>
            <w:tcW w:w="134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125</w:t>
            </w:r>
          </w:p>
        </w:tc>
        <w:tc>
          <w:tcPr>
            <w:tcW w:w="13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24.0</w:t>
            </w:r>
          </w:p>
        </w:tc>
      </w:tr>
      <w:tr>
        <w:trPr>
          <w:trHeight w:val="283" w:hRule="atLeast"/>
        </w:trPr>
        <w:tc>
          <w:tcPr>
            <w:tcW w:w="1843"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shd w:val="clear" w:color="auto" w:fill="auto"/>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Ｂ２（軽　度）</w:t>
            </w:r>
          </w:p>
        </w:tc>
        <w:tc>
          <w:tcPr>
            <w:tcW w:w="1346"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203</w:t>
            </w:r>
          </w:p>
        </w:tc>
        <w:tc>
          <w:tcPr>
            <w:tcW w:w="134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39.0</w:t>
            </w:r>
          </w:p>
        </w:tc>
      </w:tr>
      <w:tr>
        <w:trPr>
          <w:trHeight w:val="283" w:hRule="atLeast"/>
        </w:trPr>
        <w:tc>
          <w:tcPr>
            <w:tcW w:w="1843" w:type="dxa"/>
            <w:tcBorders>
              <w:top w:val="doub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計</w:t>
            </w:r>
          </w:p>
        </w:tc>
        <w:tc>
          <w:tcPr>
            <w:tcW w:w="1346"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521</w:t>
            </w:r>
          </w:p>
        </w:tc>
        <w:tc>
          <w:tcPr>
            <w:tcW w:w="134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100.0</w:t>
            </w:r>
          </w:p>
        </w:tc>
      </w:tr>
    </w:tbl>
    <w:p>
      <w:pPr>
        <w:pStyle w:val="68"/>
        <w:spacing w:before="37" w:beforeLines="0" w:beforeAutospacing="0" w:after="0" w:afterLines="0" w:afterAutospacing="0"/>
        <w:ind w:left="1172"/>
        <w:rPr>
          <w:rFonts w:hint="default"/>
        </w:rPr>
      </w:pPr>
      <w:r>
        <w:rPr>
          <w:rFonts w:hint="eastAsia"/>
        </w:rPr>
        <w:t>資料：保健福祉課（令和５年３月末現在）</w:t>
      </w: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76"/>
        <w:spacing w:after="74" w:afterLines="0" w:afterAutospacing="0"/>
        <w:ind w:left="448"/>
        <w:outlineLvl w:val="4"/>
        <w:rPr>
          <w:rFonts w:hint="default"/>
          <w:color w:val="auto"/>
        </w:rPr>
      </w:pPr>
      <w:r>
        <w:rPr>
          <w:rFonts w:hint="default"/>
          <w:color w:val="auto"/>
        </w:rPr>
        <w:t>③</w:t>
      </w:r>
      <w:r>
        <w:rPr>
          <w:rFonts w:hint="default"/>
          <w:color w:val="auto"/>
        </w:rPr>
        <w:t>精神障がい</w:t>
      </w:r>
    </w:p>
    <w:p>
      <w:pPr>
        <w:pStyle w:val="67"/>
        <w:ind w:left="672" w:leftChars="300" w:firstLine="214" w:firstLineChars="100"/>
        <w:rPr>
          <w:rFonts w:hint="default"/>
        </w:rPr>
      </w:pPr>
      <w:r>
        <w:rPr>
          <w:rFonts w:hint="default"/>
        </w:rPr>
        <w:t>精神障がいの程度を表わす等級</w:t>
      </w:r>
      <w:r>
        <w:rPr>
          <w:rFonts w:hint="default"/>
        </w:rPr>
        <w:t>(</w:t>
      </w:r>
      <w:r>
        <w:rPr>
          <w:rFonts w:hint="default"/>
        </w:rPr>
        <w:t>数値が小さいほど重度</w:t>
      </w:r>
      <w:r>
        <w:rPr>
          <w:rFonts w:hint="default"/>
        </w:rPr>
        <w:t>)</w:t>
      </w:r>
      <w:r>
        <w:rPr>
          <w:rFonts w:hint="default"/>
        </w:rPr>
        <w:t>は、「２級」が</w:t>
      </w:r>
      <w:r>
        <w:rPr>
          <w:rFonts w:hint="eastAsia"/>
        </w:rPr>
        <w:t>57.8</w:t>
      </w:r>
      <w:r>
        <w:rPr>
          <w:rFonts w:hint="default"/>
        </w:rPr>
        <w:t>％と最も</w:t>
      </w:r>
      <w:r>
        <w:rPr>
          <w:rFonts w:hint="eastAsia"/>
        </w:rPr>
        <w:t>多く</w:t>
      </w:r>
      <w:r>
        <w:rPr>
          <w:rFonts w:hint="default"/>
        </w:rPr>
        <w:t>、次に「１級」が</w:t>
      </w:r>
      <w:r>
        <w:rPr>
          <w:rFonts w:hint="default"/>
        </w:rPr>
        <w:t>25.2</w:t>
      </w:r>
      <w:r>
        <w:rPr>
          <w:rFonts w:hint="default"/>
        </w:rPr>
        <w:t>％</w:t>
      </w:r>
      <w:r>
        <w:rPr>
          <w:rFonts w:hint="eastAsia"/>
        </w:rPr>
        <w:t>、「３級」が</w:t>
      </w:r>
      <w:r>
        <w:rPr>
          <w:rFonts w:hint="default"/>
        </w:rPr>
        <w:t>17.1</w:t>
      </w:r>
      <w:r>
        <w:rPr>
          <w:rFonts w:hint="eastAsia"/>
        </w:rPr>
        <w:t>％</w:t>
      </w:r>
      <w:r>
        <w:rPr>
          <w:rFonts w:hint="default"/>
        </w:rPr>
        <w:t>とな</w:t>
      </w:r>
      <w:r>
        <w:rPr>
          <w:rFonts w:hint="eastAsia"/>
        </w:rPr>
        <w:t>ってい</w:t>
      </w:r>
      <w:r>
        <w:rPr>
          <w:rFonts w:hint="default"/>
        </w:rPr>
        <w:t>ます。</w:t>
      </w:r>
    </w:p>
    <w:p>
      <w:pPr>
        <w:pStyle w:val="67"/>
        <w:spacing w:line="0" w:lineRule="atLeast"/>
        <w:ind w:left="448" w:firstLine="164" w:firstLineChars="100"/>
        <w:rPr>
          <w:rFonts w:hint="default"/>
          <w:sz w:val="16"/>
        </w:rPr>
      </w:pPr>
      <w:r>
        <w:rPr>
          <w:rFonts w:hint="default"/>
          <w:sz w:val="16"/>
        </w:rPr>
        <mc:AlternateContent>
          <mc:Choice Requires="wps">
            <w:drawing>
              <wp:anchor distT="0" distB="0" distL="114300" distR="114300" simplePos="0" relativeHeight="133" behindDoc="0" locked="0" layoutInCell="1" hidden="0" allowOverlap="1">
                <wp:simplePos x="0" y="0"/>
                <wp:positionH relativeFrom="column">
                  <wp:posOffset>4069715</wp:posOffset>
                </wp:positionH>
                <wp:positionV relativeFrom="paragraph">
                  <wp:posOffset>123190</wp:posOffset>
                </wp:positionV>
                <wp:extent cx="1835785" cy="251460"/>
                <wp:effectExtent l="0" t="0" r="635" b="635"/>
                <wp:wrapNone/>
                <wp:docPr id="1128" name="テキスト ボックス 36"/>
                <a:graphic xmlns:a="http://schemas.openxmlformats.org/drawingml/2006/main">
                  <a:graphicData uri="http://schemas.microsoft.com/office/word/2010/wordprocessingShape">
                    <wps:wsp>
                      <wps:cNvPr id="1128" name="テキスト ボックス 36"/>
                      <wps:cNvSpPr txBox="1"/>
                      <wps:spPr>
                        <a:xfrm>
                          <a:off x="0" y="0"/>
                          <a:ext cx="183578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精神障がいの等級</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6" style="mso-wrap-distance-right:9pt;mso-wrap-distance-bottom:0pt;margin-top:9.69pt;mso-position-vertical-relative:text;mso-position-horizontal-relative:text;v-text-anchor:middle;position:absolute;height:19.8pt;mso-wrap-distance-top:0pt;width:144.55000000000001pt;mso-wrap-distance-left:9pt;margin-left:320.45pt;z-index:133;" o:spid="_x0000_s1128" o:allowincell="t" o:allowoverlap="t" filled="f" stroked="f" strokeweight="0.5pt" o:spt="202" type="#_x0000_t202">
                <v:fill/>
                <v:textbox style="layout-flow:horizontal;" inset="0mm,0mm,0mm,0mm">
                  <w:txbxContent>
                    <w:p>
                      <w:pPr>
                        <w:pStyle w:val="0"/>
                        <w:spacing w:line="0" w:lineRule="atLeast"/>
                        <w:jc w:val="center"/>
                        <w:rPr>
                          <w:rFonts w:hint="default" w:ascii="ＭＳ ゴシック" w:hAnsi="ＭＳ ゴシック" w:eastAsia="ＭＳ ゴシック"/>
                        </w:rPr>
                      </w:pPr>
                      <w:r>
                        <w:rPr>
                          <w:rFonts w:hint="eastAsia" w:ascii="ＭＳ ゴシック" w:hAnsi="ＭＳ ゴシック" w:eastAsia="ＭＳ ゴシック"/>
                        </w:rPr>
                        <w:t>精神障がいの等級</w:t>
                      </w:r>
                    </w:p>
                  </w:txbxContent>
                </v:textbox>
                <v:imagedata o:title=""/>
                <w10:wrap type="none" anchorx="text" anchory="text"/>
              </v:shape>
            </w:pict>
          </mc:Fallback>
        </mc:AlternateContent>
      </w:r>
      <w:r>
        <w:rPr>
          <w:rFonts w:hint="default"/>
          <w:sz w:val="16"/>
        </w:rPr>
        <w:drawing>
          <wp:anchor distT="0" distB="0" distL="114300" distR="114300" simplePos="0" relativeHeight="135" behindDoc="0" locked="0" layoutInCell="1" hidden="0" allowOverlap="1">
            <wp:simplePos x="0" y="0"/>
            <wp:positionH relativeFrom="column">
              <wp:posOffset>3938905</wp:posOffset>
            </wp:positionH>
            <wp:positionV relativeFrom="paragraph">
              <wp:posOffset>368935</wp:posOffset>
            </wp:positionV>
            <wp:extent cx="2124075" cy="2286000"/>
            <wp:effectExtent l="0" t="0" r="0" b="0"/>
            <wp:wrapNone/>
            <wp:docPr id="1129" name="Picture 5"/>
            <a:graphic xmlns:a="http://schemas.openxmlformats.org/drawingml/2006/main">
              <a:graphicData uri="http://schemas.openxmlformats.org/drawingml/2006/picture">
                <pic:pic xmlns:pic="http://schemas.openxmlformats.org/drawingml/2006/picture">
                  <pic:nvPicPr>
                    <pic:cNvPr id="1129" name="Picture 5"/>
                    <pic:cNvPicPr>
                      <a:picLocks noChangeAspect="1" noChangeArrowheads="1"/>
                    </pic:cNvPicPr>
                  </pic:nvPicPr>
                  <pic:blipFill>
                    <a:blip r:embed="rId12"/>
                    <a:srcRect l="21973" t="16638" r="16774" b="14516"/>
                    <a:stretch>
                      <a:fillRect/>
                    </a:stretch>
                  </pic:blipFill>
                  <pic:spPr>
                    <a:xfrm>
                      <a:off x="0" y="0"/>
                      <a:ext cx="2124075" cy="2286000"/>
                    </a:xfrm>
                    <a:prstGeom prst="rect">
                      <a:avLst/>
                    </a:prstGeom>
                    <a:noFill/>
                    <a:ln>
                      <a:noFill/>
                    </a:ln>
                  </pic:spPr>
                </pic:pic>
              </a:graphicData>
            </a:graphic>
          </wp:anchor>
        </w:drawing>
      </w:r>
    </w:p>
    <w:tbl>
      <w:tblPr>
        <w:tblStyle w:val="11"/>
        <w:tblW w:w="4536" w:type="dxa"/>
        <w:tblInd w:w="567" w:type="dxa"/>
        <w:shd w:val="clear" w:color="auto" w:fill="FFFF00"/>
        <w:tblLayout w:type="fixed"/>
        <w:tblCellMar>
          <w:top w:w="28" w:type="dxa"/>
          <w:bottom w:w="28" w:type="dxa"/>
        </w:tblCellMar>
        <w:tblLook w:firstRow="0" w:lastRow="0" w:firstColumn="0" w:lastColumn="0" w:noHBand="0" w:noVBand="0" w:val="0000"/>
      </w:tblPr>
      <w:tblGrid>
        <w:gridCol w:w="1843"/>
        <w:gridCol w:w="425"/>
        <w:gridCol w:w="921"/>
        <w:gridCol w:w="1347"/>
      </w:tblGrid>
      <w:tr>
        <w:trPr/>
        <w:tc>
          <w:tcPr>
            <w:tcW w:w="2268"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bottom"/>
          </w:tcPr>
          <w:p>
            <w:pPr>
              <w:pStyle w:val="51"/>
              <w:snapToGrid w:val="0"/>
              <w:spacing w:line="0" w:lineRule="atLeast"/>
              <w:ind w:left="-221"/>
              <w:rPr>
                <w:rFonts w:hint="default" w:ascii="ＭＳ ゴシック" w:hAnsi="ＭＳ ゴシック" w:eastAsia="ＭＳ ゴシック"/>
              </w:rPr>
            </w:pPr>
            <w:r>
              <w:rPr>
                <w:rFonts w:hint="default" w:ascii="ＭＳ ゴシック" w:hAnsi="ＭＳ ゴシック" w:eastAsia="ＭＳ ゴシック"/>
                <w:sz w:val="21"/>
              </w:rPr>
              <w:t>【精神障がいの等級】</w:t>
            </w:r>
          </w:p>
        </w:tc>
        <w:tc>
          <w:tcPr>
            <w:tcW w:w="2268"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bottom"/>
          </w:tcPr>
          <w:p>
            <w:pPr>
              <w:pStyle w:val="54"/>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rHeight w:val="283" w:hRule="atLeast"/>
        </w:trPr>
        <w:tc>
          <w:tcPr>
            <w:tcW w:w="1843"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r>
              <w:rPr>
                <w:rFonts w:hint="default" w:ascii="ＭＳ ゴシック" w:hAnsi="ＭＳ ゴシック" w:eastAsia="ＭＳ ゴシック"/>
                <w:sz w:val="20"/>
              </w:rPr>
              <w:t>等級</w:t>
            </w:r>
          </w:p>
        </w:tc>
        <w:tc>
          <w:tcPr>
            <w:tcW w:w="134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45" w:leftChars="-20" w:right="-45" w:rightChars="-20"/>
              <w:jc w:val="center"/>
              <w:rPr>
                <w:rFonts w:hint="default" w:ascii="ＭＳ ゴシック" w:hAnsi="ＭＳ ゴシック" w:eastAsia="ＭＳ ゴシック"/>
                <w:spacing w:val="-4"/>
                <w:kern w:val="0"/>
                <w:sz w:val="20"/>
              </w:rPr>
            </w:pPr>
            <w:r>
              <w:rPr>
                <w:rFonts w:hint="default" w:ascii="ＭＳ ゴシック" w:hAnsi="ＭＳ ゴシック" w:eastAsia="ＭＳ ゴシック"/>
                <w:spacing w:val="-4"/>
                <w:kern w:val="0"/>
                <w:sz w:val="20"/>
              </w:rPr>
              <w:t>人数</w:t>
            </w:r>
          </w:p>
        </w:tc>
        <w:tc>
          <w:tcPr>
            <w:tcW w:w="13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45" w:leftChars="-20" w:right="-45" w:rightChars="-20"/>
              <w:jc w:val="center"/>
              <w:rPr>
                <w:rFonts w:hint="default" w:ascii="ＭＳ ゴシック" w:hAnsi="ＭＳ ゴシック" w:eastAsia="ＭＳ ゴシック"/>
                <w:spacing w:val="-4"/>
                <w:kern w:val="0"/>
                <w:sz w:val="20"/>
              </w:rPr>
            </w:pPr>
            <w:r>
              <w:rPr>
                <w:rFonts w:hint="default" w:ascii="ＭＳ ゴシック" w:hAnsi="ＭＳ ゴシック" w:eastAsia="ＭＳ ゴシック"/>
                <w:spacing w:val="-4"/>
                <w:kern w:val="0"/>
                <w:sz w:val="20"/>
              </w:rPr>
              <w:t>構成比</w:t>
            </w:r>
          </w:p>
        </w:tc>
      </w:tr>
      <w:tr>
        <w:trPr>
          <w:trHeight w:val="283" w:hRule="atLeast"/>
        </w:trPr>
        <w:tc>
          <w:tcPr>
            <w:tcW w:w="1843"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１級</w:t>
            </w:r>
          </w:p>
        </w:tc>
        <w:tc>
          <w:tcPr>
            <w:tcW w:w="134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149</w:t>
            </w:r>
          </w:p>
        </w:tc>
        <w:tc>
          <w:tcPr>
            <w:tcW w:w="13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25.2</w:t>
            </w:r>
          </w:p>
        </w:tc>
      </w:tr>
      <w:tr>
        <w:trPr>
          <w:trHeight w:val="283" w:hRule="atLeast"/>
        </w:trPr>
        <w:tc>
          <w:tcPr>
            <w:tcW w:w="1843"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２級</w:t>
            </w:r>
          </w:p>
        </w:tc>
        <w:tc>
          <w:tcPr>
            <w:tcW w:w="134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342</w:t>
            </w:r>
          </w:p>
        </w:tc>
        <w:tc>
          <w:tcPr>
            <w:tcW w:w="13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57.8</w:t>
            </w:r>
          </w:p>
        </w:tc>
      </w:tr>
      <w:tr>
        <w:trPr>
          <w:trHeight w:val="283" w:hRule="atLeast"/>
        </w:trPr>
        <w:tc>
          <w:tcPr>
            <w:tcW w:w="1843"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shd w:val="clear" w:color="auto" w:fill="auto"/>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３級</w:t>
            </w:r>
          </w:p>
        </w:tc>
        <w:tc>
          <w:tcPr>
            <w:tcW w:w="1346"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101</w:t>
            </w:r>
          </w:p>
        </w:tc>
        <w:tc>
          <w:tcPr>
            <w:tcW w:w="134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u w:val="single" w:color="auto"/>
              </w:rPr>
            </w:pPr>
            <w:r>
              <w:rPr>
                <w:rFonts w:hint="default" w:ascii="ＭＳ ゴシック" w:hAnsi="ＭＳ ゴシック" w:eastAsia="ＭＳ ゴシック"/>
                <w:w w:val="100"/>
                <w:sz w:val="20"/>
              </w:rPr>
              <w:t>17.1</w:t>
            </w:r>
          </w:p>
        </w:tc>
      </w:tr>
      <w:tr>
        <w:trPr>
          <w:trHeight w:val="283" w:hRule="atLeast"/>
        </w:trPr>
        <w:tc>
          <w:tcPr>
            <w:tcW w:w="1843" w:type="dxa"/>
            <w:tcBorders>
              <w:top w:val="doub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計</w:t>
            </w:r>
          </w:p>
        </w:tc>
        <w:tc>
          <w:tcPr>
            <w:tcW w:w="1346"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592</w:t>
            </w:r>
          </w:p>
        </w:tc>
        <w:tc>
          <w:tcPr>
            <w:tcW w:w="134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100.0</w:t>
            </w:r>
          </w:p>
        </w:tc>
      </w:tr>
    </w:tbl>
    <w:p>
      <w:pPr>
        <w:pStyle w:val="68"/>
        <w:spacing w:before="37" w:beforeLines="0" w:beforeAutospacing="0" w:after="0" w:afterLines="0" w:afterAutospacing="0"/>
        <w:ind w:left="1172"/>
        <w:rPr>
          <w:rFonts w:hint="default"/>
        </w:rPr>
      </w:pPr>
      <w:r>
        <w:rPr>
          <w:rFonts w:hint="eastAsia"/>
        </w:rPr>
        <w:t>資料：保健福祉課（令和５年３月末現在）</w:t>
      </w:r>
    </w:p>
    <w:p>
      <w:pPr>
        <w:pStyle w:val="67"/>
        <w:ind w:left="448" w:firstLine="214" w:firstLineChars="100"/>
        <w:rPr>
          <w:rFonts w:hint="default"/>
        </w:rPr>
      </w:pPr>
    </w:p>
    <w:p>
      <w:pPr>
        <w:pStyle w:val="0"/>
        <w:widowControl w:val="1"/>
        <w:jc w:val="left"/>
        <w:rPr>
          <w:rFonts w:hint="default" w:ascii="ＭＳ ゴシック" w:hAnsi="ＭＳ ゴシック" w:eastAsia="ＭＳ ゴシック"/>
          <w:sz w:val="24"/>
        </w:rPr>
      </w:pPr>
      <w:r>
        <w:rPr>
          <w:rFonts w:hint="default"/>
        </w:rPr>
        <w:br w:type="page"/>
      </w:r>
    </w:p>
    <w:p>
      <w:pPr>
        <w:pStyle w:val="66"/>
        <w:spacing w:after="74" w:afterLines="0" w:afterAutospacing="0"/>
        <w:ind w:left="112"/>
        <w:outlineLvl w:val="3"/>
        <w:rPr>
          <w:rFonts w:hint="default"/>
          <w:color w:val="auto"/>
          <w:sz w:val="22"/>
        </w:rPr>
      </w:pPr>
      <w:r>
        <w:rPr>
          <w:rFonts w:hint="eastAsia"/>
          <w:color w:val="auto"/>
          <w:sz w:val="22"/>
        </w:rPr>
        <w:t>（５）</w:t>
      </w:r>
      <w:r>
        <w:rPr>
          <w:rFonts w:hint="eastAsia"/>
          <w:color w:val="auto"/>
          <w:sz w:val="22"/>
          <w:u w:val="single" w:color="auto"/>
        </w:rPr>
        <w:t>手当支給・医療費助成の状況</w:t>
      </w:r>
    </w:p>
    <w:p>
      <w:pPr>
        <w:pStyle w:val="76"/>
        <w:spacing w:after="74" w:afterLines="0" w:afterAutospacing="0"/>
        <w:ind w:left="448"/>
        <w:outlineLvl w:val="4"/>
        <w:rPr>
          <w:rFonts w:hint="default"/>
          <w:color w:val="auto"/>
        </w:rPr>
      </w:pPr>
      <w:r>
        <w:rPr>
          <w:rFonts w:hint="eastAsia"/>
          <w:color w:val="auto"/>
        </w:rPr>
        <w:t>①</w:t>
      </w:r>
      <w:r>
        <w:rPr>
          <w:rFonts w:hint="default"/>
          <w:color w:val="auto"/>
        </w:rPr>
        <w:t>手当支給</w:t>
      </w:r>
    </w:p>
    <w:p>
      <w:pPr>
        <w:pStyle w:val="67"/>
        <w:ind w:left="672" w:leftChars="300" w:firstLine="214" w:firstLineChars="100"/>
        <w:rPr>
          <w:rFonts w:hint="default"/>
        </w:rPr>
      </w:pPr>
      <w:r>
        <w:rPr>
          <w:rFonts w:hint="default"/>
          <w:vertAlign w:val="superscript"/>
        </w:rPr>
        <w:t>※</w:t>
      </w:r>
      <w:r>
        <w:rPr>
          <w:rFonts w:hint="default"/>
          <w:vertAlign w:val="superscript"/>
        </w:rPr>
        <w:t>１</w:t>
      </w:r>
      <w:r>
        <w:rPr>
          <w:rFonts w:hint="default"/>
        </w:rPr>
        <w:t>特別児童扶養手当の支給</w:t>
      </w:r>
      <w:r>
        <w:rPr>
          <w:rFonts w:hint="eastAsia"/>
        </w:rPr>
        <w:t>者数</w:t>
      </w:r>
      <w:r>
        <w:rPr>
          <w:rFonts w:hint="default"/>
        </w:rPr>
        <w:t>は毎年</w:t>
      </w:r>
      <w:r>
        <w:rPr>
          <w:rFonts w:hint="eastAsia"/>
        </w:rPr>
        <w:t>度</w:t>
      </w:r>
      <w:r>
        <w:rPr>
          <w:rFonts w:hint="default"/>
        </w:rPr>
        <w:t>増えており、平成</w:t>
      </w:r>
      <w:r>
        <w:rPr>
          <w:rFonts w:hint="eastAsia"/>
        </w:rPr>
        <w:t>30</w:t>
      </w:r>
      <w:r>
        <w:rPr>
          <w:rFonts w:hint="default"/>
        </w:rPr>
        <w:t>年度の</w:t>
      </w:r>
      <w:r>
        <w:rPr>
          <w:rFonts w:hint="default"/>
        </w:rPr>
        <w:t>259</w:t>
      </w:r>
      <w:r>
        <w:rPr>
          <w:rFonts w:hint="default"/>
        </w:rPr>
        <w:t>人から</w:t>
      </w:r>
      <w:r>
        <w:rPr>
          <w:rFonts w:hint="eastAsia"/>
        </w:rPr>
        <w:t>令和４年</w:t>
      </w:r>
      <w:r>
        <w:rPr>
          <w:rFonts w:hint="default"/>
        </w:rPr>
        <w:t>度では</w:t>
      </w:r>
      <w:r>
        <w:rPr>
          <w:rFonts w:hint="default"/>
        </w:rPr>
        <w:t>301</w:t>
      </w:r>
      <w:r>
        <w:rPr>
          <w:rFonts w:hint="default"/>
        </w:rPr>
        <w:t>人と、この４年間で</w:t>
      </w:r>
      <w:r>
        <w:rPr>
          <w:rFonts w:hint="eastAsia"/>
        </w:rPr>
        <w:t>42</w:t>
      </w:r>
      <w:r>
        <w:rPr>
          <w:rFonts w:hint="default"/>
        </w:rPr>
        <w:t>人の増となります。</w:t>
      </w:r>
    </w:p>
    <w:p>
      <w:pPr>
        <w:pStyle w:val="67"/>
        <w:ind w:left="672" w:leftChars="300" w:firstLine="206" w:firstLineChars="100"/>
        <w:rPr>
          <w:rFonts w:hint="default"/>
          <w:spacing w:val="-4"/>
        </w:rPr>
      </w:pPr>
      <w:r>
        <w:rPr>
          <w:rFonts w:hint="default"/>
          <w:spacing w:val="-4"/>
        </w:rPr>
        <w:t>一方、</w:t>
      </w:r>
      <w:r>
        <w:rPr>
          <w:rFonts w:hint="eastAsia"/>
          <w:spacing w:val="-4"/>
        </w:rPr>
        <w:t>平成</w:t>
      </w:r>
      <w:r>
        <w:rPr>
          <w:rFonts w:hint="eastAsia"/>
          <w:spacing w:val="-4"/>
        </w:rPr>
        <w:t>30</w:t>
      </w:r>
      <w:r>
        <w:rPr>
          <w:rFonts w:hint="eastAsia"/>
          <w:spacing w:val="-4"/>
        </w:rPr>
        <w:t>年度以降の</w:t>
      </w:r>
      <w:bookmarkStart w:id="21" w:name="_Hlk156923495"/>
      <w:r>
        <w:rPr>
          <w:rFonts w:hint="default"/>
          <w:spacing w:val="-4"/>
          <w:vertAlign w:val="superscript"/>
        </w:rPr>
        <w:t>※</w:t>
      </w:r>
      <w:r>
        <w:rPr>
          <w:rFonts w:hint="default"/>
          <w:spacing w:val="-4"/>
          <w:vertAlign w:val="superscript"/>
        </w:rPr>
        <w:t>２</w:t>
      </w:r>
      <w:bookmarkEnd w:id="21"/>
      <w:r>
        <w:rPr>
          <w:rFonts w:hint="default"/>
          <w:spacing w:val="-4"/>
        </w:rPr>
        <w:t>特別障害者手当</w:t>
      </w:r>
      <w:r>
        <w:rPr>
          <w:rFonts w:hint="eastAsia"/>
          <w:spacing w:val="-4"/>
        </w:rPr>
        <w:t>の支給者数</w:t>
      </w:r>
      <w:r>
        <w:rPr>
          <w:rFonts w:hint="default"/>
          <w:spacing w:val="-4"/>
        </w:rPr>
        <w:t>は</w:t>
      </w:r>
      <w:r>
        <w:rPr>
          <w:rFonts w:hint="default"/>
          <w:spacing w:val="-4"/>
        </w:rPr>
        <w:t>30</w:t>
      </w:r>
      <w:r>
        <w:rPr>
          <w:rFonts w:hint="default"/>
          <w:spacing w:val="-4"/>
        </w:rPr>
        <w:t>人程度</w:t>
      </w:r>
      <w:r>
        <w:rPr>
          <w:rFonts w:hint="eastAsia"/>
          <w:spacing w:val="-4"/>
        </w:rPr>
        <w:t>で推移し</w:t>
      </w:r>
      <w:r>
        <w:rPr>
          <w:rFonts w:hint="default"/>
          <w:spacing w:val="-4"/>
        </w:rPr>
        <w:t>、</w:t>
      </w:r>
      <w:r>
        <w:rPr>
          <w:rFonts w:hint="default"/>
          <w:spacing w:val="-4"/>
          <w:vertAlign w:val="superscript"/>
        </w:rPr>
        <w:t>※</w:t>
      </w:r>
      <w:r>
        <w:rPr>
          <w:rFonts w:hint="default"/>
          <w:spacing w:val="-4"/>
          <w:vertAlign w:val="superscript"/>
        </w:rPr>
        <w:t>３</w:t>
      </w:r>
      <w:r>
        <w:rPr>
          <w:rFonts w:hint="default"/>
          <w:spacing w:val="-4"/>
        </w:rPr>
        <w:t>障害児福祉手当</w:t>
      </w:r>
      <w:r>
        <w:rPr>
          <w:rFonts w:hint="eastAsia"/>
          <w:spacing w:val="-4"/>
        </w:rPr>
        <w:t>の支給者数</w:t>
      </w:r>
      <w:r>
        <w:rPr>
          <w:rFonts w:hint="default"/>
          <w:spacing w:val="-4"/>
        </w:rPr>
        <w:t>は</w:t>
      </w:r>
      <w:r>
        <w:rPr>
          <w:rFonts w:hint="default"/>
          <w:spacing w:val="-4"/>
        </w:rPr>
        <w:t>40</w:t>
      </w:r>
      <w:r>
        <w:rPr>
          <w:rFonts w:hint="default"/>
          <w:spacing w:val="-4"/>
        </w:rPr>
        <w:t>人程度で推移しています。</w:t>
      </w:r>
    </w:p>
    <w:p>
      <w:pPr>
        <w:pStyle w:val="67"/>
        <w:spacing w:line="0" w:lineRule="atLeast"/>
        <w:ind w:left="448" w:firstLine="164" w:firstLineChars="100"/>
        <w:rPr>
          <w:rFonts w:hint="default"/>
          <w:sz w:val="16"/>
        </w:rPr>
      </w:pPr>
    </w:p>
    <w:tbl>
      <w:tblPr>
        <w:tblStyle w:val="11"/>
        <w:tblW w:w="8969" w:type="dxa"/>
        <w:tblInd w:w="567" w:type="dxa"/>
        <w:tblLayout w:type="fixed"/>
        <w:tblCellMar>
          <w:top w:w="28" w:type="dxa"/>
          <w:bottom w:w="28" w:type="dxa"/>
        </w:tblCellMar>
        <w:tblLook w:firstRow="0" w:lastRow="0" w:firstColumn="0" w:lastColumn="0" w:noHBand="0" w:noVBand="0" w:val="0000"/>
      </w:tblPr>
      <w:tblGrid>
        <w:gridCol w:w="1985"/>
        <w:gridCol w:w="1396"/>
        <w:gridCol w:w="162"/>
        <w:gridCol w:w="1235"/>
        <w:gridCol w:w="1397"/>
        <w:gridCol w:w="484"/>
        <w:gridCol w:w="913"/>
        <w:gridCol w:w="1368"/>
        <w:gridCol w:w="29"/>
      </w:tblGrid>
      <w:tr>
        <w:trPr>
          <w:gridAfter w:val="1"/>
          <w:wAfter w:w="29" w:type="dxa"/>
        </w:trPr>
        <w:tc>
          <w:tcPr>
            <w:tcW w:w="3543" w:type="dxa"/>
            <w:gridSpan w:val="3"/>
            <w:vAlign w:val="bottom"/>
          </w:tcPr>
          <w:p>
            <w:pPr>
              <w:pStyle w:val="51"/>
              <w:snapToGrid w:val="0"/>
              <w:spacing w:line="0" w:lineRule="atLeast"/>
              <w:ind w:left="-221"/>
              <w:rPr>
                <w:rFonts w:hint="default" w:ascii="ＭＳ ゴシック" w:hAnsi="ＭＳ ゴシック" w:eastAsia="ＭＳ ゴシック"/>
              </w:rPr>
            </w:pPr>
            <w:r>
              <w:rPr>
                <w:rFonts w:hint="default" w:ascii="ＭＳ ゴシック" w:hAnsi="ＭＳ ゴシック" w:eastAsia="ＭＳ ゴシック"/>
                <w:sz w:val="21"/>
              </w:rPr>
              <w:t>【</w:t>
            </w:r>
            <w:r>
              <w:rPr>
                <w:rFonts w:hint="eastAsia" w:ascii="ＭＳ ゴシック" w:hAnsi="ＭＳ ゴシック" w:eastAsia="ＭＳ ゴシック"/>
                <w:sz w:val="21"/>
              </w:rPr>
              <w:t>手当支給者数</w:t>
            </w:r>
            <w:r>
              <w:rPr>
                <w:rFonts w:hint="default" w:ascii="ＭＳ ゴシック" w:hAnsi="ＭＳ ゴシック" w:eastAsia="ＭＳ ゴシック"/>
                <w:sz w:val="21"/>
              </w:rPr>
              <w:t>】</w:t>
            </w:r>
          </w:p>
        </w:tc>
        <w:tc>
          <w:tcPr>
            <w:tcW w:w="3116" w:type="dxa"/>
            <w:gridSpan w:val="3"/>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281" w:type="dxa"/>
            <w:gridSpan w:val="2"/>
            <w:tcMar>
              <w:top w:w="0" w:type="dxa"/>
              <w:bottom w:w="0" w:type="dxa"/>
            </w:tcMar>
            <w:vAlign w:val="bottom"/>
          </w:tcPr>
          <w:p>
            <w:pPr>
              <w:pStyle w:val="54"/>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rHeight w:val="283" w:hRule="atLeast"/>
        </w:trPr>
        <w:tc>
          <w:tcPr>
            <w:tcW w:w="1985"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44"/>
              <w:snapToGrid w:val="0"/>
              <w:spacing w:before="0" w:beforeLines="0" w:beforeAutospacing="0" w:after="0" w:afterLines="0" w:afterAutospacing="0"/>
              <w:rPr>
                <w:rFonts w:hint="default" w:ascii="ＭＳ ゴシック" w:hAnsi="ＭＳ ゴシック" w:eastAsia="ＭＳ ゴシック"/>
                <w:w w:val="100"/>
                <w:sz w:val="20"/>
              </w:rPr>
            </w:pPr>
          </w:p>
        </w:tc>
        <w:tc>
          <w:tcPr>
            <w:tcW w:w="139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年度</w:t>
            </w:r>
          </w:p>
        </w:tc>
        <w:tc>
          <w:tcPr>
            <w:tcW w:w="139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令和元年度</w:t>
            </w:r>
          </w:p>
        </w:tc>
        <w:tc>
          <w:tcPr>
            <w:tcW w:w="139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令和２年度</w:t>
            </w:r>
          </w:p>
        </w:tc>
        <w:tc>
          <w:tcPr>
            <w:tcW w:w="139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令和３年度</w:t>
            </w:r>
          </w:p>
        </w:tc>
        <w:tc>
          <w:tcPr>
            <w:tcW w:w="139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令和４年度</w:t>
            </w:r>
          </w:p>
        </w:tc>
      </w:tr>
      <w:tr>
        <w:trPr>
          <w:trHeight w:val="283" w:hRule="atLeast"/>
        </w:trPr>
        <w:tc>
          <w:tcPr>
            <w:tcW w:w="1985"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特別児童扶養手当</w:t>
            </w:r>
          </w:p>
        </w:tc>
        <w:tc>
          <w:tcPr>
            <w:tcW w:w="139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259</w:t>
            </w:r>
          </w:p>
        </w:tc>
        <w:tc>
          <w:tcPr>
            <w:tcW w:w="139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276</w:t>
            </w:r>
          </w:p>
        </w:tc>
        <w:tc>
          <w:tcPr>
            <w:tcW w:w="139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265</w:t>
            </w:r>
          </w:p>
        </w:tc>
        <w:tc>
          <w:tcPr>
            <w:tcW w:w="139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288</w:t>
            </w:r>
          </w:p>
        </w:tc>
        <w:tc>
          <w:tcPr>
            <w:tcW w:w="139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301</w:t>
            </w:r>
          </w:p>
        </w:tc>
      </w:tr>
      <w:tr>
        <w:trPr>
          <w:trHeight w:val="283" w:hRule="atLeast"/>
        </w:trPr>
        <w:tc>
          <w:tcPr>
            <w:tcW w:w="1985"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特別障害者手当</w:t>
            </w:r>
          </w:p>
        </w:tc>
        <w:tc>
          <w:tcPr>
            <w:tcW w:w="139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28</w:t>
            </w:r>
          </w:p>
        </w:tc>
        <w:tc>
          <w:tcPr>
            <w:tcW w:w="139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35</w:t>
            </w:r>
          </w:p>
        </w:tc>
        <w:tc>
          <w:tcPr>
            <w:tcW w:w="139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35</w:t>
            </w:r>
          </w:p>
        </w:tc>
        <w:tc>
          <w:tcPr>
            <w:tcW w:w="139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35</w:t>
            </w:r>
          </w:p>
        </w:tc>
        <w:tc>
          <w:tcPr>
            <w:tcW w:w="139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36</w:t>
            </w:r>
          </w:p>
        </w:tc>
      </w:tr>
      <w:tr>
        <w:trPr>
          <w:trHeight w:val="283" w:hRule="atLeast"/>
        </w:trPr>
        <w:tc>
          <w:tcPr>
            <w:tcW w:w="1985"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vAlign w:val="center"/>
          </w:tcPr>
          <w:p>
            <w:pPr>
              <w:pStyle w:val="0"/>
              <w:snapToGrid w:val="0"/>
              <w:spacing w:line="0" w:lineRule="atLeast"/>
              <w:jc w:val="left"/>
              <w:rPr>
                <w:rFonts w:hint="default" w:ascii="ＭＳ ゴシック" w:hAnsi="ＭＳ ゴシック" w:eastAsia="ＭＳ ゴシック"/>
                <w:sz w:val="20"/>
              </w:rPr>
            </w:pPr>
            <w:r>
              <w:rPr>
                <w:rFonts w:hint="default" w:ascii="ＭＳ ゴシック" w:hAnsi="ＭＳ ゴシック" w:eastAsia="ＭＳ ゴシック"/>
                <w:sz w:val="20"/>
              </w:rPr>
              <w:t>障害児福祉手当</w:t>
            </w:r>
          </w:p>
        </w:tc>
        <w:tc>
          <w:tcPr>
            <w:tcW w:w="139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42</w:t>
            </w:r>
          </w:p>
        </w:tc>
        <w:tc>
          <w:tcPr>
            <w:tcW w:w="1397"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42</w:t>
            </w:r>
          </w:p>
        </w:tc>
        <w:tc>
          <w:tcPr>
            <w:tcW w:w="139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42</w:t>
            </w:r>
          </w:p>
        </w:tc>
        <w:tc>
          <w:tcPr>
            <w:tcW w:w="1397"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46</w:t>
            </w:r>
          </w:p>
        </w:tc>
        <w:tc>
          <w:tcPr>
            <w:tcW w:w="1397"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42</w:t>
            </w:r>
          </w:p>
        </w:tc>
      </w:tr>
      <w:tr>
        <w:trPr>
          <w:trHeight w:val="283" w:hRule="atLeast"/>
        </w:trPr>
        <w:tc>
          <w:tcPr>
            <w:tcW w:w="1985" w:type="dxa"/>
            <w:tcBorders>
              <w:top w:val="double" w:color="auto" w:sz="4"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default" w:ascii="ＭＳ ゴシック" w:hAnsi="ＭＳ ゴシック" w:eastAsia="ＭＳ ゴシック"/>
                <w:w w:val="100"/>
                <w:sz w:val="20"/>
              </w:rPr>
              <w:t>計</w:t>
            </w:r>
          </w:p>
        </w:tc>
        <w:tc>
          <w:tcPr>
            <w:tcW w:w="139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329</w:t>
            </w:r>
          </w:p>
        </w:tc>
        <w:tc>
          <w:tcPr>
            <w:tcW w:w="139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353</w:t>
            </w:r>
          </w:p>
        </w:tc>
        <w:tc>
          <w:tcPr>
            <w:tcW w:w="139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342</w:t>
            </w:r>
          </w:p>
        </w:tc>
        <w:tc>
          <w:tcPr>
            <w:tcW w:w="139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369</w:t>
            </w:r>
          </w:p>
        </w:tc>
        <w:tc>
          <w:tcPr>
            <w:tcW w:w="139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379</w:t>
            </w:r>
          </w:p>
        </w:tc>
      </w:tr>
    </w:tbl>
    <w:p>
      <w:pPr>
        <w:pStyle w:val="68"/>
        <w:spacing w:before="37" w:beforeLines="0" w:beforeAutospacing="0" w:after="0" w:afterLines="0" w:afterAutospacing="0"/>
        <w:ind w:left="1172"/>
        <w:rPr>
          <w:rFonts w:hint="default"/>
        </w:rPr>
      </w:pPr>
      <w:r>
        <w:rPr>
          <w:rFonts w:hint="eastAsia"/>
        </w:rPr>
        <w:t>資料：こども課・保健福祉課（各年度８月１日時点）</w:t>
      </w:r>
    </w:p>
    <w:p>
      <w:pPr>
        <w:pStyle w:val="67"/>
        <w:ind w:left="448" w:firstLine="214" w:firstLineChars="100"/>
        <w:rPr>
          <w:rFonts w:hint="default"/>
        </w:rPr>
      </w:pPr>
    </w:p>
    <w:p>
      <w:pPr>
        <w:pStyle w:val="67"/>
        <w:ind w:left="448" w:firstLine="214" w:firstLineChars="100"/>
        <w:rPr>
          <w:rFonts w:hint="default"/>
        </w:rPr>
      </w:pPr>
    </w:p>
    <w:p>
      <w:pPr>
        <w:pStyle w:val="76"/>
        <w:spacing w:after="74" w:afterLines="0" w:afterAutospacing="0"/>
        <w:ind w:left="448"/>
        <w:outlineLvl w:val="4"/>
        <w:rPr>
          <w:rFonts w:hint="default"/>
          <w:color w:val="auto"/>
        </w:rPr>
      </w:pPr>
      <w:r>
        <w:rPr>
          <w:rFonts w:hint="eastAsia"/>
          <w:color w:val="auto"/>
        </w:rPr>
        <w:t>②</w:t>
      </w:r>
      <w:r>
        <w:rPr>
          <w:rFonts w:hint="default"/>
          <w:color w:val="auto"/>
        </w:rPr>
        <w:t>重度心身障害者</w:t>
      </w:r>
      <w:r>
        <w:rPr>
          <w:rFonts w:hint="default"/>
          <w:color w:val="auto"/>
        </w:rPr>
        <w:t>(</w:t>
      </w:r>
      <w:r>
        <w:rPr>
          <w:rFonts w:hint="default"/>
          <w:color w:val="auto"/>
        </w:rPr>
        <w:t>児</w:t>
      </w:r>
      <w:r>
        <w:rPr>
          <w:rFonts w:hint="default"/>
          <w:color w:val="auto"/>
        </w:rPr>
        <w:t>)</w:t>
      </w:r>
      <w:r>
        <w:rPr>
          <w:rFonts w:hint="default"/>
          <w:color w:val="auto"/>
        </w:rPr>
        <w:t>医療費助成</w:t>
      </w:r>
    </w:p>
    <w:p>
      <w:pPr>
        <w:pStyle w:val="67"/>
        <w:ind w:left="672" w:leftChars="300" w:firstLine="214" w:firstLineChars="100"/>
        <w:rPr>
          <w:rFonts w:hint="default"/>
        </w:rPr>
      </w:pPr>
      <w:r>
        <w:rPr>
          <w:rFonts w:hint="default"/>
          <w:vertAlign w:val="superscript"/>
        </w:rPr>
        <w:t>※</w:t>
      </w:r>
      <w:r>
        <w:rPr>
          <w:rFonts w:hint="default"/>
          <w:vertAlign w:val="superscript"/>
        </w:rPr>
        <w:t>４</w:t>
      </w:r>
      <w:r>
        <w:rPr>
          <w:rFonts w:hint="default"/>
        </w:rPr>
        <w:t>重度心身障害者</w:t>
      </w:r>
      <w:r>
        <w:rPr>
          <w:rFonts w:hint="default"/>
        </w:rPr>
        <w:t>(</w:t>
      </w:r>
      <w:r>
        <w:rPr>
          <w:rFonts w:hint="default"/>
        </w:rPr>
        <w:t>児</w:t>
      </w:r>
      <w:r>
        <w:rPr>
          <w:rFonts w:hint="default"/>
        </w:rPr>
        <w:t>)</w:t>
      </w:r>
      <w:r>
        <w:rPr>
          <w:rFonts w:hint="default"/>
        </w:rPr>
        <w:t>医療費助成者数は、毎年</w:t>
      </w:r>
      <w:r>
        <w:rPr>
          <w:rFonts w:hint="eastAsia"/>
        </w:rPr>
        <w:t>度増えており、平成</w:t>
      </w:r>
      <w:r>
        <w:rPr>
          <w:rFonts w:hint="eastAsia"/>
        </w:rPr>
        <w:t>30</w:t>
      </w:r>
      <w:r>
        <w:rPr>
          <w:rFonts w:hint="eastAsia"/>
        </w:rPr>
        <w:t>年度の</w:t>
      </w:r>
      <w:r>
        <w:rPr>
          <w:rFonts w:hint="default"/>
        </w:rPr>
        <w:t>661</w:t>
      </w:r>
      <w:r>
        <w:rPr>
          <w:rFonts w:hint="eastAsia"/>
        </w:rPr>
        <w:t>人から令和４年度では</w:t>
      </w:r>
      <w:r>
        <w:rPr>
          <w:rFonts w:hint="default"/>
        </w:rPr>
        <w:t>709</w:t>
      </w:r>
      <w:r>
        <w:rPr>
          <w:rFonts w:hint="eastAsia"/>
        </w:rPr>
        <w:t>人と、この４年間で</w:t>
      </w:r>
      <w:r>
        <w:rPr>
          <w:rFonts w:hint="eastAsia"/>
        </w:rPr>
        <w:t>48</w:t>
      </w:r>
      <w:r>
        <w:rPr>
          <w:rFonts w:hint="eastAsia"/>
        </w:rPr>
        <w:t>人の増となります</w:t>
      </w:r>
      <w:r>
        <w:rPr>
          <w:rFonts w:hint="default"/>
        </w:rPr>
        <w:t>。</w:t>
      </w:r>
    </w:p>
    <w:p>
      <w:pPr>
        <w:pStyle w:val="67"/>
        <w:spacing w:line="0" w:lineRule="atLeast"/>
        <w:ind w:left="448" w:firstLine="164" w:firstLineChars="100"/>
        <w:rPr>
          <w:rFonts w:hint="default"/>
          <w:sz w:val="16"/>
        </w:rPr>
      </w:pPr>
    </w:p>
    <w:tbl>
      <w:tblPr>
        <w:tblStyle w:val="11"/>
        <w:tblW w:w="8973"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1736"/>
        <w:gridCol w:w="1447"/>
        <w:gridCol w:w="1392"/>
        <w:gridCol w:w="55"/>
        <w:gridCol w:w="686"/>
        <w:gridCol w:w="762"/>
        <w:gridCol w:w="593"/>
        <w:gridCol w:w="854"/>
        <w:gridCol w:w="1415"/>
        <w:gridCol w:w="33"/>
      </w:tblGrid>
      <w:tr>
        <w:trPr>
          <w:gridAfter w:val="1"/>
          <w:wAfter w:w="33" w:type="dxa"/>
          <w:trHeight w:val="270" w:hRule="atLeast"/>
        </w:trPr>
        <w:tc>
          <w:tcPr>
            <w:tcW w:w="4575" w:type="dxa"/>
            <w:gridSpan w:val="3"/>
            <w:tcBorders>
              <w:top w:val="nil"/>
              <w:left w:val="nil"/>
              <w:bottom w:val="none" w:color="auto" w:sz="0" w:space="0"/>
              <w:right w:val="nil"/>
              <w:tl2br w:val="none" w:color="auto" w:sz="0" w:space="0"/>
              <w:tr2bl w:val="none" w:color="auto" w:sz="0" w:space="0"/>
            </w:tcBorders>
            <w:shd w:val="clear" w:color="auto" w:fill="auto"/>
            <w:vAlign w:val="bottom"/>
          </w:tcPr>
          <w:p>
            <w:pPr>
              <w:pStyle w:val="51"/>
              <w:snapToGrid w:val="0"/>
              <w:spacing w:line="0" w:lineRule="atLeast"/>
              <w:ind w:left="-221"/>
              <w:rPr>
                <w:rFonts w:hint="default" w:ascii="ＭＳ ゴシック" w:hAnsi="ＭＳ ゴシック" w:eastAsia="ＭＳ ゴシック"/>
                <w:kern w:val="0"/>
              </w:rPr>
            </w:pPr>
            <w:r>
              <w:rPr>
                <w:rFonts w:hint="eastAsia" w:ascii="ＭＳ ゴシック" w:hAnsi="ＭＳ ゴシック" w:eastAsia="ＭＳ ゴシック"/>
              </w:rPr>
              <w:t>【</w:t>
            </w:r>
            <w:r>
              <w:rPr>
                <w:rFonts w:hint="eastAsia" w:ascii="ＭＳ ゴシック" w:hAnsi="ＭＳ ゴシック" w:eastAsia="ＭＳ ゴシック"/>
                <w:sz w:val="21"/>
              </w:rPr>
              <w:t>重度心身障害者</w:t>
            </w:r>
            <w:r>
              <w:rPr>
                <w:rFonts w:hint="eastAsia" w:ascii="ＭＳ ゴシック" w:hAnsi="ＭＳ ゴシック" w:eastAsia="ＭＳ ゴシック"/>
                <w:sz w:val="21"/>
              </w:rPr>
              <w:t>(</w:t>
            </w:r>
            <w:r>
              <w:rPr>
                <w:rFonts w:hint="eastAsia" w:ascii="ＭＳ ゴシック" w:hAnsi="ＭＳ ゴシック" w:eastAsia="ＭＳ ゴシック"/>
                <w:sz w:val="21"/>
              </w:rPr>
              <w:t>児</w:t>
            </w:r>
            <w:r>
              <w:rPr>
                <w:rFonts w:hint="eastAsia" w:ascii="ＭＳ ゴシック" w:hAnsi="ＭＳ ゴシック" w:eastAsia="ＭＳ ゴシック"/>
                <w:sz w:val="21"/>
              </w:rPr>
              <w:t>)</w:t>
            </w:r>
            <w:r>
              <w:rPr>
                <w:rFonts w:hint="eastAsia" w:ascii="ＭＳ ゴシック" w:hAnsi="ＭＳ ゴシック" w:eastAsia="ＭＳ ゴシック"/>
                <w:sz w:val="21"/>
              </w:rPr>
              <w:t>医療費助成</w:t>
            </w:r>
            <w:r>
              <w:rPr>
                <w:rFonts w:hint="default" w:ascii="ＭＳ ゴシック" w:hAnsi="ＭＳ ゴシック" w:eastAsia="ＭＳ ゴシック"/>
                <w:sz w:val="21"/>
              </w:rPr>
              <w:t>者数</w:t>
            </w:r>
            <w:r>
              <w:rPr>
                <w:rFonts w:hint="eastAsia" w:ascii="ＭＳ ゴシック" w:hAnsi="ＭＳ ゴシック" w:eastAsia="ＭＳ ゴシック"/>
                <w:sz w:val="21"/>
              </w:rPr>
              <w:t>】</w:t>
            </w:r>
          </w:p>
        </w:tc>
        <w:tc>
          <w:tcPr>
            <w:tcW w:w="741" w:type="dxa"/>
            <w:gridSpan w:val="2"/>
            <w:tcBorders>
              <w:top w:val="nil"/>
              <w:left w:val="nil"/>
              <w:bottom w:val="none" w:color="auto" w:sz="0" w:space="0"/>
              <w:right w:val="nil"/>
              <w:tl2br w:val="none" w:color="auto" w:sz="0" w:space="0"/>
              <w:tr2bl w:val="none" w:color="auto" w:sz="0" w:space="0"/>
            </w:tcBorders>
            <w:shd w:val="clear" w:color="auto" w:fill="auto"/>
            <w:vAlign w:val="bottom"/>
          </w:tcPr>
          <w:p>
            <w:pPr>
              <w:pStyle w:val="0"/>
              <w:snapToGrid w:val="0"/>
              <w:spacing w:line="0" w:lineRule="atLeast"/>
              <w:rPr>
                <w:rFonts w:hint="default" w:ascii="ＭＳ ゴシック" w:hAnsi="ＭＳ ゴシック" w:eastAsia="ＭＳ ゴシック"/>
              </w:rPr>
            </w:pPr>
          </w:p>
        </w:tc>
        <w:tc>
          <w:tcPr>
            <w:tcW w:w="1355" w:type="dxa"/>
            <w:gridSpan w:val="2"/>
            <w:tcBorders>
              <w:top w:val="nil"/>
              <w:left w:val="nil"/>
              <w:bottom w:val="none" w:color="auto" w:sz="0" w:space="0"/>
              <w:right w:val="nil"/>
              <w:tl2br w:val="none" w:color="auto" w:sz="0" w:space="0"/>
              <w:tr2bl w:val="none" w:color="auto" w:sz="0" w:space="0"/>
            </w:tcBorders>
            <w:shd w:val="clear" w:color="auto" w:fill="auto"/>
            <w:vAlign w:val="bottom"/>
          </w:tcPr>
          <w:p>
            <w:pPr>
              <w:pStyle w:val="0"/>
              <w:snapToGrid w:val="0"/>
              <w:spacing w:line="0" w:lineRule="atLeast"/>
              <w:rPr>
                <w:rFonts w:hint="default" w:ascii="ＭＳ ゴシック" w:hAnsi="ＭＳ ゴシック" w:eastAsia="ＭＳ ゴシック"/>
              </w:rPr>
            </w:pPr>
          </w:p>
        </w:tc>
        <w:tc>
          <w:tcPr>
            <w:tcW w:w="2269" w:type="dxa"/>
            <w:gridSpan w:val="2"/>
            <w:tcBorders>
              <w:top w:val="nil"/>
              <w:left w:val="nil"/>
              <w:bottom w:val="none" w:color="auto" w:sz="0" w:space="0"/>
              <w:right w:val="nil"/>
              <w:tl2br w:val="none" w:color="auto" w:sz="0" w:space="0"/>
              <w:tr2bl w:val="none" w:color="auto" w:sz="0" w:space="0"/>
            </w:tcBorders>
            <w:shd w:val="clear" w:color="auto" w:fill="auto"/>
            <w:vAlign w:val="bottom"/>
          </w:tcPr>
          <w:p>
            <w:pPr>
              <w:pStyle w:val="54"/>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bottom w:w="28" w:type="dxa"/>
          </w:tblCellMar>
          <w:tblLook w:firstRow="0" w:lastRow="0" w:firstColumn="0" w:lastColumn="0" w:noHBand="0" w:noVBand="0" w:val="0000"/>
        </w:tblPrEx>
        <w:trPr>
          <w:trHeight w:val="283" w:hRule="atLeast"/>
        </w:trPr>
        <w:tc>
          <w:tcPr>
            <w:tcW w:w="173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spacing w:line="0" w:lineRule="atLeast"/>
              <w:jc w:val="center"/>
              <w:rPr>
                <w:rFonts w:hint="default" w:ascii="ＭＳ ゴシック" w:hAnsi="ＭＳ ゴシック" w:eastAsia="ＭＳ ゴシック"/>
                <w:sz w:val="20"/>
              </w:rPr>
            </w:pPr>
          </w:p>
        </w:tc>
        <w:tc>
          <w:tcPr>
            <w:tcW w:w="1447"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年度</w:t>
            </w:r>
          </w:p>
        </w:tc>
        <w:tc>
          <w:tcPr>
            <w:tcW w:w="144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令和元年度</w:t>
            </w:r>
          </w:p>
        </w:tc>
        <w:tc>
          <w:tcPr>
            <w:tcW w:w="144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令和２年度</w:t>
            </w:r>
          </w:p>
        </w:tc>
        <w:tc>
          <w:tcPr>
            <w:tcW w:w="144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令和３年度</w:t>
            </w:r>
          </w:p>
        </w:tc>
        <w:tc>
          <w:tcPr>
            <w:tcW w:w="144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令和４年度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bottom w:w="28" w:type="dxa"/>
          </w:tblCellMar>
          <w:tblLook w:firstRow="0" w:lastRow="0" w:firstColumn="0" w:lastColumn="0" w:noHBand="0" w:noVBand="0" w:val="0000"/>
        </w:tblPrEx>
        <w:trPr>
          <w:trHeight w:val="283" w:hRule="atLeast"/>
        </w:trPr>
        <w:tc>
          <w:tcPr>
            <w:tcW w:w="1736" w:type="dxa"/>
            <w:tcBorders>
              <w:top w:val="none" w:color="auto" w:sz="0" w:space="0"/>
              <w:left w:val="single" w:color="000000" w:sz="4" w:space="0"/>
              <w:bottom w:val="single" w:color="auto" w:sz="4" w:space="0"/>
              <w:right w:val="single" w:color="auto" w:sz="4" w:space="0"/>
              <w:tl2br w:val="none" w:color="auto" w:sz="0" w:space="0"/>
              <w:tr2bl w:val="none" w:color="auto" w:sz="0" w:space="0"/>
            </w:tcBorders>
            <w:vAlign w:val="center"/>
          </w:tcPr>
          <w:p>
            <w:pPr>
              <w:pStyle w:val="0"/>
              <w:spacing w:line="0" w:lineRule="atLeast"/>
              <w:jc w:val="left"/>
              <w:rPr>
                <w:rFonts w:hint="default" w:ascii="ＭＳ ゴシック" w:hAnsi="ＭＳ ゴシック" w:eastAsia="ＭＳ ゴシック"/>
                <w:sz w:val="20"/>
              </w:rPr>
            </w:pPr>
            <w:bookmarkStart w:id="22" w:name="_Hlk147485541"/>
            <w:r>
              <w:rPr>
                <w:rFonts w:hint="default" w:ascii="ＭＳ ゴシック" w:hAnsi="ＭＳ ゴシック" w:eastAsia="ＭＳ ゴシック"/>
                <w:sz w:val="20"/>
              </w:rPr>
              <w:t>助成者数</w:t>
            </w:r>
            <w:bookmarkEnd w:id="22"/>
          </w:p>
        </w:tc>
        <w:tc>
          <w:tcPr>
            <w:tcW w:w="1447" w:type="dxa"/>
            <w:tcBorders>
              <w:top w:val="single" w:color="000000"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661</w:t>
            </w:r>
          </w:p>
        </w:tc>
        <w:tc>
          <w:tcPr>
            <w:tcW w:w="144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679</w:t>
            </w:r>
          </w:p>
        </w:tc>
        <w:tc>
          <w:tcPr>
            <w:tcW w:w="144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695</w:t>
            </w:r>
          </w:p>
        </w:tc>
        <w:tc>
          <w:tcPr>
            <w:tcW w:w="144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715</w:t>
            </w:r>
          </w:p>
        </w:tc>
        <w:tc>
          <w:tcPr>
            <w:tcW w:w="144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709</w:t>
            </w:r>
          </w:p>
        </w:tc>
      </w:tr>
    </w:tbl>
    <w:p>
      <w:pPr>
        <w:pStyle w:val="68"/>
        <w:spacing w:before="37" w:beforeLines="0" w:beforeAutospacing="0" w:after="0" w:afterLines="0" w:afterAutospacing="0"/>
        <w:ind w:left="1172"/>
        <w:rPr>
          <w:rFonts w:hint="default"/>
        </w:rPr>
      </w:pPr>
      <w:r>
        <w:rPr>
          <w:rFonts w:hint="eastAsia"/>
        </w:rPr>
        <w:t>資料：保健福祉課（各年度８月１日時点）</w:t>
      </w: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spacing w:line="0" w:lineRule="atLeast"/>
        <w:ind w:left="448" w:firstLine="104" w:firstLineChars="100"/>
        <w:rPr>
          <w:rFonts w:hint="default"/>
          <w:sz w:val="10"/>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86"/>
              <w:spacing w:before="74" w:beforeLines="0" w:beforeAutospacing="0"/>
              <w:rPr>
                <w:rFonts w:hint="default"/>
                <w:color w:val="auto"/>
              </w:rPr>
            </w:pPr>
            <w:r>
              <w:rPr>
                <w:rFonts w:hint="eastAsia"/>
                <w:color w:val="auto"/>
              </w:rPr>
              <w:t>※</w:t>
            </w:r>
            <w:r>
              <w:rPr>
                <w:rFonts w:hint="eastAsia"/>
                <w:color w:val="auto"/>
              </w:rPr>
              <w:t xml:space="preserve">1 </w:t>
            </w:r>
            <w:r>
              <w:rPr>
                <w:rFonts w:hint="eastAsia"/>
                <w:color w:val="auto"/>
              </w:rPr>
              <w:t>特別児童扶養手当</w:t>
            </w:r>
          </w:p>
          <w:p>
            <w:pPr>
              <w:pStyle w:val="85"/>
              <w:ind w:left="448" w:firstLine="204"/>
              <w:rPr>
                <w:rFonts w:hint="default"/>
                <w:color w:val="auto"/>
              </w:rPr>
            </w:pPr>
            <w:r>
              <w:rPr>
                <w:rFonts w:hint="eastAsia"/>
                <w:color w:val="auto"/>
              </w:rPr>
              <w:t>心身に重度または中度の障がいがある</w:t>
            </w:r>
            <w:r>
              <w:rPr>
                <w:rFonts w:hint="eastAsia"/>
                <w:color w:val="auto"/>
              </w:rPr>
              <w:t>20</w:t>
            </w:r>
            <w:r>
              <w:rPr>
                <w:rFonts w:hint="eastAsia"/>
                <w:color w:val="auto"/>
              </w:rPr>
              <w:t>歳未満の児童を扶養している父母、あるいは父母に代わって児童を養育している方を対象に手当を支給します。</w:t>
            </w:r>
          </w:p>
          <w:p>
            <w:pPr>
              <w:pStyle w:val="86"/>
              <w:spacing w:before="74" w:beforeLines="0" w:beforeAutospacing="0"/>
              <w:rPr>
                <w:rFonts w:hint="default"/>
                <w:color w:val="auto"/>
              </w:rPr>
            </w:pPr>
            <w:r>
              <w:rPr>
                <w:rFonts w:hint="eastAsia"/>
                <w:color w:val="auto"/>
              </w:rPr>
              <w:t>※</w:t>
            </w:r>
            <w:r>
              <w:rPr>
                <w:rFonts w:hint="eastAsia"/>
                <w:color w:val="auto"/>
              </w:rPr>
              <w:t xml:space="preserve">2 </w:t>
            </w:r>
            <w:r>
              <w:rPr>
                <w:rFonts w:hint="eastAsia"/>
                <w:color w:val="auto"/>
              </w:rPr>
              <w:t>特別障害者手当</w:t>
            </w:r>
          </w:p>
          <w:p>
            <w:pPr>
              <w:pStyle w:val="85"/>
              <w:ind w:left="448" w:firstLine="204"/>
              <w:rPr>
                <w:rFonts w:hint="default"/>
                <w:color w:val="auto"/>
              </w:rPr>
            </w:pPr>
            <w:r>
              <w:rPr>
                <w:rFonts w:hint="eastAsia"/>
                <w:color w:val="auto"/>
              </w:rPr>
              <w:t>精神又は身体に著しい重度の障がいがあるため、日常生活において常時特別の介護を必要とする</w:t>
            </w:r>
            <w:r>
              <w:rPr>
                <w:rFonts w:hint="eastAsia"/>
                <w:color w:val="auto"/>
              </w:rPr>
              <w:t>20</w:t>
            </w:r>
            <w:r>
              <w:rPr>
                <w:rFonts w:hint="eastAsia"/>
                <w:color w:val="auto"/>
              </w:rPr>
              <w:t>歳以上の在宅の障がい者で、福祉保健所長の認定を受けた方に手当を支給します。</w:t>
            </w:r>
          </w:p>
          <w:p>
            <w:pPr>
              <w:pStyle w:val="86"/>
              <w:spacing w:before="74" w:beforeLines="0" w:beforeAutospacing="0"/>
              <w:rPr>
                <w:rFonts w:hint="default"/>
                <w:color w:val="auto"/>
              </w:rPr>
            </w:pPr>
            <w:r>
              <w:rPr>
                <w:rFonts w:hint="eastAsia"/>
                <w:color w:val="auto"/>
              </w:rPr>
              <w:t>※</w:t>
            </w:r>
            <w:r>
              <w:rPr>
                <w:rFonts w:hint="eastAsia"/>
                <w:color w:val="auto"/>
              </w:rPr>
              <w:t xml:space="preserve">3 </w:t>
            </w:r>
            <w:r>
              <w:rPr>
                <w:rFonts w:hint="eastAsia"/>
                <w:color w:val="auto"/>
              </w:rPr>
              <w:t>障害児福祉手当</w:t>
            </w:r>
          </w:p>
          <w:p>
            <w:pPr>
              <w:pStyle w:val="85"/>
              <w:ind w:left="448" w:firstLine="204"/>
              <w:rPr>
                <w:rFonts w:hint="default"/>
                <w:color w:val="auto"/>
              </w:rPr>
            </w:pPr>
            <w:r>
              <w:rPr>
                <w:rFonts w:hint="eastAsia"/>
                <w:color w:val="auto"/>
              </w:rPr>
              <w:t>精神又は身体に著しい重度の障がいがあるため、日常生活において常時特別の介護を必要とする</w:t>
            </w:r>
            <w:r>
              <w:rPr>
                <w:rFonts w:hint="eastAsia"/>
                <w:color w:val="auto"/>
              </w:rPr>
              <w:t>20</w:t>
            </w:r>
            <w:r>
              <w:rPr>
                <w:rFonts w:hint="eastAsia"/>
                <w:color w:val="auto"/>
              </w:rPr>
              <w:t>歳未満の在宅の障がい児で、福祉保健所長の認定を受けた方に手当を支給します。</w:t>
            </w:r>
          </w:p>
          <w:p>
            <w:pPr>
              <w:pStyle w:val="86"/>
              <w:spacing w:before="74" w:beforeLines="0" w:beforeAutospacing="0"/>
              <w:rPr>
                <w:rFonts w:hint="default"/>
                <w:color w:val="auto"/>
              </w:rPr>
            </w:pPr>
            <w:r>
              <w:rPr>
                <w:rFonts w:hint="eastAsia"/>
                <w:color w:val="auto"/>
              </w:rPr>
              <w:t>※</w:t>
            </w:r>
            <w:r>
              <w:rPr>
                <w:rFonts w:hint="eastAsia"/>
                <w:color w:val="auto"/>
              </w:rPr>
              <w:t xml:space="preserve">4 </w:t>
            </w:r>
            <w:r>
              <w:rPr>
                <w:rFonts w:hint="eastAsia"/>
                <w:color w:val="auto"/>
              </w:rPr>
              <w:t>重度心身障害者医療費助成制度</w:t>
            </w:r>
          </w:p>
          <w:p>
            <w:pPr>
              <w:pStyle w:val="85"/>
              <w:ind w:left="448" w:firstLine="204"/>
              <w:rPr>
                <w:rFonts w:hint="default"/>
                <w:color w:val="auto"/>
              </w:rPr>
            </w:pPr>
            <w:r>
              <w:rPr>
                <w:rFonts w:hint="eastAsia"/>
                <w:color w:val="auto"/>
              </w:rPr>
              <w:t>障がい者及び家族の経済的負担を軽減するために、医療機関を受診した場合の医療費の一部負担金を市町村と県で助成する制度です。</w:t>
            </w:r>
          </w:p>
        </w:tc>
      </w:tr>
    </w:tbl>
    <w:p>
      <w:pPr>
        <w:pStyle w:val="0"/>
        <w:widowControl w:val="1"/>
        <w:spacing w:line="20" w:lineRule="exact"/>
        <w:jc w:val="left"/>
        <w:rPr>
          <w:rFonts w:hint="default" w:ascii="ＭＳ ゴシック" w:hAnsi="ＭＳ ゴシック" w:eastAsia="ＭＳ ゴシック"/>
        </w:rPr>
      </w:pPr>
      <w:r>
        <w:rPr>
          <w:rFonts w:hint="default"/>
        </w:rPr>
        <w:br w:type="page"/>
      </w:r>
    </w:p>
    <w:p>
      <w:pPr>
        <w:pStyle w:val="66"/>
        <w:spacing w:after="74" w:afterLines="0" w:afterAutospacing="0"/>
        <w:ind w:left="112"/>
        <w:outlineLvl w:val="3"/>
        <w:rPr>
          <w:rFonts w:hint="default"/>
          <w:color w:val="auto"/>
          <w:sz w:val="22"/>
        </w:rPr>
      </w:pPr>
      <w:r>
        <w:rPr>
          <w:rFonts w:hint="eastAsia"/>
          <w:color w:val="auto"/>
          <w:sz w:val="22"/>
        </w:rPr>
        <w:t>（６）</w:t>
      </w:r>
      <w:r>
        <w:rPr>
          <w:rFonts w:hint="eastAsia"/>
          <w:color w:val="auto"/>
          <w:sz w:val="22"/>
          <w:u w:val="single" w:color="auto"/>
        </w:rPr>
        <w:t>自立支援医療の支給状況</w:t>
      </w:r>
    </w:p>
    <w:p>
      <w:pPr>
        <w:pStyle w:val="76"/>
        <w:spacing w:after="74" w:afterLines="0" w:afterAutospacing="0"/>
        <w:ind w:left="448"/>
        <w:outlineLvl w:val="4"/>
        <w:rPr>
          <w:rFonts w:hint="default"/>
          <w:color w:val="auto"/>
        </w:rPr>
      </w:pPr>
      <w:r>
        <w:rPr>
          <w:rFonts w:hint="eastAsia"/>
          <w:color w:val="auto"/>
        </w:rPr>
        <w:t>①</w:t>
      </w:r>
      <w:r>
        <w:rPr>
          <w:rFonts w:hint="default"/>
          <w:color w:val="auto"/>
        </w:rPr>
        <w:t>育成医療</w:t>
      </w:r>
    </w:p>
    <w:p>
      <w:pPr>
        <w:pStyle w:val="67"/>
        <w:ind w:left="672" w:leftChars="300" w:firstLine="214" w:firstLineChars="100"/>
        <w:rPr>
          <w:rFonts w:hint="default"/>
        </w:rPr>
      </w:pPr>
      <w:r>
        <w:rPr>
          <w:rFonts w:hint="default"/>
          <w:vertAlign w:val="superscript"/>
        </w:rPr>
        <w:t>※</w:t>
      </w:r>
      <w:r>
        <w:rPr>
          <w:rFonts w:hint="default"/>
        </w:rPr>
        <w:t>育成医療の支給者数</w:t>
      </w:r>
      <w:r>
        <w:rPr>
          <w:rFonts w:hint="default"/>
        </w:rPr>
        <w:t>(</w:t>
      </w:r>
      <w:r>
        <w:rPr>
          <w:rFonts w:hint="eastAsia"/>
        </w:rPr>
        <w:t>入院＋入院外</w:t>
      </w:r>
      <w:r>
        <w:rPr>
          <w:rFonts w:hint="default"/>
        </w:rPr>
        <w:t>)</w:t>
      </w:r>
      <w:r>
        <w:rPr>
          <w:rFonts w:hint="default"/>
        </w:rPr>
        <w:t>は</w:t>
      </w:r>
      <w:r>
        <w:rPr>
          <w:rFonts w:hint="eastAsia"/>
        </w:rPr>
        <w:t>、平成</w:t>
      </w:r>
      <w:r>
        <w:rPr>
          <w:rFonts w:hint="eastAsia"/>
        </w:rPr>
        <w:t>30</w:t>
      </w:r>
      <w:r>
        <w:rPr>
          <w:rFonts w:hint="eastAsia"/>
        </w:rPr>
        <w:t>年度では</w:t>
      </w:r>
      <w:r>
        <w:rPr>
          <w:rFonts w:hint="eastAsia"/>
        </w:rPr>
        <w:t>76</w:t>
      </w:r>
      <w:r>
        <w:rPr>
          <w:rFonts w:hint="eastAsia"/>
        </w:rPr>
        <w:t>人でしたが、令和４年度では</w:t>
      </w:r>
      <w:r>
        <w:rPr>
          <w:rFonts w:hint="eastAsia"/>
        </w:rPr>
        <w:t>30</w:t>
      </w:r>
      <w:r>
        <w:rPr>
          <w:rFonts w:hint="eastAsia"/>
        </w:rPr>
        <w:t>人まで減少しています。</w:t>
      </w:r>
    </w:p>
    <w:p>
      <w:pPr>
        <w:pStyle w:val="67"/>
        <w:ind w:left="672" w:leftChars="300" w:firstLine="214" w:firstLineChars="100"/>
        <w:rPr>
          <w:rFonts w:hint="default"/>
        </w:rPr>
      </w:pPr>
      <w:r>
        <w:rPr>
          <w:rFonts w:hint="default"/>
        </w:rPr>
        <w:t>支給の内訳</w:t>
      </w:r>
      <w:r>
        <w:rPr>
          <w:rFonts w:hint="eastAsia"/>
        </w:rPr>
        <w:t>をみると</w:t>
      </w:r>
      <w:r>
        <w:rPr>
          <w:rFonts w:hint="default"/>
        </w:rPr>
        <w:t>、</w:t>
      </w:r>
      <w:r>
        <w:rPr>
          <w:rFonts w:hint="eastAsia"/>
        </w:rPr>
        <w:t>令和２年度までは</w:t>
      </w:r>
      <w:r>
        <w:rPr>
          <w:rFonts w:hint="default"/>
        </w:rPr>
        <w:t>「その他</w:t>
      </w:r>
      <w:r>
        <w:rPr>
          <w:rFonts w:hint="eastAsia"/>
        </w:rPr>
        <w:t>内臓機能障害</w:t>
      </w:r>
      <w:r>
        <w:rPr>
          <w:rFonts w:hint="default"/>
        </w:rPr>
        <w:t>」が最も多く</w:t>
      </w:r>
      <w:r>
        <w:rPr>
          <w:rFonts w:hint="eastAsia"/>
        </w:rPr>
        <w:t>、令和３年度・令和４年度では「肢体不自由」が最も多くなっています。</w:t>
      </w:r>
    </w:p>
    <w:p>
      <w:pPr>
        <w:pStyle w:val="67"/>
        <w:ind w:left="672" w:leftChars="300" w:firstLine="214" w:firstLineChars="100"/>
        <w:rPr>
          <w:rFonts w:hint="default"/>
        </w:rPr>
      </w:pPr>
      <w:r>
        <w:rPr>
          <w:rFonts w:hint="eastAsia"/>
        </w:rPr>
        <w:t>入院、入院外でみても、支給者数はほぼ同数となっています。</w:t>
      </w:r>
    </w:p>
    <w:p>
      <w:pPr>
        <w:pStyle w:val="67"/>
        <w:spacing w:line="0" w:lineRule="atLeast"/>
        <w:ind w:left="448" w:firstLine="164" w:firstLineChars="100"/>
        <w:rPr>
          <w:rFonts w:hint="default"/>
          <w:sz w:val="16"/>
        </w:rPr>
      </w:pPr>
    </w:p>
    <w:tbl>
      <w:tblPr>
        <w:tblStyle w:val="11"/>
        <w:tblW w:w="9067" w:type="dxa"/>
        <w:tblInd w:w="567" w:type="dxa"/>
        <w:tblLayout w:type="fixed"/>
        <w:tblCellMar>
          <w:left w:w="99" w:type="dxa"/>
          <w:right w:w="99" w:type="dxa"/>
        </w:tblCellMar>
        <w:tblLook w:firstRow="1" w:lastRow="0" w:firstColumn="1" w:lastColumn="0" w:noHBand="0" w:noVBand="1" w:val="04A0"/>
      </w:tblPr>
      <w:tblGrid>
        <w:gridCol w:w="572"/>
        <w:gridCol w:w="978"/>
        <w:gridCol w:w="2126"/>
        <w:gridCol w:w="1074"/>
        <w:gridCol w:w="362"/>
        <w:gridCol w:w="713"/>
        <w:gridCol w:w="594"/>
        <w:gridCol w:w="481"/>
        <w:gridCol w:w="826"/>
        <w:gridCol w:w="249"/>
        <w:gridCol w:w="1071"/>
        <w:gridCol w:w="21"/>
      </w:tblGrid>
      <w:tr>
        <w:trPr/>
        <w:tc>
          <w:tcPr>
            <w:tcW w:w="3683" w:type="dxa"/>
            <w:gridSpan w:val="3"/>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51"/>
              <w:snapToGrid w:val="0"/>
              <w:spacing w:line="0" w:lineRule="atLeast"/>
              <w:ind w:left="-221"/>
              <w:rPr>
                <w:rFonts w:hint="default" w:ascii="ＭＳ ゴシック" w:hAnsi="ＭＳ ゴシック" w:eastAsia="ＭＳ ゴシック"/>
                <w:kern w:val="0"/>
                <w:sz w:val="20"/>
              </w:rPr>
            </w:pPr>
            <w:r>
              <w:rPr>
                <w:rFonts w:hint="default" w:ascii="ＭＳ ゴシック" w:hAnsi="ＭＳ ゴシック" w:eastAsia="ＭＳ ゴシック"/>
                <w:sz w:val="21"/>
              </w:rPr>
              <w:t>【育成</w:t>
            </w:r>
            <w:r>
              <w:rPr>
                <w:rFonts w:hint="eastAsia" w:ascii="ＭＳ ゴシック" w:hAnsi="ＭＳ ゴシック" w:eastAsia="ＭＳ ゴシック"/>
                <w:sz w:val="21"/>
              </w:rPr>
              <w:t>医療支給者数】</w:t>
            </w:r>
          </w:p>
        </w:tc>
        <w:tc>
          <w:tcPr>
            <w:tcW w:w="1439"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rPr>
                <w:rFonts w:hint="default" w:ascii="ＭＳ ゴシック" w:hAnsi="ＭＳ ゴシック" w:eastAsia="ＭＳ ゴシック"/>
              </w:rPr>
            </w:pPr>
          </w:p>
        </w:tc>
        <w:tc>
          <w:tcPr>
            <w:tcW w:w="1309"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rPr>
                <w:rFonts w:hint="default" w:ascii="ＭＳ ゴシック" w:hAnsi="ＭＳ ゴシック" w:eastAsia="ＭＳ ゴシック"/>
              </w:rPr>
            </w:pPr>
          </w:p>
        </w:tc>
        <w:tc>
          <w:tcPr>
            <w:tcW w:w="1309"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rPr>
                <w:rFonts w:hint="default" w:ascii="ＭＳ ゴシック" w:hAnsi="ＭＳ ゴシック" w:eastAsia="ＭＳ ゴシック"/>
              </w:rPr>
            </w:pPr>
          </w:p>
        </w:tc>
        <w:tc>
          <w:tcPr>
            <w:tcW w:w="1327" w:type="dxa"/>
            <w:gridSpan w:val="3"/>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bottom"/>
          </w:tcPr>
          <w:p>
            <w:pPr>
              <w:pStyle w:val="54"/>
              <w:snapToGrid w:val="0"/>
              <w:spacing w:line="0" w:lineRule="atLeast"/>
              <w:rPr>
                <w:rFonts w:hint="default"/>
              </w:rPr>
            </w:pPr>
            <w:r>
              <w:rPr>
                <w:rFonts w:hint="default"/>
              </w:rPr>
              <w:t>(</w:t>
            </w:r>
            <w:r>
              <w:rPr>
                <w:rFonts w:hint="default"/>
              </w:rPr>
              <w:t>単位</w:t>
            </w:r>
            <w:r>
              <w:rPr>
                <w:rFonts w:hint="default"/>
              </w:rPr>
              <w:t>:</w:t>
            </w:r>
            <w:r>
              <w:rPr>
                <w:rFonts w:hint="default"/>
              </w:rPr>
              <w:t>件</w:t>
            </w:r>
            <w:r>
              <w:rPr>
                <w:rFonts w:hint="default"/>
              </w:rPr>
              <w:t>)</w:t>
            </w:r>
          </w:p>
        </w:tc>
      </w:tr>
      <w:tr>
        <w:trPr/>
        <w:tc>
          <w:tcPr>
            <w:tcW w:w="3683"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jc w:val="center"/>
              <w:rPr>
                <w:rFonts w:hint="default" w:ascii="ＭＳ ゴシック" w:hAnsi="ＭＳ ゴシック" w:eastAsia="ＭＳ ゴシック"/>
                <w:spacing w:val="-4"/>
                <w:kern w:val="0"/>
                <w:sz w:val="20"/>
              </w:rPr>
            </w:pP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p>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年度</w:t>
            </w:r>
          </w:p>
        </w:tc>
        <w:tc>
          <w:tcPr>
            <w:tcW w:w="107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元年度</w:t>
            </w:r>
          </w:p>
        </w:tc>
        <w:tc>
          <w:tcPr>
            <w:tcW w:w="107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２年度</w:t>
            </w:r>
          </w:p>
        </w:tc>
        <w:tc>
          <w:tcPr>
            <w:tcW w:w="107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３年度</w:t>
            </w:r>
          </w:p>
        </w:tc>
        <w:tc>
          <w:tcPr>
            <w:tcW w:w="1077"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４年度</w:t>
            </w:r>
          </w:p>
        </w:tc>
      </w:tr>
      <w:tr>
        <w:trPr>
          <w:gridAfter w:val="1"/>
          <w:wAfter w:w="21" w:type="dxa"/>
        </w:trPr>
        <w:tc>
          <w:tcPr>
            <w:tcW w:w="57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extDirection w:val="tbRlV"/>
            <w:vAlign w:val="center"/>
          </w:tcPr>
          <w:p>
            <w:pPr>
              <w:pStyle w:val="0"/>
              <w:widowControl w:val="1"/>
              <w:ind w:left="113" w:right="113"/>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入院＋入院外</w:t>
            </w:r>
          </w:p>
        </w:tc>
        <w:tc>
          <w:tcPr>
            <w:tcW w:w="3110"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視覚障害</w:t>
            </w:r>
          </w:p>
        </w:tc>
        <w:tc>
          <w:tcPr>
            <w:tcW w:w="1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gridAfter w:val="1"/>
          <w:wAfter w:w="21" w:type="dxa"/>
        </w:trPr>
        <w:tc>
          <w:tcPr>
            <w:tcW w:w="57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3110"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聴覚・平衡機能障害</w:t>
            </w:r>
          </w:p>
        </w:tc>
        <w:tc>
          <w:tcPr>
            <w:tcW w:w="1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gridAfter w:val="1"/>
          <w:wAfter w:w="21" w:type="dxa"/>
        </w:trPr>
        <w:tc>
          <w:tcPr>
            <w:tcW w:w="57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3110"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音声・言語・そしゃく機能障害</w:t>
            </w:r>
          </w:p>
        </w:tc>
        <w:tc>
          <w:tcPr>
            <w:tcW w:w="1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107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107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r>
      <w:tr>
        <w:trPr>
          <w:gridAfter w:val="1"/>
          <w:wAfter w:w="21" w:type="dxa"/>
        </w:trPr>
        <w:tc>
          <w:tcPr>
            <w:tcW w:w="57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3110"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肢体不自由</w:t>
            </w:r>
          </w:p>
        </w:tc>
        <w:tc>
          <w:tcPr>
            <w:tcW w:w="1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107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107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r>
      <w:tr>
        <w:trPr>
          <w:gridAfter w:val="1"/>
          <w:wAfter w:w="21" w:type="dxa"/>
        </w:trPr>
        <w:tc>
          <w:tcPr>
            <w:tcW w:w="57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98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内臓</w:t>
            </w:r>
            <w:r>
              <w:rPr>
                <w:rFonts w:hint="eastAsia" w:ascii="ＭＳ ゴシック" w:hAnsi="ＭＳ ゴシック" w:eastAsia="ＭＳ ゴシック"/>
                <w:kern w:val="0"/>
                <w:sz w:val="20"/>
              </w:rPr>
              <w:br w:type="textWrapping" w:clear="none"/>
            </w:r>
            <w:r>
              <w:rPr>
                <w:rFonts w:hint="eastAsia" w:ascii="ＭＳ ゴシック" w:hAnsi="ＭＳ ゴシック" w:eastAsia="ＭＳ ゴシック"/>
                <w:kern w:val="0"/>
                <w:sz w:val="20"/>
              </w:rPr>
              <w:t>機能障害</w:t>
            </w:r>
          </w:p>
        </w:tc>
        <w:tc>
          <w:tcPr>
            <w:tcW w:w="213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心臓機能障害</w:t>
            </w:r>
          </w:p>
        </w:tc>
        <w:tc>
          <w:tcPr>
            <w:tcW w:w="10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gridAfter w:val="1"/>
          <w:wAfter w:w="21" w:type="dxa"/>
        </w:trPr>
        <w:tc>
          <w:tcPr>
            <w:tcW w:w="57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980" w:type="dxa"/>
            <w:vMerge w:val="continue"/>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2130"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その他内臓機能障害</w:t>
            </w:r>
          </w:p>
        </w:tc>
        <w:tc>
          <w:tcPr>
            <w:tcW w:w="107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36</w:t>
            </w:r>
          </w:p>
        </w:tc>
        <w:tc>
          <w:tcPr>
            <w:tcW w:w="1073"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37</w:t>
            </w:r>
          </w:p>
        </w:tc>
        <w:tc>
          <w:tcPr>
            <w:tcW w:w="1072"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22</w:t>
            </w:r>
          </w:p>
        </w:tc>
        <w:tc>
          <w:tcPr>
            <w:tcW w:w="1073"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1073"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gridAfter w:val="1"/>
          <w:wAfter w:w="21" w:type="dxa"/>
          <w:trHeight w:val="175" w:hRule="atLeast"/>
        </w:trPr>
        <w:tc>
          <w:tcPr>
            <w:tcW w:w="57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3110"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合計</w:t>
            </w:r>
          </w:p>
        </w:tc>
        <w:tc>
          <w:tcPr>
            <w:tcW w:w="1072"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76</w:t>
            </w:r>
          </w:p>
        </w:tc>
        <w:tc>
          <w:tcPr>
            <w:tcW w:w="1073"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59</w:t>
            </w:r>
          </w:p>
        </w:tc>
        <w:tc>
          <w:tcPr>
            <w:tcW w:w="1072"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40</w:t>
            </w:r>
          </w:p>
        </w:tc>
        <w:tc>
          <w:tcPr>
            <w:tcW w:w="1073"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58</w:t>
            </w:r>
          </w:p>
        </w:tc>
        <w:tc>
          <w:tcPr>
            <w:tcW w:w="107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w:t>
            </w:r>
          </w:p>
        </w:tc>
      </w:tr>
    </w:tbl>
    <w:p>
      <w:pPr>
        <w:pStyle w:val="45"/>
        <w:snapToGrid w:val="0"/>
        <w:spacing w:before="0" w:beforeLines="0" w:beforeAutospacing="0" w:after="0" w:afterLines="0" w:afterAutospacing="0"/>
        <w:jc w:val="center"/>
        <w:rPr>
          <w:rFonts w:hint="default" w:ascii="ＭＳ ゴシック" w:hAnsi="ＭＳ ゴシック" w:eastAsia="ＭＳ ゴシック"/>
          <w:sz w:val="8"/>
        </w:rPr>
      </w:pPr>
    </w:p>
    <w:tbl>
      <w:tblPr>
        <w:tblStyle w:val="11"/>
        <w:tblW w:w="9067" w:type="dxa"/>
        <w:tblInd w:w="562" w:type="dxa"/>
        <w:tblLayout w:type="fixed"/>
        <w:tblCellMar>
          <w:left w:w="99" w:type="dxa"/>
          <w:right w:w="99" w:type="dxa"/>
        </w:tblCellMar>
        <w:tblLook w:firstRow="1" w:lastRow="0" w:firstColumn="1" w:lastColumn="0" w:noHBand="0" w:noVBand="1" w:val="04A0"/>
      </w:tblPr>
      <w:tblGrid>
        <w:gridCol w:w="567"/>
        <w:gridCol w:w="993"/>
        <w:gridCol w:w="2126"/>
        <w:gridCol w:w="1076"/>
        <w:gridCol w:w="1076"/>
        <w:gridCol w:w="1076"/>
        <w:gridCol w:w="1076"/>
        <w:gridCol w:w="1077"/>
      </w:tblGrid>
      <w:tr>
        <w:trPr/>
        <w:tc>
          <w:tcPr>
            <w:tcW w:w="567"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入院</w:t>
            </w:r>
          </w:p>
        </w:tc>
        <w:tc>
          <w:tcPr>
            <w:tcW w:w="311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視覚障害</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311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聴覚・平衡機能障害</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311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音声・言語・そしゃく機能障害</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311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肢体不自由</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9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内臓</w:t>
            </w:r>
            <w:r>
              <w:rPr>
                <w:rFonts w:hint="eastAsia" w:ascii="ＭＳ ゴシック" w:hAnsi="ＭＳ ゴシック" w:eastAsia="ＭＳ ゴシック"/>
                <w:kern w:val="0"/>
                <w:sz w:val="20"/>
              </w:rPr>
              <w:br w:type="textWrapping" w:clear="none"/>
            </w:r>
            <w:r>
              <w:rPr>
                <w:rFonts w:hint="eastAsia" w:ascii="ＭＳ ゴシック" w:hAnsi="ＭＳ ゴシック" w:eastAsia="ＭＳ ゴシック"/>
                <w:kern w:val="0"/>
                <w:sz w:val="20"/>
              </w:rPr>
              <w:t>機能障害</w:t>
            </w:r>
          </w:p>
        </w:tc>
        <w:tc>
          <w:tcPr>
            <w:tcW w:w="21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心臓機能障害</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rHeight w:val="129" w:hRule="atLeast"/>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93" w:type="dxa"/>
            <w:vMerge w:val="continue"/>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212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その他内臓機能障害</w:t>
            </w:r>
          </w:p>
        </w:tc>
        <w:tc>
          <w:tcPr>
            <w:tcW w:w="107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107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c>
          <w:tcPr>
            <w:tcW w:w="107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107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107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single" w:color="auto" w:sz="4" w:space="0"/>
              <w:left w:val="single" w:color="auto" w:sz="4" w:space="0"/>
              <w:bottom w:val="single" w:color="auto" w:sz="12" w:space="0"/>
              <w:right w:val="single" w:color="auto" w:sz="4" w:space="0"/>
              <w:tl2br w:val="none" w:color="auto" w:sz="0" w:space="0"/>
              <w:tr2bl w:val="none" w:color="auto" w:sz="0" w:space="0"/>
            </w:tcBorders>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3119" w:type="dxa"/>
            <w:gridSpan w:val="2"/>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1076"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38</w:t>
            </w:r>
          </w:p>
        </w:tc>
        <w:tc>
          <w:tcPr>
            <w:tcW w:w="1076"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c>
          <w:tcPr>
            <w:tcW w:w="1076"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1076"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c>
          <w:tcPr>
            <w:tcW w:w="1077"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r>
      <w:tr>
        <w:trPr/>
        <w:tc>
          <w:tcPr>
            <w:tcW w:w="567"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入院外</w:t>
            </w:r>
          </w:p>
        </w:tc>
        <w:tc>
          <w:tcPr>
            <w:tcW w:w="3119" w:type="dxa"/>
            <w:gridSpan w:val="2"/>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視覚障害</w:t>
            </w:r>
          </w:p>
        </w:tc>
        <w:tc>
          <w:tcPr>
            <w:tcW w:w="1076"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6"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6"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7"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311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聴覚・平衡機能障害</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311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音声・言語・そしゃく機能障害</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311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肢体不自由</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99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内臓</w:t>
            </w:r>
            <w:r>
              <w:rPr>
                <w:rFonts w:hint="eastAsia" w:ascii="ＭＳ ゴシック" w:hAnsi="ＭＳ ゴシック" w:eastAsia="ＭＳ ゴシック"/>
                <w:kern w:val="0"/>
                <w:sz w:val="20"/>
              </w:rPr>
              <w:br w:type="textWrapping" w:clear="none"/>
            </w:r>
            <w:r>
              <w:rPr>
                <w:rFonts w:hint="eastAsia" w:ascii="ＭＳ ゴシック" w:hAnsi="ＭＳ ゴシック" w:eastAsia="ＭＳ ゴシック"/>
                <w:kern w:val="0"/>
                <w:sz w:val="20"/>
              </w:rPr>
              <w:t>機能障害</w:t>
            </w:r>
          </w:p>
        </w:tc>
        <w:tc>
          <w:tcPr>
            <w:tcW w:w="21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心臓機能障害</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993" w:type="dxa"/>
            <w:vMerge w:val="continue"/>
            <w:tcBorders>
              <w:top w:val="single" w:color="auto" w:sz="4" w:space="0"/>
              <w:left w:val="single" w:color="auto" w:sz="4" w:space="0"/>
              <w:bottom w:val="doub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212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その他内臓機能障害</w:t>
            </w:r>
          </w:p>
        </w:tc>
        <w:tc>
          <w:tcPr>
            <w:tcW w:w="107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107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107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107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07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3119"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107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38</w:t>
            </w:r>
          </w:p>
        </w:tc>
        <w:tc>
          <w:tcPr>
            <w:tcW w:w="107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w:t>
            </w:r>
          </w:p>
        </w:tc>
        <w:tc>
          <w:tcPr>
            <w:tcW w:w="107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22</w:t>
            </w:r>
          </w:p>
        </w:tc>
        <w:tc>
          <w:tcPr>
            <w:tcW w:w="107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c>
          <w:tcPr>
            <w:tcW w:w="107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w:t>
            </w:r>
          </w:p>
        </w:tc>
      </w:tr>
    </w:tbl>
    <w:p>
      <w:pPr>
        <w:pStyle w:val="68"/>
        <w:spacing w:before="37" w:beforeLines="0" w:beforeAutospacing="0" w:after="0" w:afterLines="0" w:afterAutospacing="0"/>
        <w:ind w:left="1172"/>
        <w:rPr>
          <w:rFonts w:hint="default"/>
        </w:rPr>
      </w:pPr>
      <w:r>
        <w:rPr>
          <w:rFonts w:hint="eastAsia"/>
        </w:rPr>
        <w:t>資料：保健福祉課（各年度末時点）</w:t>
      </w: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spacing w:line="0" w:lineRule="atLeast"/>
        <w:ind w:left="448" w:firstLine="184" w:firstLineChars="100"/>
        <w:rPr>
          <w:rFonts w:hint="default"/>
          <w:sz w:val="18"/>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86"/>
              <w:spacing w:before="74" w:beforeLines="0" w:beforeAutospacing="0"/>
              <w:rPr>
                <w:rFonts w:hint="default"/>
                <w:color w:val="auto"/>
              </w:rPr>
            </w:pPr>
            <w:r>
              <w:rPr>
                <w:rFonts w:hint="eastAsia"/>
                <w:color w:val="auto"/>
              </w:rPr>
              <w:t>※</w:t>
            </w:r>
            <w:r>
              <w:rPr>
                <w:rFonts w:hint="eastAsia"/>
                <w:color w:val="auto"/>
              </w:rPr>
              <w:t xml:space="preserve"> </w:t>
            </w:r>
            <w:r>
              <w:rPr>
                <w:rFonts w:hint="eastAsia"/>
                <w:color w:val="auto"/>
              </w:rPr>
              <w:t>育成医療</w:t>
            </w:r>
          </w:p>
          <w:p>
            <w:pPr>
              <w:pStyle w:val="85"/>
              <w:ind w:left="448" w:firstLine="204"/>
              <w:rPr>
                <w:rFonts w:hint="default"/>
                <w:color w:val="auto"/>
              </w:rPr>
            </w:pPr>
            <w:r>
              <w:rPr>
                <w:rFonts w:hint="eastAsia"/>
                <w:color w:val="auto"/>
              </w:rPr>
              <w:t>児童福祉法に規定する障がい児（障がいに係る医療を行わないときは将来障がいを残すと認められる疾患がある児童を含む。）で、その身体障がいを除去、軽減する手術等の治療によって確実に効果が期待できる者に対して提供される、生活の能力を得るために必要な自立支援医療費の支給を行うものです。</w:t>
            </w:r>
          </w:p>
        </w:tc>
      </w:tr>
    </w:tbl>
    <w:p>
      <w:pPr>
        <w:pStyle w:val="0"/>
        <w:widowControl w:val="1"/>
        <w:spacing w:line="20" w:lineRule="exact"/>
        <w:jc w:val="left"/>
        <w:rPr>
          <w:rFonts w:hint="default" w:ascii="ＭＳ ゴシック" w:hAnsi="ＭＳ ゴシック" w:eastAsia="ＭＳ ゴシック"/>
          <w:sz w:val="21"/>
        </w:rPr>
      </w:pPr>
      <w:r>
        <w:rPr>
          <w:rFonts w:hint="default"/>
        </w:rPr>
        <w:br w:type="page"/>
      </w:r>
    </w:p>
    <w:p>
      <w:pPr>
        <w:pStyle w:val="76"/>
        <w:spacing w:after="74" w:afterLines="0" w:afterAutospacing="0"/>
        <w:ind w:left="448"/>
        <w:outlineLvl w:val="4"/>
        <w:rPr>
          <w:rFonts w:hint="default"/>
          <w:color w:val="auto"/>
        </w:rPr>
      </w:pPr>
      <w:r>
        <w:rPr>
          <w:rFonts w:hint="eastAsia"/>
          <w:color w:val="auto"/>
        </w:rPr>
        <w:t>②</w:t>
      </w:r>
      <w:r>
        <w:rPr>
          <w:rFonts w:hint="default"/>
          <w:color w:val="auto"/>
        </w:rPr>
        <w:t>更生医療</w:t>
      </w:r>
    </w:p>
    <w:p>
      <w:pPr>
        <w:pStyle w:val="67"/>
        <w:ind w:left="672" w:leftChars="300" w:firstLine="214" w:firstLineChars="100"/>
        <w:rPr>
          <w:rFonts w:hint="default"/>
        </w:rPr>
      </w:pPr>
      <w:r>
        <w:rPr>
          <w:rFonts w:hint="default"/>
          <w:vertAlign w:val="superscript"/>
        </w:rPr>
        <w:t>※</w:t>
      </w:r>
      <w:r>
        <w:rPr>
          <w:rFonts w:hint="eastAsia"/>
        </w:rPr>
        <w:t>更生医療の支給者数</w:t>
      </w:r>
      <w:r>
        <w:rPr>
          <w:rFonts w:hint="default"/>
        </w:rPr>
        <w:t>(</w:t>
      </w:r>
      <w:r>
        <w:rPr>
          <w:rFonts w:hint="eastAsia"/>
        </w:rPr>
        <w:t>入院＋入院外</w:t>
      </w:r>
      <w:r>
        <w:rPr>
          <w:rFonts w:hint="default"/>
        </w:rPr>
        <w:t>)</w:t>
      </w:r>
      <w:r>
        <w:rPr>
          <w:rFonts w:hint="eastAsia"/>
        </w:rPr>
        <w:t>は、平成</w:t>
      </w:r>
      <w:r>
        <w:rPr>
          <w:rFonts w:hint="eastAsia"/>
        </w:rPr>
        <w:t>30</w:t>
      </w:r>
      <w:r>
        <w:rPr>
          <w:rFonts w:hint="eastAsia"/>
        </w:rPr>
        <w:t>年度では</w:t>
      </w:r>
      <w:r>
        <w:rPr>
          <w:rFonts w:hint="eastAsia"/>
        </w:rPr>
        <w:t>243</w:t>
      </w:r>
      <w:r>
        <w:rPr>
          <w:rFonts w:hint="eastAsia"/>
        </w:rPr>
        <w:t>人ですが、令和４年度では</w:t>
      </w:r>
      <w:r>
        <w:rPr>
          <w:rFonts w:hint="eastAsia"/>
        </w:rPr>
        <w:t>323</w:t>
      </w:r>
      <w:r>
        <w:rPr>
          <w:rFonts w:hint="eastAsia"/>
        </w:rPr>
        <w:t>人と</w:t>
      </w:r>
      <w:r>
        <w:rPr>
          <w:rFonts w:hint="eastAsia"/>
        </w:rPr>
        <w:t>300</w:t>
      </w:r>
      <w:r>
        <w:rPr>
          <w:rFonts w:hint="eastAsia"/>
        </w:rPr>
        <w:t>人を超えています。</w:t>
      </w:r>
    </w:p>
    <w:p>
      <w:pPr>
        <w:pStyle w:val="67"/>
        <w:ind w:left="672" w:leftChars="300" w:firstLine="214" w:firstLineChars="100"/>
        <w:rPr>
          <w:rFonts w:hint="default"/>
        </w:rPr>
      </w:pPr>
      <w:r>
        <w:rPr>
          <w:rFonts w:hint="eastAsia"/>
        </w:rPr>
        <w:t>支給の内訳をみると、ほとんどが「内臓機能障害」で、そのうち「じん臓機能障害」が毎年度最も多く、</w:t>
      </w:r>
      <w:r>
        <w:rPr>
          <w:rFonts w:hint="eastAsia"/>
        </w:rPr>
        <w:t>200</w:t>
      </w:r>
      <w:r>
        <w:rPr>
          <w:rFonts w:hint="eastAsia"/>
        </w:rPr>
        <w:t>人台で推移しています。次に「心臓機能障害」となっています。</w:t>
      </w:r>
    </w:p>
    <w:p>
      <w:pPr>
        <w:pStyle w:val="67"/>
        <w:ind w:left="672" w:leftChars="300" w:firstLine="214" w:firstLineChars="100"/>
        <w:rPr>
          <w:rFonts w:hint="default"/>
        </w:rPr>
      </w:pPr>
      <w:r>
        <w:rPr>
          <w:rFonts w:hint="eastAsia"/>
        </w:rPr>
        <w:t>入院、入院外別にみても、平成</w:t>
      </w:r>
      <w:r>
        <w:rPr>
          <w:rFonts w:hint="eastAsia"/>
        </w:rPr>
        <w:t>30</w:t>
      </w:r>
      <w:r>
        <w:rPr>
          <w:rFonts w:hint="eastAsia"/>
        </w:rPr>
        <w:t>年度に比べて、令和４年度の支給者数は増加しています。また、いずれも「じん臓機能障害」が毎年度最も多くなっています。</w:t>
      </w:r>
    </w:p>
    <w:p>
      <w:pPr>
        <w:pStyle w:val="67"/>
        <w:spacing w:line="0" w:lineRule="atLeast"/>
        <w:ind w:left="448" w:firstLine="164" w:firstLineChars="100"/>
        <w:rPr>
          <w:rFonts w:hint="default"/>
          <w:sz w:val="16"/>
        </w:rPr>
      </w:pPr>
    </w:p>
    <w:tbl>
      <w:tblPr>
        <w:tblStyle w:val="11"/>
        <w:tblW w:w="9067" w:type="dxa"/>
        <w:tblInd w:w="567" w:type="dxa"/>
        <w:tblLayout w:type="fixed"/>
        <w:tblCellMar>
          <w:left w:w="99" w:type="dxa"/>
          <w:right w:w="99" w:type="dxa"/>
        </w:tblCellMar>
        <w:tblLook w:firstRow="1" w:lastRow="0" w:firstColumn="1" w:lastColumn="0" w:noHBand="0" w:noVBand="1" w:val="04A0"/>
      </w:tblPr>
      <w:tblGrid>
        <w:gridCol w:w="558"/>
        <w:gridCol w:w="1003"/>
        <w:gridCol w:w="2125"/>
        <w:gridCol w:w="1076"/>
        <w:gridCol w:w="375"/>
        <w:gridCol w:w="701"/>
        <w:gridCol w:w="609"/>
        <w:gridCol w:w="467"/>
        <w:gridCol w:w="843"/>
        <w:gridCol w:w="233"/>
        <w:gridCol w:w="1077"/>
      </w:tblGrid>
      <w:tr>
        <w:trPr/>
        <w:tc>
          <w:tcPr>
            <w:tcW w:w="3686" w:type="dxa"/>
            <w:gridSpan w:val="3"/>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51"/>
              <w:snapToGrid w:val="0"/>
              <w:spacing w:line="0" w:lineRule="atLeast"/>
              <w:ind w:left="-221"/>
              <w:rPr>
                <w:rFonts w:hint="default" w:ascii="ＭＳ ゴシック" w:hAnsi="ＭＳ ゴシック" w:eastAsia="ＭＳ ゴシック"/>
                <w:kern w:val="0"/>
                <w:sz w:val="20"/>
              </w:rPr>
            </w:pPr>
            <w:r>
              <w:rPr>
                <w:rFonts w:hint="default" w:ascii="ＭＳ ゴシック" w:hAnsi="ＭＳ ゴシック" w:eastAsia="ＭＳ ゴシック"/>
                <w:sz w:val="21"/>
              </w:rPr>
              <w:t>【</w:t>
            </w:r>
            <w:r>
              <w:rPr>
                <w:rFonts w:hint="eastAsia" w:ascii="ＭＳ ゴシック" w:hAnsi="ＭＳ ゴシック" w:eastAsia="ＭＳ ゴシック"/>
                <w:sz w:val="21"/>
              </w:rPr>
              <w:t>更生医療支給者数】</w:t>
            </w:r>
          </w:p>
        </w:tc>
        <w:tc>
          <w:tcPr>
            <w:tcW w:w="145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rPr>
                <w:rFonts w:hint="default" w:ascii="ＭＳ ゴシック" w:hAnsi="ＭＳ ゴシック" w:eastAsia="ＭＳ ゴシック"/>
              </w:rPr>
            </w:pPr>
          </w:p>
        </w:tc>
        <w:tc>
          <w:tcPr>
            <w:tcW w:w="1310"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rPr>
                <w:rFonts w:hint="default" w:ascii="ＭＳ ゴシック" w:hAnsi="ＭＳ ゴシック" w:eastAsia="ＭＳ ゴシック"/>
              </w:rPr>
            </w:pPr>
          </w:p>
        </w:tc>
        <w:tc>
          <w:tcPr>
            <w:tcW w:w="1310"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rPr>
                <w:rFonts w:hint="default" w:ascii="ＭＳ ゴシック" w:hAnsi="ＭＳ ゴシック" w:eastAsia="ＭＳ ゴシック"/>
              </w:rPr>
            </w:pPr>
          </w:p>
        </w:tc>
        <w:tc>
          <w:tcPr>
            <w:tcW w:w="1310"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bottom"/>
          </w:tcPr>
          <w:p>
            <w:pPr>
              <w:pStyle w:val="54"/>
              <w:snapToGrid w:val="0"/>
              <w:spacing w:line="0" w:lineRule="atLeast"/>
              <w:rPr>
                <w:rFonts w:hint="default"/>
              </w:rPr>
            </w:pPr>
            <w:r>
              <w:rPr>
                <w:rFonts w:hint="default"/>
              </w:rPr>
              <w:t>(</w:t>
            </w:r>
            <w:r>
              <w:rPr>
                <w:rFonts w:hint="default"/>
              </w:rPr>
              <w:t>単位</w:t>
            </w:r>
            <w:r>
              <w:rPr>
                <w:rFonts w:hint="default"/>
              </w:rPr>
              <w:t>:</w:t>
            </w:r>
            <w:r>
              <w:rPr>
                <w:rFonts w:hint="default"/>
              </w:rPr>
              <w:t>件</w:t>
            </w:r>
            <w:r>
              <w:rPr>
                <w:rFonts w:hint="default"/>
              </w:rPr>
              <w:t>)</w:t>
            </w:r>
          </w:p>
        </w:tc>
      </w:tr>
      <w:tr>
        <w:trPr/>
        <w:tc>
          <w:tcPr>
            <w:tcW w:w="3686"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　</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p>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年度</w:t>
            </w:r>
          </w:p>
        </w:tc>
        <w:tc>
          <w:tcPr>
            <w:tcW w:w="107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spacing w:val="-4"/>
                <w:kern w:val="0"/>
                <w:sz w:val="20"/>
              </w:rPr>
              <w:t>元年度</w:t>
            </w:r>
          </w:p>
        </w:tc>
        <w:tc>
          <w:tcPr>
            <w:tcW w:w="107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spacing w:val="-4"/>
                <w:kern w:val="0"/>
                <w:sz w:val="20"/>
              </w:rPr>
              <w:t>２年度</w:t>
            </w:r>
          </w:p>
        </w:tc>
        <w:tc>
          <w:tcPr>
            <w:tcW w:w="107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spacing w:val="-4"/>
                <w:kern w:val="0"/>
                <w:sz w:val="20"/>
              </w:rPr>
              <w:t>３年度</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spacing w:line="0" w:lineRule="atLeast"/>
              <w:ind w:left="-112" w:leftChars="-50" w:right="-112" w:rightChars="-5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spacing w:val="-4"/>
                <w:kern w:val="0"/>
                <w:sz w:val="20"/>
              </w:rPr>
              <w:t>４年度</w:t>
            </w:r>
          </w:p>
        </w:tc>
      </w:tr>
      <w:tr>
        <w:trPr/>
        <w:tc>
          <w:tcPr>
            <w:tcW w:w="558"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入院＋入院外</w:t>
            </w:r>
          </w:p>
        </w:tc>
        <w:tc>
          <w:tcPr>
            <w:tcW w:w="3128" w:type="dxa"/>
            <w:gridSpan w:val="2"/>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聴覚・平衡機能障害</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gridSpan w:val="2"/>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gridSpan w:val="2"/>
            <w:tcBorders>
              <w:top w:val="single" w:color="auto" w:sz="4" w:space="0"/>
              <w:left w:val="nil"/>
              <w:bottom w:val="single" w:color="auto" w:sz="4" w:space="0"/>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7" w:type="dxa"/>
            <w:tcBorders>
              <w:top w:val="sing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58"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3128" w:type="dxa"/>
            <w:gridSpan w:val="2"/>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肢体不自由</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gridSpan w:val="2"/>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gridSpan w:val="2"/>
            <w:tcBorders>
              <w:top w:val="single" w:color="auto" w:sz="4" w:space="0"/>
              <w:left w:val="nil"/>
              <w:bottom w:val="single" w:color="auto" w:sz="4" w:space="0"/>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7" w:type="dxa"/>
            <w:tcBorders>
              <w:top w:val="sing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58"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1003" w:type="dxa"/>
            <w:vMerge w:val="restart"/>
            <w:tcBorders>
              <w:top w:val="single" w:color="auto" w:sz="4" w:space="0"/>
              <w:left w:val="single" w:color="auto" w:sz="4" w:space="0"/>
              <w:bottom w:val="nil"/>
              <w:right w:val="nil"/>
              <w:tl2br w:val="none" w:color="auto" w:sz="0" w:space="0"/>
              <w:tr2bl w:val="none" w:color="auto" w:sz="0" w:space="0"/>
            </w:tcBorders>
            <w:shd w:val="clear" w:color="auto" w:fill="auto"/>
            <w:vAlign w:val="center"/>
          </w:tcPr>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内臓</w:t>
            </w:r>
            <w:r>
              <w:rPr>
                <w:rFonts w:hint="eastAsia" w:ascii="ＭＳ ゴシック" w:hAnsi="ＭＳ ゴシック" w:eastAsia="ＭＳ ゴシック"/>
                <w:kern w:val="0"/>
                <w:sz w:val="20"/>
              </w:rPr>
              <w:br w:type="textWrapping" w:clear="none"/>
            </w:r>
            <w:r>
              <w:rPr>
                <w:rFonts w:hint="eastAsia" w:ascii="ＭＳ ゴシック" w:hAnsi="ＭＳ ゴシック" w:eastAsia="ＭＳ ゴシック"/>
                <w:kern w:val="0"/>
                <w:sz w:val="20"/>
              </w:rPr>
              <w:t>機能障害</w:t>
            </w:r>
          </w:p>
        </w:tc>
        <w:tc>
          <w:tcPr>
            <w:tcW w:w="2125"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心臓機能障害</w:t>
            </w:r>
          </w:p>
        </w:tc>
        <w:tc>
          <w:tcPr>
            <w:tcW w:w="1076" w:type="dxa"/>
            <w:tcBorders>
              <w:top w:val="single" w:color="auto"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c>
          <w:tcPr>
            <w:tcW w:w="1076" w:type="dxa"/>
            <w:gridSpan w:val="2"/>
            <w:tcBorders>
              <w:top w:val="single" w:color="auto"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1076" w:type="dxa"/>
            <w:gridSpan w:val="2"/>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w:t>
            </w:r>
          </w:p>
        </w:tc>
        <w:tc>
          <w:tcPr>
            <w:tcW w:w="1076" w:type="dxa"/>
            <w:gridSpan w:val="2"/>
            <w:tcBorders>
              <w:top w:val="single" w:color="auto" w:sz="4" w:space="0"/>
              <w:left w:val="nil"/>
              <w:bottom w:val="single" w:color="000000" w:sz="4" w:space="0"/>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1077"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r>
      <w:tr>
        <w:trPr/>
        <w:tc>
          <w:tcPr>
            <w:tcW w:w="558"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1003" w:type="dxa"/>
            <w:vMerge w:val="continue"/>
            <w:tcBorders>
              <w:top w:val="single" w:color="auto" w:sz="4" w:space="0"/>
              <w:left w:val="single" w:color="auto" w:sz="4" w:space="0"/>
              <w:bottom w:val="nil"/>
              <w:right w:val="nil"/>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2125" w:type="dxa"/>
            <w:tcBorders>
              <w:top w:val="single" w:color="000000"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じん臓機能障害</w:t>
            </w:r>
          </w:p>
        </w:tc>
        <w:tc>
          <w:tcPr>
            <w:tcW w:w="1076" w:type="dxa"/>
            <w:tcBorders>
              <w:top w:val="single" w:color="000000"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206</w:t>
            </w:r>
          </w:p>
        </w:tc>
        <w:tc>
          <w:tcPr>
            <w:tcW w:w="1076" w:type="dxa"/>
            <w:gridSpan w:val="2"/>
            <w:tcBorders>
              <w:top w:val="single" w:color="000000"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235</w:t>
            </w:r>
          </w:p>
        </w:tc>
        <w:tc>
          <w:tcPr>
            <w:tcW w:w="1076" w:type="dxa"/>
            <w:gridSpan w:val="2"/>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276</w:t>
            </w:r>
          </w:p>
        </w:tc>
        <w:tc>
          <w:tcPr>
            <w:tcW w:w="1076" w:type="dxa"/>
            <w:gridSpan w:val="2"/>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241</w:t>
            </w:r>
          </w:p>
        </w:tc>
        <w:tc>
          <w:tcPr>
            <w:tcW w:w="1077"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285</w:t>
            </w:r>
          </w:p>
        </w:tc>
      </w:tr>
      <w:tr>
        <w:trPr/>
        <w:tc>
          <w:tcPr>
            <w:tcW w:w="558"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1003" w:type="dxa"/>
            <w:vMerge w:val="continue"/>
            <w:tcBorders>
              <w:top w:val="single" w:color="auto" w:sz="4" w:space="0"/>
              <w:left w:val="single" w:color="auto" w:sz="4" w:space="0"/>
              <w:bottom w:val="double" w:color="auto" w:sz="4" w:space="0"/>
              <w:right w:val="nil"/>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2125" w:type="dxa"/>
            <w:tcBorders>
              <w:top w:val="single" w:color="000000"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その他内臓機能障害</w:t>
            </w:r>
          </w:p>
        </w:tc>
        <w:tc>
          <w:tcPr>
            <w:tcW w:w="1076" w:type="dxa"/>
            <w:tcBorders>
              <w:top w:val="single" w:color="000000"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076" w:type="dxa"/>
            <w:gridSpan w:val="2"/>
            <w:tcBorders>
              <w:top w:val="single" w:color="000000"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076" w:type="dxa"/>
            <w:gridSpan w:val="2"/>
            <w:tcBorders>
              <w:top w:val="single" w:color="000000" w:sz="4" w:space="0"/>
              <w:left w:val="single" w:color="auto" w:sz="4" w:space="0"/>
              <w:bottom w:val="double" w:color="auto"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076" w:type="dxa"/>
            <w:gridSpan w:val="2"/>
            <w:tcBorders>
              <w:top w:val="single" w:color="000000" w:sz="4" w:space="0"/>
              <w:left w:val="nil"/>
              <w:bottom w:val="double" w:color="auto" w:sz="4" w:space="0"/>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1077"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r>
      <w:tr>
        <w:trPr/>
        <w:tc>
          <w:tcPr>
            <w:tcW w:w="558"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3128"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合計</w:t>
            </w:r>
          </w:p>
        </w:tc>
        <w:tc>
          <w:tcPr>
            <w:tcW w:w="107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243</w:t>
            </w:r>
          </w:p>
        </w:tc>
        <w:tc>
          <w:tcPr>
            <w:tcW w:w="1076"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264</w:t>
            </w:r>
          </w:p>
        </w:tc>
        <w:tc>
          <w:tcPr>
            <w:tcW w:w="1076" w:type="dxa"/>
            <w:gridSpan w:val="2"/>
            <w:tcBorders>
              <w:top w:val="doub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308</w:t>
            </w:r>
          </w:p>
        </w:tc>
        <w:tc>
          <w:tcPr>
            <w:tcW w:w="1076" w:type="dxa"/>
            <w:gridSpan w:val="2"/>
            <w:tcBorders>
              <w:top w:val="double" w:color="auto" w:sz="4" w:space="0"/>
              <w:left w:val="nil"/>
              <w:bottom w:val="single" w:color="auto" w:sz="4" w:space="0"/>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274</w:t>
            </w:r>
          </w:p>
        </w:tc>
        <w:tc>
          <w:tcPr>
            <w:tcW w:w="1077" w:type="dxa"/>
            <w:tcBorders>
              <w:top w:val="doub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323</w:t>
            </w:r>
          </w:p>
        </w:tc>
      </w:tr>
    </w:tbl>
    <w:p>
      <w:pPr>
        <w:pStyle w:val="45"/>
        <w:snapToGrid w:val="0"/>
        <w:spacing w:before="0" w:beforeLines="0" w:beforeAutospacing="0" w:after="0" w:afterLines="0" w:afterAutospacing="0"/>
        <w:jc w:val="center"/>
        <w:rPr>
          <w:rFonts w:hint="default" w:ascii="ＭＳ ゴシック" w:hAnsi="ＭＳ ゴシック" w:eastAsia="ＭＳ ゴシック"/>
          <w:sz w:val="8"/>
        </w:rPr>
      </w:pPr>
    </w:p>
    <w:tbl>
      <w:tblPr>
        <w:tblStyle w:val="11"/>
        <w:tblW w:w="9067" w:type="dxa"/>
        <w:tblInd w:w="562" w:type="dxa"/>
        <w:tblLayout w:type="fixed"/>
        <w:tblCellMar>
          <w:left w:w="99" w:type="dxa"/>
          <w:right w:w="99" w:type="dxa"/>
        </w:tblCellMar>
        <w:tblLook w:firstRow="1" w:lastRow="0" w:firstColumn="1" w:lastColumn="0" w:noHBand="0" w:noVBand="1" w:val="04A0"/>
      </w:tblPr>
      <w:tblGrid>
        <w:gridCol w:w="567"/>
        <w:gridCol w:w="993"/>
        <w:gridCol w:w="2126"/>
        <w:gridCol w:w="1076"/>
        <w:gridCol w:w="1076"/>
        <w:gridCol w:w="1076"/>
        <w:gridCol w:w="1076"/>
        <w:gridCol w:w="1077"/>
      </w:tblGrid>
      <w:tr>
        <w:trPr/>
        <w:tc>
          <w:tcPr>
            <w:tcW w:w="567"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入院</w:t>
            </w:r>
          </w:p>
        </w:tc>
        <w:tc>
          <w:tcPr>
            <w:tcW w:w="3119" w:type="dxa"/>
            <w:gridSpan w:val="2"/>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聴覚・平衡機能障害</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nil"/>
              <w:bottom w:val="single" w:color="auto" w:sz="4" w:space="0"/>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7" w:type="dxa"/>
            <w:tcBorders>
              <w:top w:val="sing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6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3119" w:type="dxa"/>
            <w:gridSpan w:val="2"/>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肢体不自由</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nil"/>
              <w:bottom w:val="single" w:color="auto" w:sz="4" w:space="0"/>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7" w:type="dxa"/>
            <w:tcBorders>
              <w:top w:val="sing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93" w:type="dxa"/>
            <w:vMerge w:val="restart"/>
            <w:tcBorders>
              <w:top w:val="single" w:color="auto" w:sz="4" w:space="0"/>
              <w:left w:val="single" w:color="auto" w:sz="4" w:space="0"/>
              <w:bottom w:val="nil"/>
              <w:right w:val="nil"/>
              <w:tl2br w:val="none" w:color="auto" w:sz="0" w:space="0"/>
              <w:tr2bl w:val="none" w:color="auto" w:sz="0" w:space="0"/>
            </w:tcBorders>
            <w:shd w:val="clear" w:color="auto" w:fill="auto"/>
            <w:vAlign w:val="center"/>
          </w:tcPr>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内臓</w:t>
            </w:r>
            <w:r>
              <w:rPr>
                <w:rFonts w:hint="eastAsia" w:ascii="ＭＳ ゴシック" w:hAnsi="ＭＳ ゴシック" w:eastAsia="ＭＳ ゴシック"/>
                <w:kern w:val="0"/>
                <w:sz w:val="20"/>
              </w:rPr>
              <w:br w:type="textWrapping" w:clear="none"/>
            </w:r>
            <w:r>
              <w:rPr>
                <w:rFonts w:hint="eastAsia" w:ascii="ＭＳ ゴシック" w:hAnsi="ＭＳ ゴシック" w:eastAsia="ＭＳ ゴシック"/>
                <w:kern w:val="0"/>
                <w:sz w:val="20"/>
              </w:rPr>
              <w:t>機能障害</w:t>
            </w:r>
          </w:p>
        </w:tc>
        <w:tc>
          <w:tcPr>
            <w:tcW w:w="2126"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心臓機能障害</w:t>
            </w:r>
          </w:p>
        </w:tc>
        <w:tc>
          <w:tcPr>
            <w:tcW w:w="1076" w:type="dxa"/>
            <w:tcBorders>
              <w:top w:val="single" w:color="auto"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27</w:t>
            </w:r>
          </w:p>
        </w:tc>
        <w:tc>
          <w:tcPr>
            <w:tcW w:w="1076" w:type="dxa"/>
            <w:tcBorders>
              <w:top w:val="single" w:color="auto"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1076" w:type="dxa"/>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076" w:type="dxa"/>
            <w:tcBorders>
              <w:top w:val="single" w:color="auto" w:sz="4" w:space="0"/>
              <w:left w:val="nil"/>
              <w:bottom w:val="single" w:color="000000" w:sz="4" w:space="0"/>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1077"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r>
      <w:tr>
        <w:trPr/>
        <w:tc>
          <w:tcPr>
            <w:tcW w:w="567"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93" w:type="dxa"/>
            <w:vMerge w:val="continue"/>
            <w:tcBorders>
              <w:top w:val="single" w:color="auto" w:sz="4" w:space="0"/>
              <w:left w:val="single" w:color="auto" w:sz="4" w:space="0"/>
              <w:bottom w:val="nil"/>
              <w:right w:val="nil"/>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2126" w:type="dxa"/>
            <w:tcBorders>
              <w:top w:val="single" w:color="000000"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じん臓機能障害</w:t>
            </w:r>
          </w:p>
        </w:tc>
        <w:tc>
          <w:tcPr>
            <w:tcW w:w="1076" w:type="dxa"/>
            <w:tcBorders>
              <w:top w:val="single" w:color="000000"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96</w:t>
            </w:r>
          </w:p>
        </w:tc>
        <w:tc>
          <w:tcPr>
            <w:tcW w:w="1076" w:type="dxa"/>
            <w:tcBorders>
              <w:top w:val="single" w:color="000000"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111</w:t>
            </w:r>
          </w:p>
        </w:tc>
        <w:tc>
          <w:tcPr>
            <w:tcW w:w="1076"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126</w:t>
            </w:r>
          </w:p>
        </w:tc>
        <w:tc>
          <w:tcPr>
            <w:tcW w:w="1076"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114</w:t>
            </w:r>
          </w:p>
        </w:tc>
        <w:tc>
          <w:tcPr>
            <w:tcW w:w="1077"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134</w:t>
            </w:r>
          </w:p>
        </w:tc>
      </w:tr>
      <w:tr>
        <w:trPr/>
        <w:tc>
          <w:tcPr>
            <w:tcW w:w="567"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993" w:type="dxa"/>
            <w:vMerge w:val="continue"/>
            <w:tcBorders>
              <w:top w:val="single" w:color="auto" w:sz="4" w:space="0"/>
              <w:left w:val="single" w:color="auto" w:sz="4" w:space="0"/>
              <w:bottom w:val="double" w:color="auto" w:sz="4" w:space="0"/>
              <w:right w:val="nil"/>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2126" w:type="dxa"/>
            <w:tcBorders>
              <w:top w:val="single" w:color="000000"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その他内臓機能障害</w:t>
            </w:r>
          </w:p>
        </w:tc>
        <w:tc>
          <w:tcPr>
            <w:tcW w:w="1076" w:type="dxa"/>
            <w:tcBorders>
              <w:top w:val="single" w:color="000000"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000000"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000000" w:sz="4" w:space="0"/>
              <w:left w:val="single" w:color="auto" w:sz="4" w:space="0"/>
              <w:bottom w:val="double" w:color="auto"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000000" w:sz="4" w:space="0"/>
              <w:left w:val="nil"/>
              <w:bottom w:val="double" w:color="auto" w:sz="4" w:space="0"/>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077"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r>
      <w:tr>
        <w:trPr/>
        <w:tc>
          <w:tcPr>
            <w:tcW w:w="567" w:type="dxa"/>
            <w:vMerge w:val="continue"/>
            <w:tcBorders>
              <w:top w:val="single" w:color="000000" w:sz="4" w:space="0"/>
              <w:left w:val="single" w:color="auto" w:sz="4" w:space="0"/>
              <w:bottom w:val="single" w:color="auto" w:sz="12"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3119" w:type="dxa"/>
            <w:gridSpan w:val="2"/>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1076"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127</w:t>
            </w:r>
          </w:p>
        </w:tc>
        <w:tc>
          <w:tcPr>
            <w:tcW w:w="1076"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136</w:t>
            </w:r>
          </w:p>
        </w:tc>
        <w:tc>
          <w:tcPr>
            <w:tcW w:w="1076"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153</w:t>
            </w:r>
          </w:p>
        </w:tc>
        <w:tc>
          <w:tcPr>
            <w:tcW w:w="1076"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139</w:t>
            </w:r>
          </w:p>
        </w:tc>
        <w:tc>
          <w:tcPr>
            <w:tcW w:w="1077" w:type="dxa"/>
            <w:tcBorders>
              <w:top w:val="double" w:color="auto" w:sz="4" w:space="0"/>
              <w:left w:val="single" w:color="auto" w:sz="4" w:space="0"/>
              <w:bottom w:val="single" w:color="auto" w:sz="12"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168</w:t>
            </w:r>
          </w:p>
        </w:tc>
      </w:tr>
      <w:tr>
        <w:trPr/>
        <w:tc>
          <w:tcPr>
            <w:tcW w:w="567" w:type="dxa"/>
            <w:vMerge w:val="restart"/>
            <w:tcBorders>
              <w:top w:val="single" w:color="auto" w:sz="12"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入院外</w:t>
            </w:r>
          </w:p>
        </w:tc>
        <w:tc>
          <w:tcPr>
            <w:tcW w:w="3119" w:type="dxa"/>
            <w:gridSpan w:val="2"/>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聴覚・平衡機能障害</w:t>
            </w:r>
          </w:p>
        </w:tc>
        <w:tc>
          <w:tcPr>
            <w:tcW w:w="1076"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12"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12"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12" w:space="0"/>
              <w:left w:val="nil"/>
              <w:bottom w:val="single" w:color="auto" w:sz="4" w:space="0"/>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7" w:type="dxa"/>
            <w:tcBorders>
              <w:top w:val="single" w:color="auto" w:sz="12"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double" w:color="auto" w:sz="4" w:space="0"/>
              <w:left w:val="single" w:color="auto" w:sz="4" w:space="0"/>
              <w:bottom w:val="single" w:color="auto" w:sz="4" w:space="0"/>
              <w:right w:val="single" w:color="auto" w:sz="4" w:space="0"/>
              <w:tl2br w:val="none" w:color="auto" w:sz="0" w:space="0"/>
              <w:tr2bl w:val="none" w:color="auto" w:sz="0" w:space="0"/>
            </w:tcBorders>
            <w:textDirection w:val="tbRlV"/>
            <w:vAlign w:val="center"/>
          </w:tcPr>
          <w:p>
            <w:pPr>
              <w:pStyle w:val="0"/>
              <w:widowControl w:val="1"/>
              <w:spacing w:line="0" w:lineRule="atLeast"/>
              <w:jc w:val="center"/>
              <w:rPr>
                <w:rFonts w:hint="default" w:ascii="ＭＳ ゴシック" w:hAnsi="ＭＳ ゴシック" w:eastAsia="ＭＳ ゴシック"/>
                <w:kern w:val="0"/>
                <w:sz w:val="20"/>
              </w:rPr>
            </w:pPr>
          </w:p>
        </w:tc>
        <w:tc>
          <w:tcPr>
            <w:tcW w:w="3119" w:type="dxa"/>
            <w:gridSpan w:val="2"/>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肢体不自由</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nil"/>
              <w:bottom w:val="single" w:color="auto" w:sz="4" w:space="0"/>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7" w:type="dxa"/>
            <w:tcBorders>
              <w:top w:val="sing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993" w:type="dxa"/>
            <w:vMerge w:val="restart"/>
            <w:tcBorders>
              <w:top w:val="single" w:color="000000" w:sz="4" w:space="0"/>
              <w:left w:val="nil"/>
              <w:bottom w:val="nil"/>
              <w:right w:val="nil"/>
              <w:tl2br w:val="none" w:color="auto" w:sz="0" w:space="0"/>
              <w:tr2bl w:val="none" w:color="auto" w:sz="0" w:space="0"/>
            </w:tcBorders>
            <w:shd w:val="clear" w:color="auto" w:fill="auto"/>
            <w:vAlign w:val="center"/>
          </w:tcPr>
          <w:p>
            <w:pPr>
              <w:pStyle w:val="0"/>
              <w:widowControl w:val="1"/>
              <w:spacing w:line="0" w:lineRule="atLeast"/>
              <w:ind w:left="-112" w:leftChars="-50" w:right="-112" w:rightChars="-50"/>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内臓</w:t>
            </w:r>
            <w:r>
              <w:rPr>
                <w:rFonts w:hint="eastAsia" w:ascii="ＭＳ ゴシック" w:hAnsi="ＭＳ ゴシック" w:eastAsia="ＭＳ ゴシック"/>
                <w:kern w:val="0"/>
                <w:sz w:val="20"/>
              </w:rPr>
              <w:br w:type="textWrapping" w:clear="none"/>
            </w:r>
            <w:r>
              <w:rPr>
                <w:rFonts w:hint="eastAsia" w:ascii="ＭＳ ゴシック" w:hAnsi="ＭＳ ゴシック" w:eastAsia="ＭＳ ゴシック"/>
                <w:kern w:val="0"/>
                <w:sz w:val="20"/>
              </w:rPr>
              <w:t>機能障害</w:t>
            </w:r>
          </w:p>
        </w:tc>
        <w:tc>
          <w:tcPr>
            <w:tcW w:w="2126"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心臓機能障害</w:t>
            </w:r>
          </w:p>
        </w:tc>
        <w:tc>
          <w:tcPr>
            <w:tcW w:w="10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0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0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993" w:type="dxa"/>
            <w:vMerge w:val="continue"/>
            <w:tcBorders>
              <w:top w:val="single" w:color="000000" w:sz="4" w:space="0"/>
              <w:left w:val="nil"/>
              <w:bottom w:val="nil"/>
              <w:right w:val="nil"/>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2126" w:type="dxa"/>
            <w:tcBorders>
              <w:top w:val="single" w:color="auto"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じん臓機能障害</w:t>
            </w:r>
          </w:p>
        </w:tc>
        <w:tc>
          <w:tcPr>
            <w:tcW w:w="1076" w:type="dxa"/>
            <w:tcBorders>
              <w:top w:val="single" w:color="auto"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110</w:t>
            </w:r>
          </w:p>
        </w:tc>
        <w:tc>
          <w:tcPr>
            <w:tcW w:w="1076" w:type="dxa"/>
            <w:tcBorders>
              <w:top w:val="single" w:color="auto"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124</w:t>
            </w:r>
          </w:p>
        </w:tc>
        <w:tc>
          <w:tcPr>
            <w:tcW w:w="1076" w:type="dxa"/>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150</w:t>
            </w:r>
          </w:p>
        </w:tc>
        <w:tc>
          <w:tcPr>
            <w:tcW w:w="1076" w:type="dxa"/>
            <w:tcBorders>
              <w:top w:val="single" w:color="auto" w:sz="4" w:space="0"/>
              <w:left w:val="nil"/>
              <w:bottom w:val="single" w:color="000000" w:sz="4" w:space="0"/>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127</w:t>
            </w:r>
          </w:p>
        </w:tc>
        <w:tc>
          <w:tcPr>
            <w:tcW w:w="1077"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151</w:t>
            </w:r>
          </w:p>
        </w:tc>
      </w:tr>
      <w:tr>
        <w:trPr/>
        <w:tc>
          <w:tcPr>
            <w:tcW w:w="567"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993" w:type="dxa"/>
            <w:vMerge w:val="continue"/>
            <w:tcBorders>
              <w:top w:val="single" w:color="000000" w:sz="4" w:space="0"/>
              <w:left w:val="nil"/>
              <w:bottom w:val="double" w:color="auto" w:sz="4" w:space="0"/>
              <w:right w:val="nil"/>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2126" w:type="dxa"/>
            <w:tcBorders>
              <w:top w:val="single" w:color="000000"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その他内臓機能障害</w:t>
            </w:r>
          </w:p>
        </w:tc>
        <w:tc>
          <w:tcPr>
            <w:tcW w:w="1076" w:type="dxa"/>
            <w:tcBorders>
              <w:top w:val="single" w:color="000000"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000000" w:sz="4" w:space="0"/>
              <w:left w:val="nil"/>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000000" w:sz="4" w:space="0"/>
              <w:left w:val="single" w:color="auto" w:sz="4" w:space="0"/>
              <w:bottom w:val="double" w:color="auto"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076" w:type="dxa"/>
            <w:tcBorders>
              <w:top w:val="single" w:color="000000" w:sz="4" w:space="0"/>
              <w:left w:val="nil"/>
              <w:bottom w:val="double" w:color="auto" w:sz="4" w:space="0"/>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077" w:type="dxa"/>
            <w:tcBorders>
              <w:top w:val="single" w:color="000000" w:sz="4" w:space="0"/>
              <w:left w:val="single" w:color="000000" w:sz="4" w:space="0"/>
              <w:bottom w:val="doub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r>
      <w:tr>
        <w:trPr/>
        <w:tc>
          <w:tcPr>
            <w:tcW w:w="567" w:type="dxa"/>
            <w:vMerge w:val="continue"/>
            <w:tcBorders>
              <w:top w:val="single" w:color="000000"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ゴシック" w:hAnsi="ＭＳ ゴシック" w:eastAsia="ＭＳ ゴシック"/>
                <w:kern w:val="0"/>
                <w:sz w:val="20"/>
              </w:rPr>
            </w:pPr>
          </w:p>
        </w:tc>
        <w:tc>
          <w:tcPr>
            <w:tcW w:w="3119"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107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116</w:t>
            </w:r>
          </w:p>
        </w:tc>
        <w:tc>
          <w:tcPr>
            <w:tcW w:w="107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128</w:t>
            </w:r>
          </w:p>
        </w:tc>
        <w:tc>
          <w:tcPr>
            <w:tcW w:w="1076" w:type="dxa"/>
            <w:tcBorders>
              <w:top w:val="double" w:color="auto" w:sz="4" w:space="0"/>
              <w:left w:val="single" w:color="auto" w:sz="4" w:space="0"/>
              <w:bottom w:val="single" w:color="auto" w:sz="4" w:space="0"/>
              <w:right w:val="single" w:color="000000"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155</w:t>
            </w:r>
          </w:p>
        </w:tc>
        <w:tc>
          <w:tcPr>
            <w:tcW w:w="1076" w:type="dxa"/>
            <w:tcBorders>
              <w:top w:val="double" w:color="auto" w:sz="4" w:space="0"/>
              <w:left w:val="nil"/>
              <w:bottom w:val="single" w:color="auto" w:sz="4" w:space="0"/>
              <w:right w:val="nil"/>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135</w:t>
            </w:r>
          </w:p>
        </w:tc>
        <w:tc>
          <w:tcPr>
            <w:tcW w:w="1077" w:type="dxa"/>
            <w:tcBorders>
              <w:top w:val="double" w:color="auto" w:sz="4" w:space="0"/>
              <w:left w:val="single" w:color="000000" w:sz="4" w:space="0"/>
              <w:bottom w:val="single" w:color="auto" w:sz="4" w:space="0"/>
              <w:right w:val="single" w:color="auto" w:sz="4" w:space="0"/>
              <w:tl2br w:val="none" w:color="auto" w:sz="0" w:space="0"/>
              <w:tr2bl w:val="none" w:color="auto" w:sz="0" w:space="0"/>
            </w:tcBorders>
            <w:shd w:val="clear" w:color="auto" w:fill="EAEAEA"/>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155</w:t>
            </w:r>
          </w:p>
        </w:tc>
      </w:tr>
    </w:tbl>
    <w:p>
      <w:pPr>
        <w:pStyle w:val="68"/>
        <w:spacing w:before="37" w:beforeLines="0" w:beforeAutospacing="0" w:after="0" w:afterLines="0" w:afterAutospacing="0"/>
        <w:ind w:left="1172"/>
        <w:rPr>
          <w:rFonts w:hint="default"/>
        </w:rPr>
      </w:pPr>
      <w:r>
        <w:rPr>
          <w:rFonts w:hint="eastAsia"/>
        </w:rPr>
        <w:t>資料：保健福祉課（各年度末時点）</w:t>
      </w: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spacing w:line="0" w:lineRule="atLeast"/>
        <w:ind w:left="448" w:firstLine="204" w:firstLineChars="100"/>
        <w:rPr>
          <w:rFonts w:hint="default"/>
          <w:sz w:val="20"/>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86"/>
              <w:spacing w:before="74" w:beforeLines="0" w:beforeAutospacing="0"/>
              <w:rPr>
                <w:rFonts w:hint="default"/>
                <w:color w:val="auto"/>
              </w:rPr>
            </w:pPr>
            <w:r>
              <w:rPr>
                <w:rFonts w:hint="eastAsia"/>
                <w:color w:val="auto"/>
              </w:rPr>
              <w:t>※</w:t>
            </w:r>
            <w:r>
              <w:rPr>
                <w:rFonts w:hint="eastAsia"/>
                <w:color w:val="auto"/>
              </w:rPr>
              <w:t xml:space="preserve"> </w:t>
            </w:r>
            <w:r>
              <w:rPr>
                <w:rFonts w:hint="eastAsia"/>
                <w:color w:val="auto"/>
              </w:rPr>
              <w:t>更生医療</w:t>
            </w:r>
          </w:p>
          <w:p>
            <w:pPr>
              <w:pStyle w:val="85"/>
              <w:ind w:left="448" w:firstLine="204"/>
              <w:rPr>
                <w:rFonts w:hint="default"/>
                <w:color w:val="auto"/>
              </w:rPr>
            </w:pPr>
            <w:r>
              <w:rPr>
                <w:rFonts w:hint="eastAsia"/>
                <w:color w:val="auto"/>
              </w:rPr>
              <w:t>身体障害者福祉法に規定する身体障がい者で、その障がいを除去・軽減する手術等の治療によって確実に効果が期待できるものに対して提供される、更生のために必要な自立支援医療費の支給を行うものです。</w:t>
            </w:r>
          </w:p>
        </w:tc>
      </w:tr>
    </w:tbl>
    <w:p>
      <w:pPr>
        <w:pStyle w:val="0"/>
        <w:widowControl w:val="1"/>
        <w:spacing w:line="20" w:lineRule="exact"/>
        <w:jc w:val="left"/>
        <w:rPr>
          <w:rFonts w:hint="default"/>
        </w:rPr>
      </w:pPr>
      <w:r>
        <w:rPr>
          <w:rFonts w:hint="default"/>
        </w:rPr>
        <w:br w:type="page"/>
      </w:r>
    </w:p>
    <w:p>
      <w:pPr>
        <w:pStyle w:val="76"/>
        <w:spacing w:after="74" w:afterLines="0" w:afterAutospacing="0"/>
        <w:ind w:left="448"/>
        <w:outlineLvl w:val="4"/>
        <w:rPr>
          <w:rFonts w:hint="default"/>
          <w:color w:val="auto"/>
        </w:rPr>
      </w:pPr>
      <w:r>
        <w:rPr>
          <w:rFonts w:hint="default"/>
          <w:color w:val="auto"/>
        </w:rPr>
        <w:t>③</w:t>
      </w:r>
      <w:r>
        <w:rPr>
          <w:rFonts w:hint="default"/>
          <w:color w:val="auto"/>
        </w:rPr>
        <w:t>精神通院医療費</w:t>
      </w:r>
    </w:p>
    <w:p>
      <w:pPr>
        <w:pStyle w:val="67"/>
        <w:ind w:left="672" w:leftChars="300" w:firstLine="214" w:firstLineChars="100"/>
        <w:rPr>
          <w:rFonts w:hint="default"/>
        </w:rPr>
      </w:pPr>
      <w:r>
        <w:rPr>
          <w:rFonts w:hint="default"/>
          <w:vertAlign w:val="superscript"/>
        </w:rPr>
        <w:t>※</w:t>
      </w:r>
      <w:r>
        <w:rPr>
          <w:rFonts w:hint="eastAsia"/>
        </w:rPr>
        <w:t>精神通院医療費の支給認定者数は、増加傾向で推移しており、平成</w:t>
      </w:r>
      <w:r>
        <w:rPr>
          <w:rFonts w:hint="eastAsia"/>
        </w:rPr>
        <w:t>30</w:t>
      </w:r>
      <w:r>
        <w:rPr>
          <w:rFonts w:hint="eastAsia"/>
        </w:rPr>
        <w:t>年度の</w:t>
      </w:r>
      <w:r>
        <w:rPr>
          <w:rFonts w:hint="eastAsia"/>
        </w:rPr>
        <w:t>1,083</w:t>
      </w:r>
      <w:r>
        <w:rPr>
          <w:rFonts w:hint="eastAsia"/>
        </w:rPr>
        <w:t>人から令和４年度では</w:t>
      </w:r>
      <w:r>
        <w:rPr>
          <w:rFonts w:hint="eastAsia"/>
        </w:rPr>
        <w:t>1,139</w:t>
      </w:r>
      <w:r>
        <w:rPr>
          <w:rFonts w:hint="eastAsia"/>
        </w:rPr>
        <w:t>人と、この４年間で</w:t>
      </w:r>
      <w:r>
        <w:rPr>
          <w:rFonts w:hint="eastAsia"/>
        </w:rPr>
        <w:t>300</w:t>
      </w:r>
      <w:r>
        <w:rPr>
          <w:rFonts w:hint="eastAsia"/>
        </w:rPr>
        <w:t>人の増</w:t>
      </w:r>
      <w:r>
        <w:rPr>
          <w:rFonts w:hint="default"/>
        </w:rPr>
        <w:t>(</w:t>
      </w:r>
      <w:r>
        <w:rPr>
          <w:rFonts w:hint="eastAsia"/>
        </w:rPr>
        <w:t>伸び率</w:t>
      </w:r>
      <w:r>
        <w:rPr>
          <w:rFonts w:hint="eastAsia"/>
        </w:rPr>
        <w:t>27.7</w:t>
      </w:r>
      <w:r>
        <w:rPr>
          <w:rFonts w:hint="eastAsia"/>
        </w:rPr>
        <w:t>％</w:t>
      </w:r>
      <w:r>
        <w:rPr>
          <w:rFonts w:hint="default"/>
        </w:rPr>
        <w:t>)</w:t>
      </w:r>
      <w:r>
        <w:rPr>
          <w:rFonts w:hint="default"/>
        </w:rPr>
        <w:t>と</w:t>
      </w:r>
      <w:r>
        <w:rPr>
          <w:rFonts w:hint="eastAsia"/>
        </w:rPr>
        <w:t>なっています。</w:t>
      </w:r>
    </w:p>
    <w:p>
      <w:pPr>
        <w:pStyle w:val="67"/>
        <w:ind w:left="672" w:leftChars="300" w:firstLine="214" w:firstLineChars="100"/>
        <w:rPr>
          <w:rFonts w:hint="default"/>
        </w:rPr>
      </w:pPr>
      <w:r>
        <w:rPr>
          <w:rFonts w:hint="default"/>
        </w:rPr>
        <w:t>病類としては、</w:t>
      </w:r>
      <w:r>
        <w:rPr>
          <w:rFonts w:hint="eastAsia"/>
        </w:rPr>
        <w:t>毎年度</w:t>
      </w:r>
      <w:r>
        <w:rPr>
          <w:rFonts w:hint="default"/>
        </w:rPr>
        <w:t>「気分</w:t>
      </w:r>
      <w:r>
        <w:rPr>
          <w:rFonts w:hint="default"/>
        </w:rPr>
        <w:t>(</w:t>
      </w:r>
      <w:r>
        <w:rPr>
          <w:rFonts w:hint="default"/>
        </w:rPr>
        <w:t>感情</w:t>
      </w:r>
      <w:r>
        <w:rPr>
          <w:rFonts w:hint="default"/>
        </w:rPr>
        <w:t>)</w:t>
      </w:r>
      <w:r>
        <w:rPr>
          <w:rFonts w:hint="default"/>
        </w:rPr>
        <w:t>障害」</w:t>
      </w:r>
      <w:r>
        <w:rPr>
          <w:rFonts w:hint="eastAsia"/>
        </w:rPr>
        <w:t>が最も多くなっています。次に</w:t>
      </w:r>
      <w:r>
        <w:rPr>
          <w:rFonts w:hint="default"/>
        </w:rPr>
        <w:t>「総合失調症」</w:t>
      </w:r>
      <w:r>
        <w:rPr>
          <w:rFonts w:hint="eastAsia"/>
        </w:rPr>
        <w:t>、「てんかん」と続きます。また、</w:t>
      </w:r>
      <w:r>
        <w:rPr>
          <w:rFonts w:hint="default"/>
        </w:rPr>
        <w:t>「てんかん」</w:t>
      </w:r>
      <w:r>
        <w:rPr>
          <w:rFonts w:hint="eastAsia"/>
        </w:rPr>
        <w:t>に次いで多いのは、「神経症圏の障害」、「アルツハイマー」、「心理的発達障害」と</w:t>
      </w:r>
      <w:r>
        <w:rPr>
          <w:rFonts w:hint="default"/>
        </w:rPr>
        <w:t>な</w:t>
      </w:r>
      <w:r>
        <w:rPr>
          <w:rFonts w:hint="eastAsia"/>
        </w:rPr>
        <w:t>ってい</w:t>
      </w:r>
      <w:r>
        <w:rPr>
          <w:rFonts w:hint="default"/>
        </w:rPr>
        <w:t>ます。</w:t>
      </w:r>
    </w:p>
    <w:p>
      <w:pPr>
        <w:pStyle w:val="67"/>
        <w:spacing w:line="0" w:lineRule="atLeast"/>
        <w:ind w:left="448" w:firstLine="164" w:firstLineChars="100"/>
        <w:rPr>
          <w:rFonts w:hint="default"/>
          <w:sz w:val="16"/>
        </w:rPr>
      </w:pPr>
    </w:p>
    <w:tbl>
      <w:tblPr>
        <w:tblStyle w:val="11"/>
        <w:tblW w:w="8929" w:type="dxa"/>
        <w:tblInd w:w="567" w:type="dxa"/>
        <w:tblLayout w:type="fixed"/>
        <w:tblCellMar>
          <w:left w:w="99" w:type="dxa"/>
          <w:right w:w="99" w:type="dxa"/>
        </w:tblCellMar>
        <w:tblLook w:firstRow="1" w:lastRow="0" w:firstColumn="1" w:lastColumn="0" w:noHBand="0" w:noVBand="1" w:val="04A0"/>
      </w:tblPr>
      <w:tblGrid>
        <w:gridCol w:w="1061"/>
        <w:gridCol w:w="2340"/>
        <w:gridCol w:w="1105"/>
        <w:gridCol w:w="1106"/>
        <w:gridCol w:w="1105"/>
        <w:gridCol w:w="1106"/>
        <w:gridCol w:w="1106"/>
      </w:tblGrid>
      <w:tr>
        <w:trPr/>
        <w:tc>
          <w:tcPr>
            <w:tcW w:w="3401"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51"/>
              <w:snapToGrid w:val="0"/>
              <w:spacing w:line="0" w:lineRule="atLeast"/>
              <w:ind w:left="-221"/>
              <w:rPr>
                <w:rFonts w:hint="default" w:ascii="ＭＳ ゴシック" w:hAnsi="ＭＳ ゴシック" w:eastAsia="ＭＳ ゴシック"/>
                <w:kern w:val="0"/>
                <w:sz w:val="20"/>
              </w:rPr>
            </w:pPr>
            <w:r>
              <w:rPr>
                <w:rFonts w:hint="default" w:ascii="ＭＳ ゴシック" w:hAnsi="ＭＳ ゴシック" w:eastAsia="ＭＳ ゴシック"/>
                <w:sz w:val="21"/>
              </w:rPr>
              <w:t>【精神通院医療費の支給認定状況</w:t>
            </w:r>
            <w:r>
              <w:rPr>
                <w:rFonts w:hint="eastAsia" w:ascii="ＭＳ ゴシック" w:hAnsi="ＭＳ ゴシック" w:eastAsia="ＭＳ ゴシック"/>
                <w:sz w:val="21"/>
              </w:rPr>
              <w:t>】</w:t>
            </w:r>
          </w:p>
        </w:tc>
        <w:tc>
          <w:tcPr>
            <w:tcW w:w="110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rPr>
                <w:rFonts w:hint="default" w:ascii="ＭＳ ゴシック" w:hAnsi="ＭＳ ゴシック" w:eastAsia="ＭＳ ゴシック"/>
              </w:rPr>
            </w:pPr>
          </w:p>
        </w:tc>
        <w:tc>
          <w:tcPr>
            <w:tcW w:w="110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ind w:left="-45" w:leftChars="-20" w:right="-45" w:rightChars="-20"/>
              <w:rPr>
                <w:rFonts w:hint="default" w:ascii="ＭＳ ゴシック" w:hAnsi="ＭＳ ゴシック" w:eastAsia="ＭＳ ゴシック"/>
              </w:rPr>
            </w:pPr>
          </w:p>
        </w:tc>
        <w:tc>
          <w:tcPr>
            <w:tcW w:w="110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ind w:left="-45" w:leftChars="-20" w:right="-45" w:rightChars="-20"/>
              <w:rPr>
                <w:rFonts w:hint="default" w:ascii="ＭＳ ゴシック" w:hAnsi="ＭＳ ゴシック" w:eastAsia="ＭＳ ゴシック"/>
              </w:rPr>
            </w:pPr>
          </w:p>
        </w:tc>
        <w:tc>
          <w:tcPr>
            <w:tcW w:w="110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napToGrid w:val="0"/>
              <w:spacing w:line="0" w:lineRule="atLeast"/>
              <w:ind w:left="-45" w:leftChars="-20" w:right="-45" w:rightChars="-20"/>
              <w:rPr>
                <w:rFonts w:hint="default" w:ascii="ＭＳ ゴシック" w:hAnsi="ＭＳ ゴシック" w:eastAsia="ＭＳ ゴシック"/>
              </w:rPr>
            </w:pPr>
          </w:p>
        </w:tc>
        <w:tc>
          <w:tcPr>
            <w:tcW w:w="110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54"/>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c>
          <w:tcPr>
            <w:tcW w:w="340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病類</w:t>
            </w:r>
          </w:p>
        </w:tc>
        <w:tc>
          <w:tcPr>
            <w:tcW w:w="11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spacing w:val="-8"/>
                <w:w w:val="88"/>
                <w:sz w:val="20"/>
              </w:rPr>
            </w:pPr>
            <w:r>
              <w:rPr>
                <w:rFonts w:hint="eastAsia" w:ascii="ＭＳ ゴシック" w:hAnsi="ＭＳ ゴシック" w:eastAsia="ＭＳ ゴシック"/>
                <w:spacing w:val="-8"/>
                <w:w w:val="88"/>
                <w:sz w:val="20"/>
              </w:rPr>
              <w:t>平成</w:t>
            </w:r>
            <w:r>
              <w:rPr>
                <w:rFonts w:hint="default" w:ascii="ＭＳ ゴシック" w:hAnsi="ＭＳ ゴシック" w:eastAsia="ＭＳ ゴシック"/>
                <w:spacing w:val="-8"/>
                <w:w w:val="88"/>
                <w:sz w:val="20"/>
              </w:rPr>
              <w:t>30</w:t>
            </w:r>
            <w:r>
              <w:rPr>
                <w:rFonts w:hint="default" w:ascii="ＭＳ ゴシック" w:hAnsi="ＭＳ ゴシック" w:eastAsia="ＭＳ ゴシック"/>
                <w:spacing w:val="-8"/>
                <w:w w:val="88"/>
                <w:sz w:val="20"/>
              </w:rPr>
              <w:t>年度</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spacing w:val="-8"/>
                <w:w w:val="88"/>
                <w:sz w:val="20"/>
              </w:rPr>
            </w:pPr>
            <w:r>
              <w:rPr>
                <w:rFonts w:hint="eastAsia" w:ascii="ＭＳ ゴシック" w:hAnsi="ＭＳ ゴシック" w:eastAsia="ＭＳ ゴシック"/>
                <w:spacing w:val="-8"/>
                <w:w w:val="88"/>
                <w:sz w:val="20"/>
              </w:rPr>
              <w:t>令和元年度</w:t>
            </w:r>
          </w:p>
        </w:tc>
        <w:tc>
          <w:tcPr>
            <w:tcW w:w="11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spacing w:val="-8"/>
                <w:w w:val="88"/>
                <w:sz w:val="20"/>
              </w:rPr>
            </w:pPr>
            <w:r>
              <w:rPr>
                <w:rFonts w:hint="eastAsia" w:ascii="ＭＳ ゴシック" w:hAnsi="ＭＳ ゴシック" w:eastAsia="ＭＳ ゴシック"/>
                <w:spacing w:val="-8"/>
                <w:w w:val="88"/>
                <w:sz w:val="20"/>
              </w:rPr>
              <w:t>令和２年度</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spacing w:val="-8"/>
                <w:w w:val="88"/>
                <w:sz w:val="20"/>
              </w:rPr>
            </w:pPr>
            <w:r>
              <w:rPr>
                <w:rFonts w:hint="eastAsia" w:ascii="ＭＳ ゴシック" w:hAnsi="ＭＳ ゴシック" w:eastAsia="ＭＳ ゴシック"/>
                <w:spacing w:val="-8"/>
                <w:w w:val="88"/>
                <w:sz w:val="20"/>
              </w:rPr>
              <w:t>令和３年度</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spacing w:val="-8"/>
                <w:w w:val="88"/>
                <w:sz w:val="20"/>
              </w:rPr>
            </w:pPr>
            <w:r>
              <w:rPr>
                <w:rFonts w:hint="eastAsia" w:ascii="ＭＳ ゴシック" w:hAnsi="ＭＳ ゴシック" w:eastAsia="ＭＳ ゴシック"/>
                <w:spacing w:val="-8"/>
                <w:w w:val="88"/>
                <w:sz w:val="20"/>
              </w:rPr>
              <w:t>令和４年度</w:t>
            </w:r>
          </w:p>
        </w:tc>
      </w:tr>
      <w:tr>
        <w:trPr/>
        <w:tc>
          <w:tcPr>
            <w:tcW w:w="3401" w:type="dxa"/>
            <w:gridSpan w:val="2"/>
            <w:tcBorders>
              <w:top w:val="single" w:color="auto" w:sz="4" w:space="0"/>
              <w:left w:val="single" w:color="auto" w:sz="4" w:space="0"/>
              <w:bottom w:val="nil"/>
              <w:right w:val="single" w:color="000000"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統合失調症</w:t>
            </w:r>
          </w:p>
        </w:tc>
        <w:tc>
          <w:tcPr>
            <w:tcW w:w="1105"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296</w:t>
            </w:r>
          </w:p>
        </w:tc>
        <w:tc>
          <w:tcPr>
            <w:tcW w:w="1106"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304</w:t>
            </w:r>
          </w:p>
        </w:tc>
        <w:tc>
          <w:tcPr>
            <w:tcW w:w="1105"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352</w:t>
            </w:r>
          </w:p>
        </w:tc>
        <w:tc>
          <w:tcPr>
            <w:tcW w:w="1106" w:type="dxa"/>
            <w:tcBorders>
              <w:top w:val="single" w:color="auto" w:sz="4" w:space="0"/>
              <w:left w:val="nil"/>
              <w:bottom w:val="single" w:color="000000" w:sz="4" w:space="0"/>
              <w:right w:val="nil"/>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321</w:t>
            </w:r>
          </w:p>
        </w:tc>
        <w:tc>
          <w:tcPr>
            <w:tcW w:w="1106"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310</w:t>
            </w:r>
          </w:p>
        </w:tc>
      </w:tr>
      <w:tr>
        <w:trPr/>
        <w:tc>
          <w:tcPr>
            <w:tcW w:w="3401" w:type="dxa"/>
            <w:gridSpan w:val="2"/>
            <w:tcBorders>
              <w:top w:val="single" w:color="000000" w:sz="4" w:space="0"/>
              <w:left w:val="single" w:color="auto" w:sz="4" w:space="0"/>
              <w:bottom w:val="nil"/>
              <w:right w:val="single" w:color="000000"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気分</w:t>
            </w:r>
            <w:r>
              <w:rPr>
                <w:rFonts w:hint="eastAsia" w:ascii="ＭＳ ゴシック" w:hAnsi="ＭＳ ゴシック" w:eastAsia="ＭＳ ゴシック"/>
                <w:w w:val="100"/>
                <w:sz w:val="20"/>
              </w:rPr>
              <w:t>(</w:t>
            </w:r>
            <w:r>
              <w:rPr>
                <w:rFonts w:hint="eastAsia" w:ascii="ＭＳ ゴシック" w:hAnsi="ＭＳ ゴシック" w:eastAsia="ＭＳ ゴシック"/>
                <w:w w:val="100"/>
                <w:sz w:val="20"/>
              </w:rPr>
              <w:t>感情</w:t>
            </w:r>
            <w:r>
              <w:rPr>
                <w:rFonts w:hint="eastAsia" w:ascii="ＭＳ ゴシック" w:hAnsi="ＭＳ ゴシック" w:eastAsia="ＭＳ ゴシック"/>
                <w:w w:val="100"/>
                <w:sz w:val="20"/>
              </w:rPr>
              <w:t>)</w:t>
            </w:r>
            <w:r>
              <w:rPr>
                <w:rFonts w:hint="eastAsia" w:ascii="ＭＳ ゴシック" w:hAnsi="ＭＳ ゴシック" w:eastAsia="ＭＳ ゴシック"/>
                <w:w w:val="100"/>
                <w:sz w:val="20"/>
              </w:rPr>
              <w:t>障害</w:t>
            </w:r>
          </w:p>
        </w:tc>
        <w:tc>
          <w:tcPr>
            <w:tcW w:w="1105"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304</w:t>
            </w:r>
          </w:p>
        </w:tc>
        <w:tc>
          <w:tcPr>
            <w:tcW w:w="1106"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333</w:t>
            </w:r>
          </w:p>
        </w:tc>
        <w:tc>
          <w:tcPr>
            <w:tcW w:w="1105"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410</w:t>
            </w:r>
          </w:p>
        </w:tc>
        <w:tc>
          <w:tcPr>
            <w:tcW w:w="1106" w:type="dxa"/>
            <w:tcBorders>
              <w:top w:val="single" w:color="000000" w:sz="4" w:space="0"/>
              <w:left w:val="nil"/>
              <w:bottom w:val="single" w:color="auto" w:sz="4" w:space="0"/>
              <w:right w:val="nil"/>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414</w:t>
            </w:r>
          </w:p>
        </w:tc>
        <w:tc>
          <w:tcPr>
            <w:tcW w:w="1106" w:type="dxa"/>
            <w:tcBorders>
              <w:top w:val="single" w:color="000000"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469</w:t>
            </w:r>
          </w:p>
        </w:tc>
      </w:tr>
      <w:tr>
        <w:trPr/>
        <w:tc>
          <w:tcPr>
            <w:tcW w:w="3401" w:type="dxa"/>
            <w:gridSpan w:val="2"/>
            <w:tcBorders>
              <w:top w:val="single" w:color="000000" w:sz="4"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てんかん</w:t>
            </w:r>
          </w:p>
        </w:tc>
        <w:tc>
          <w:tcPr>
            <w:tcW w:w="11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160</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164</w:t>
            </w:r>
          </w:p>
        </w:tc>
        <w:tc>
          <w:tcPr>
            <w:tcW w:w="11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178</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164</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169</w:t>
            </w:r>
          </w:p>
        </w:tc>
      </w:tr>
      <w:tr>
        <w:trPr/>
        <w:tc>
          <w:tcPr>
            <w:tcW w:w="1061"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脳器質性</w:t>
            </w:r>
          </w:p>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精神障害</w:t>
            </w:r>
          </w:p>
        </w:tc>
        <w:tc>
          <w:tcPr>
            <w:tcW w:w="23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アルツハイマー</w:t>
            </w:r>
          </w:p>
        </w:tc>
        <w:tc>
          <w:tcPr>
            <w:tcW w:w="11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70</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71</w:t>
            </w:r>
          </w:p>
        </w:tc>
        <w:tc>
          <w:tcPr>
            <w:tcW w:w="11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84</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79</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93</w:t>
            </w:r>
          </w:p>
        </w:tc>
      </w:tr>
      <w:tr>
        <w:trPr/>
        <w:tc>
          <w:tcPr>
            <w:tcW w:w="106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脳血管性認知症</w:t>
            </w:r>
          </w:p>
        </w:tc>
        <w:tc>
          <w:tcPr>
            <w:tcW w:w="1105"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w:t>
            </w:r>
          </w:p>
        </w:tc>
        <w:tc>
          <w:tcPr>
            <w:tcW w:w="1106"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1105" w:type="dxa"/>
            <w:tcBorders>
              <w:top w:val="single" w:color="auto" w:sz="4" w:space="0"/>
              <w:left w:val="nil"/>
              <w:bottom w:val="single" w:color="000000" w:sz="4" w:space="0"/>
              <w:right w:val="nil"/>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1106" w:type="dxa"/>
            <w:tcBorders>
              <w:top w:val="single" w:color="auto" w:sz="4" w:space="0"/>
              <w:left w:val="nil"/>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w:t>
            </w:r>
          </w:p>
        </w:tc>
      </w:tr>
      <w:tr>
        <w:trPr/>
        <w:tc>
          <w:tcPr>
            <w:tcW w:w="106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その他認知症</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25</w:t>
            </w:r>
          </w:p>
        </w:tc>
        <w:tc>
          <w:tcPr>
            <w:tcW w:w="1106" w:type="dxa"/>
            <w:tcBorders>
              <w:top w:val="single" w:color="auto" w:sz="4" w:space="0"/>
              <w:left w:val="nil"/>
              <w:bottom w:val="single" w:color="000000" w:sz="4" w:space="0"/>
              <w:right w:val="nil"/>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19</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22</w:t>
            </w:r>
          </w:p>
        </w:tc>
      </w:tr>
      <w:tr>
        <w:trPr/>
        <w:tc>
          <w:tcPr>
            <w:tcW w:w="106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その他器質性精神障害</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28</w:t>
            </w:r>
          </w:p>
        </w:tc>
        <w:tc>
          <w:tcPr>
            <w:tcW w:w="1106"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27</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r>
      <w:tr>
        <w:trPr/>
        <w:tc>
          <w:tcPr>
            <w:tcW w:w="1061"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中毒性</w:t>
            </w:r>
          </w:p>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精神障害</w:t>
            </w:r>
          </w:p>
        </w:tc>
        <w:tc>
          <w:tcPr>
            <w:tcW w:w="23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アルコール依存症</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31</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37</w:t>
            </w:r>
          </w:p>
        </w:tc>
        <w:tc>
          <w:tcPr>
            <w:tcW w:w="1106"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r>
      <w:tr>
        <w:trPr/>
        <w:tc>
          <w:tcPr>
            <w:tcW w:w="106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アルコール性精神病</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106"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r>
      <w:tr>
        <w:trPr/>
        <w:tc>
          <w:tcPr>
            <w:tcW w:w="106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覚醒剤依存症</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06"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106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覚醒剤精神病</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106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spacing w:val="-8"/>
                <w:w w:val="88"/>
                <w:sz w:val="20"/>
              </w:rPr>
            </w:pPr>
            <w:r>
              <w:rPr>
                <w:rFonts w:hint="eastAsia" w:ascii="ＭＳ ゴシック" w:hAnsi="ＭＳ ゴシック" w:eastAsia="ＭＳ ゴシック"/>
                <w:spacing w:val="-8"/>
                <w:w w:val="88"/>
                <w:sz w:val="20"/>
              </w:rPr>
              <w:t>有機溶液材中毒</w:t>
            </w:r>
            <w:r>
              <w:rPr>
                <w:rFonts w:hint="default" w:ascii="ＭＳ ゴシック" w:hAnsi="ＭＳ ゴシック" w:eastAsia="ＭＳ ゴシック"/>
                <w:spacing w:val="-8"/>
                <w:w w:val="88"/>
                <w:sz w:val="20"/>
              </w:rPr>
              <w:t>(</w:t>
            </w:r>
            <w:r>
              <w:rPr>
                <w:rFonts w:hint="eastAsia" w:ascii="ＭＳ ゴシック" w:hAnsi="ＭＳ ゴシック" w:eastAsia="ＭＳ ゴシック"/>
                <w:spacing w:val="-8"/>
                <w:w w:val="88"/>
                <w:sz w:val="20"/>
              </w:rPr>
              <w:t>シンナー等</w:t>
            </w:r>
            <w:r>
              <w:rPr>
                <w:rFonts w:hint="default" w:ascii="ＭＳ ゴシック" w:hAnsi="ＭＳ ゴシック" w:eastAsia="ＭＳ ゴシック"/>
                <w:spacing w:val="-8"/>
                <w:w w:val="88"/>
                <w:sz w:val="20"/>
              </w:rPr>
              <w:t>)</w:t>
            </w:r>
          </w:p>
        </w:tc>
        <w:tc>
          <w:tcPr>
            <w:tcW w:w="1105"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5"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nil"/>
              <w:bottom w:val="single" w:color="auto" w:sz="4" w:space="0"/>
              <w:right w:val="nil"/>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106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その他中毒性精神病</w:t>
            </w:r>
          </w:p>
        </w:tc>
        <w:tc>
          <w:tcPr>
            <w:tcW w:w="11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r>
      <w:tr>
        <w:trPr/>
        <w:tc>
          <w:tcPr>
            <w:tcW w:w="3401" w:type="dxa"/>
            <w:gridSpan w:val="2"/>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神経症圏の障害</w:t>
            </w:r>
          </w:p>
        </w:tc>
        <w:tc>
          <w:tcPr>
            <w:tcW w:w="11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73</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82</w:t>
            </w:r>
          </w:p>
        </w:tc>
        <w:tc>
          <w:tcPr>
            <w:tcW w:w="11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92</w:t>
            </w:r>
          </w:p>
        </w:tc>
        <w:tc>
          <w:tcPr>
            <w:tcW w:w="1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120</w:t>
            </w:r>
          </w:p>
        </w:tc>
      </w:tr>
      <w:tr>
        <w:trPr/>
        <w:tc>
          <w:tcPr>
            <w:tcW w:w="3401" w:type="dxa"/>
            <w:gridSpan w:val="2"/>
            <w:tcBorders>
              <w:top w:val="single" w:color="000000" w:sz="4" w:space="0"/>
              <w:left w:val="single" w:color="auto" w:sz="4" w:space="0"/>
              <w:bottom w:val="nil"/>
              <w:right w:val="single" w:color="000000"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人格障害</w:t>
            </w:r>
          </w:p>
        </w:tc>
        <w:tc>
          <w:tcPr>
            <w:tcW w:w="1105"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05"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06" w:type="dxa"/>
            <w:tcBorders>
              <w:top w:val="single" w:color="auto" w:sz="4" w:space="0"/>
              <w:left w:val="nil"/>
              <w:bottom w:val="single" w:color="000000" w:sz="4" w:space="0"/>
              <w:right w:val="nil"/>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06"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3401" w:type="dxa"/>
            <w:gridSpan w:val="2"/>
            <w:tcBorders>
              <w:top w:val="single" w:color="000000" w:sz="4" w:space="0"/>
              <w:left w:val="single" w:color="auto" w:sz="4" w:space="0"/>
              <w:bottom w:val="nil"/>
              <w:right w:val="single" w:color="000000"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知的障害</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106"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r>
      <w:tr>
        <w:trPr/>
        <w:tc>
          <w:tcPr>
            <w:tcW w:w="3401" w:type="dxa"/>
            <w:gridSpan w:val="2"/>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生理的障害及び身体的要因</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106"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r>
      <w:tr>
        <w:trPr/>
        <w:tc>
          <w:tcPr>
            <w:tcW w:w="340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心理的発達障害</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67</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69</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85</w:t>
            </w:r>
          </w:p>
        </w:tc>
        <w:tc>
          <w:tcPr>
            <w:tcW w:w="1106" w:type="dxa"/>
            <w:tcBorders>
              <w:top w:val="single" w:color="000000" w:sz="4" w:space="0"/>
              <w:left w:val="nil"/>
              <w:bottom w:val="single" w:color="000000" w:sz="4" w:space="0"/>
              <w:right w:val="nil"/>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80</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81</w:t>
            </w:r>
          </w:p>
        </w:tc>
      </w:tr>
      <w:tr>
        <w:trPr/>
        <w:tc>
          <w:tcPr>
            <w:tcW w:w="340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小児青年期の行動情緒障害</w:t>
            </w:r>
          </w:p>
        </w:tc>
        <w:tc>
          <w:tcPr>
            <w:tcW w:w="1105"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1106"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1105"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1106" w:type="dxa"/>
            <w:tcBorders>
              <w:top w:val="single" w:color="000000" w:sz="4" w:space="0"/>
              <w:left w:val="nil"/>
              <w:bottom w:val="single" w:color="auto" w:sz="4" w:space="0"/>
              <w:right w:val="nil"/>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22</w:t>
            </w:r>
          </w:p>
        </w:tc>
        <w:tc>
          <w:tcPr>
            <w:tcW w:w="1106" w:type="dxa"/>
            <w:tcBorders>
              <w:top w:val="single" w:color="000000"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r>
      <w:tr>
        <w:trPr/>
        <w:tc>
          <w:tcPr>
            <w:tcW w:w="1061" w:type="dxa"/>
            <w:vMerge w:val="restart"/>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w:t>
            </w:r>
          </w:p>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精神病</w:t>
            </w:r>
          </w:p>
        </w:tc>
        <w:tc>
          <w:tcPr>
            <w:tcW w:w="2340" w:type="dxa"/>
            <w:tcBorders>
              <w:top w:val="nil"/>
              <w:left w:val="nil"/>
              <w:bottom w:val="nil"/>
              <w:right w:val="nil"/>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心因反応</w:t>
            </w:r>
          </w:p>
        </w:tc>
        <w:tc>
          <w:tcPr>
            <w:tcW w:w="1105"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5" w:type="dxa"/>
            <w:tcBorders>
              <w:top w:val="single" w:color="auto"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auto" w:sz="4" w:space="0"/>
              <w:left w:val="nil"/>
              <w:bottom w:val="single" w:color="000000" w:sz="4" w:space="0"/>
              <w:right w:val="nil"/>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auto"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1061"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single" w:color="000000" w:sz="4" w:space="0"/>
              <w:left w:val="nil"/>
              <w:bottom w:val="nil"/>
              <w:right w:val="nil"/>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非定型精神病</w:t>
            </w:r>
          </w:p>
        </w:tc>
        <w:tc>
          <w:tcPr>
            <w:tcW w:w="110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5" w:type="dxa"/>
            <w:tcBorders>
              <w:top w:val="single" w:color="000000" w:sz="4" w:space="0"/>
              <w:left w:val="nil"/>
              <w:bottom w:val="single" w:color="000000"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nil"/>
              <w:bottom w:val="single" w:color="000000" w:sz="4" w:space="0"/>
              <w:right w:val="nil"/>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single" w:color="000000" w:sz="4" w:space="0"/>
              <w:bottom w:val="single" w:color="000000"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1061" w:type="dxa"/>
            <w:vMerge w:val="continue"/>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p>
        </w:tc>
        <w:tc>
          <w:tcPr>
            <w:tcW w:w="2340" w:type="dxa"/>
            <w:tcBorders>
              <w:top w:val="single" w:color="000000" w:sz="4" w:space="0"/>
              <w:left w:val="nil"/>
              <w:bottom w:val="nil"/>
              <w:right w:val="nil"/>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接枝分裂症</w:t>
            </w:r>
          </w:p>
        </w:tc>
        <w:tc>
          <w:tcPr>
            <w:tcW w:w="1105" w:type="dxa"/>
            <w:tcBorders>
              <w:top w:val="single" w:color="000000" w:sz="4" w:space="0"/>
              <w:left w:val="single" w:color="000000" w:sz="4" w:space="0"/>
              <w:bottom w:val="single" w:color="auto"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5" w:type="dxa"/>
            <w:tcBorders>
              <w:top w:val="single" w:color="000000" w:sz="4" w:space="0"/>
              <w:left w:val="nil"/>
              <w:bottom w:val="single" w:color="auto" w:sz="4" w:space="0"/>
              <w:right w:val="single" w:color="000000"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nil"/>
              <w:bottom w:val="single" w:color="auto" w:sz="4" w:space="0"/>
              <w:right w:val="nil"/>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000000"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center"/>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3401" w:type="dxa"/>
            <w:gridSpan w:val="2"/>
            <w:tcBorders>
              <w:top w:val="single" w:color="000000" w:sz="4" w:space="0"/>
              <w:left w:val="single" w:color="auto" w:sz="4" w:space="0"/>
              <w:bottom w:val="nil"/>
              <w:right w:val="single" w:color="000000"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その他精神障害</w:t>
            </w:r>
          </w:p>
        </w:tc>
        <w:tc>
          <w:tcPr>
            <w:tcW w:w="1105" w:type="dxa"/>
            <w:tcBorders>
              <w:top w:val="single" w:color="auto" w:sz="4" w:space="0"/>
              <w:left w:val="nil"/>
              <w:bottom w:val="single" w:color="auto" w:sz="4" w:space="0"/>
              <w:right w:val="single" w:color="000000"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auto" w:sz="4" w:space="0"/>
              <w:left w:val="nil"/>
              <w:bottom w:val="single" w:color="auto" w:sz="4" w:space="0"/>
              <w:right w:val="single" w:color="000000"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5" w:type="dxa"/>
            <w:tcBorders>
              <w:top w:val="single" w:color="auto" w:sz="4" w:space="0"/>
              <w:left w:val="nil"/>
              <w:bottom w:val="single" w:color="auto" w:sz="4" w:space="0"/>
              <w:right w:val="single" w:color="000000"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06" w:type="dxa"/>
            <w:tcBorders>
              <w:top w:val="single" w:color="auto" w:sz="4" w:space="0"/>
              <w:left w:val="nil"/>
              <w:bottom w:val="single" w:color="auto" w:sz="4" w:space="0"/>
              <w:right w:val="nil"/>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06" w:type="dxa"/>
            <w:tcBorders>
              <w:top w:val="single" w:color="auto" w:sz="4" w:space="0"/>
              <w:left w:val="single" w:color="000000" w:sz="4" w:space="0"/>
              <w:bottom w:val="single" w:color="auto" w:sz="4" w:space="0"/>
              <w:right w:val="single" w:color="auto"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3401" w:type="dxa"/>
            <w:gridSpan w:val="2"/>
            <w:tcBorders>
              <w:top w:val="single" w:color="auto" w:sz="4" w:space="0"/>
              <w:left w:val="single" w:color="auto" w:sz="4" w:space="0"/>
              <w:bottom w:val="double" w:color="auto" w:sz="6"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不明</w:t>
            </w:r>
          </w:p>
        </w:tc>
        <w:tc>
          <w:tcPr>
            <w:tcW w:w="1105" w:type="dxa"/>
            <w:tcBorders>
              <w:top w:val="single" w:color="auto" w:sz="4" w:space="0"/>
              <w:left w:val="nil"/>
              <w:bottom w:val="double" w:color="auto" w:sz="6" w:space="0"/>
              <w:right w:val="single" w:color="000000"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auto" w:sz="4" w:space="0"/>
              <w:left w:val="nil"/>
              <w:bottom w:val="double" w:color="auto" w:sz="6" w:space="0"/>
              <w:right w:val="single" w:color="000000"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5" w:type="dxa"/>
            <w:tcBorders>
              <w:top w:val="single" w:color="auto" w:sz="4" w:space="0"/>
              <w:left w:val="nil"/>
              <w:bottom w:val="double" w:color="auto" w:sz="6" w:space="0"/>
              <w:right w:val="single" w:color="000000"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auto" w:sz="4" w:space="0"/>
              <w:left w:val="nil"/>
              <w:bottom w:val="double" w:color="auto" w:sz="6" w:space="0"/>
              <w:right w:val="nil"/>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06" w:type="dxa"/>
            <w:tcBorders>
              <w:top w:val="single" w:color="auto" w:sz="4" w:space="0"/>
              <w:left w:val="single" w:color="000000" w:sz="4" w:space="0"/>
              <w:bottom w:val="double" w:color="auto" w:sz="6" w:space="0"/>
              <w:right w:val="single" w:color="auto"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3401" w:type="dxa"/>
            <w:gridSpan w:val="2"/>
            <w:tcBorders>
              <w:top w:val="nil"/>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1105" w:type="dxa"/>
            <w:tcBorders>
              <w:top w:val="double" w:color="auto" w:sz="6" w:space="0"/>
              <w:left w:val="nil"/>
              <w:bottom w:val="single" w:color="auto" w:sz="4" w:space="0"/>
              <w:right w:val="single" w:color="000000"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1,083</w:t>
            </w:r>
          </w:p>
        </w:tc>
        <w:tc>
          <w:tcPr>
            <w:tcW w:w="1106" w:type="dxa"/>
            <w:tcBorders>
              <w:top w:val="double" w:color="auto" w:sz="6" w:space="0"/>
              <w:left w:val="nil"/>
              <w:bottom w:val="single" w:color="auto" w:sz="4" w:space="0"/>
              <w:right w:val="single" w:color="000000"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1,139</w:t>
            </w:r>
          </w:p>
        </w:tc>
        <w:tc>
          <w:tcPr>
            <w:tcW w:w="1105" w:type="dxa"/>
            <w:tcBorders>
              <w:top w:val="double" w:color="auto" w:sz="6" w:space="0"/>
              <w:left w:val="nil"/>
              <w:bottom w:val="single" w:color="auto" w:sz="4" w:space="0"/>
              <w:right w:val="single" w:color="000000"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1,360</w:t>
            </w:r>
          </w:p>
        </w:tc>
        <w:tc>
          <w:tcPr>
            <w:tcW w:w="1106" w:type="dxa"/>
            <w:tcBorders>
              <w:top w:val="double" w:color="auto" w:sz="6" w:space="0"/>
              <w:left w:val="nil"/>
              <w:bottom w:val="single" w:color="auto" w:sz="4" w:space="0"/>
              <w:right w:val="single" w:color="000000"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1,285</w:t>
            </w:r>
          </w:p>
        </w:tc>
        <w:tc>
          <w:tcPr>
            <w:tcW w:w="1106" w:type="dxa"/>
            <w:tcBorders>
              <w:top w:val="double" w:color="auto" w:sz="6" w:space="0"/>
              <w:left w:val="nil"/>
              <w:bottom w:val="single" w:color="auto" w:sz="4" w:space="0"/>
              <w:right w:val="single" w:color="auto" w:sz="4" w:space="0"/>
              <w:tl2br w:val="none" w:color="auto" w:sz="0" w:space="0"/>
              <w:tr2bl w:val="none" w:color="auto" w:sz="0" w:space="0"/>
            </w:tcBorders>
            <w:shd w:val="clear" w:color="auto" w:fill="auto"/>
            <w:vAlign w:val="top"/>
          </w:tcPr>
          <w:p>
            <w:pPr>
              <w:pStyle w:val="44"/>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1,383</w:t>
            </w:r>
          </w:p>
        </w:tc>
      </w:tr>
    </w:tbl>
    <w:p>
      <w:pPr>
        <w:pStyle w:val="68"/>
        <w:spacing w:before="37" w:beforeLines="0" w:beforeAutospacing="0" w:after="0" w:afterLines="0" w:afterAutospacing="0"/>
        <w:ind w:left="1160" w:hanging="600"/>
        <w:rPr>
          <w:rFonts w:hint="default"/>
          <w:spacing w:val="-2"/>
        </w:rPr>
      </w:pPr>
      <w:r>
        <w:rPr>
          <w:rFonts w:hint="eastAsia"/>
          <w:spacing w:val="-2"/>
        </w:rPr>
        <w:t>資料：保健福祉課（各年度末時点）※各年度の４月１日～３</w:t>
      </w:r>
      <w:r>
        <w:rPr>
          <w:rFonts w:hint="default"/>
          <w:spacing w:val="-2"/>
        </w:rPr>
        <w:t>月</w:t>
      </w:r>
      <w:r>
        <w:rPr>
          <w:rFonts w:hint="default"/>
          <w:spacing w:val="-2"/>
        </w:rPr>
        <w:t>31</w:t>
      </w:r>
      <w:r>
        <w:rPr>
          <w:rFonts w:hint="default"/>
          <w:spacing w:val="-2"/>
        </w:rPr>
        <w:t>日の間に有効期間のあった方の数字。</w:t>
      </w: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86"/>
              <w:spacing w:before="74" w:beforeLines="0" w:beforeAutospacing="0"/>
              <w:rPr>
                <w:rFonts w:hint="default"/>
                <w:color w:val="auto"/>
              </w:rPr>
            </w:pPr>
            <w:r>
              <w:rPr>
                <w:rFonts w:hint="eastAsia"/>
                <w:color w:val="auto"/>
              </w:rPr>
              <w:t>※</w:t>
            </w:r>
            <w:r>
              <w:rPr>
                <w:rFonts w:hint="eastAsia"/>
                <w:color w:val="auto"/>
              </w:rPr>
              <w:t xml:space="preserve"> </w:t>
            </w:r>
            <w:r>
              <w:rPr>
                <w:rFonts w:hint="eastAsia"/>
                <w:color w:val="auto"/>
              </w:rPr>
              <w:t>精神通院医療</w:t>
            </w:r>
          </w:p>
          <w:p>
            <w:pPr>
              <w:pStyle w:val="85"/>
              <w:ind w:left="448" w:firstLine="204"/>
              <w:rPr>
                <w:rFonts w:hint="default"/>
                <w:color w:val="auto"/>
              </w:rPr>
            </w:pPr>
            <w:r>
              <w:rPr>
                <w:rFonts w:hint="eastAsia"/>
                <w:color w:val="auto"/>
              </w:rPr>
              <w:t>精神通院医療は、精神保健及び精神障害者福祉に関する法律に規定する精神疾患</w:t>
            </w:r>
            <w:r>
              <w:rPr>
                <w:rFonts w:hint="default"/>
                <w:color w:val="auto"/>
              </w:rPr>
              <w:t>(</w:t>
            </w:r>
            <w:r>
              <w:rPr>
                <w:rFonts w:hint="eastAsia"/>
                <w:color w:val="auto"/>
              </w:rPr>
              <w:t>てんかんを含む。</w:t>
            </w:r>
            <w:r>
              <w:rPr>
                <w:rFonts w:hint="default"/>
                <w:color w:val="auto"/>
              </w:rPr>
              <w:t>)</w:t>
            </w:r>
            <w:r>
              <w:rPr>
                <w:rFonts w:hint="eastAsia"/>
                <w:color w:val="auto"/>
              </w:rPr>
              <w:t>を有する者で、通院による精神医療を継続的に要する病状にある者に対し、その通院医療に係る自立支援医療費の支給を行うものです。１割は原則自己負担であるが、沖縄県では、復帰特別措置法に基づき自己負担分についても公費負担となっています。</w:t>
            </w:r>
          </w:p>
        </w:tc>
      </w:tr>
    </w:tbl>
    <w:p>
      <w:pPr>
        <w:pStyle w:val="0"/>
        <w:widowControl w:val="1"/>
        <w:spacing w:line="20" w:lineRule="exact"/>
        <w:jc w:val="left"/>
        <w:rPr>
          <w:rFonts w:hint="default"/>
        </w:rPr>
      </w:pPr>
      <w:r>
        <w:rPr>
          <w:rFonts w:hint="default"/>
        </w:rPr>
        <w:br w:type="page"/>
      </w:r>
    </w:p>
    <w:p>
      <w:pPr>
        <w:pStyle w:val="66"/>
        <w:spacing w:after="74" w:afterLines="0" w:afterAutospacing="0"/>
        <w:ind w:left="112"/>
        <w:outlineLvl w:val="3"/>
        <w:rPr>
          <w:rFonts w:hint="default"/>
          <w:color w:val="auto"/>
          <w:sz w:val="22"/>
        </w:rPr>
      </w:pPr>
      <w:r>
        <w:rPr>
          <w:rFonts w:hint="eastAsia"/>
          <w:color w:val="auto"/>
          <w:sz w:val="22"/>
        </w:rPr>
        <w:t>（７）</w:t>
      </w:r>
      <w:r>
        <w:rPr>
          <w:rFonts w:hint="eastAsia"/>
          <w:color w:val="auto"/>
          <w:sz w:val="22"/>
          <w:u w:val="single" w:color="auto"/>
        </w:rPr>
        <w:t>補装具費の交付状況</w:t>
      </w:r>
    </w:p>
    <w:p>
      <w:pPr>
        <w:pStyle w:val="67"/>
        <w:ind w:left="448" w:firstLine="214" w:firstLineChars="100"/>
        <w:rPr>
          <w:rFonts w:hint="default"/>
          <w:vertAlign w:val="superscript"/>
        </w:rPr>
      </w:pPr>
      <w:r>
        <w:rPr>
          <w:rFonts w:hint="default"/>
          <w:vertAlign w:val="superscript"/>
        </w:rPr>
        <w:t>※</w:t>
      </w:r>
      <w:r>
        <w:rPr>
          <w:rFonts w:hint="default"/>
        </w:rPr>
        <w:t>補装具費の交付件数は、</w:t>
      </w:r>
      <w:r>
        <w:rPr>
          <w:rFonts w:hint="eastAsia"/>
        </w:rPr>
        <w:t>平成</w:t>
      </w:r>
      <w:r>
        <w:rPr>
          <w:rFonts w:hint="eastAsia"/>
        </w:rPr>
        <w:t>30</w:t>
      </w:r>
      <w:r>
        <w:rPr>
          <w:rFonts w:hint="eastAsia"/>
        </w:rPr>
        <w:t>年度以降では令和２</w:t>
      </w:r>
      <w:r>
        <w:rPr>
          <w:rFonts w:hint="default"/>
        </w:rPr>
        <w:t>年度</w:t>
      </w:r>
      <w:r>
        <w:rPr>
          <w:rFonts w:hint="eastAsia"/>
        </w:rPr>
        <w:t>・令和３</w:t>
      </w:r>
      <w:r>
        <w:rPr>
          <w:rFonts w:hint="default"/>
        </w:rPr>
        <w:t>年度</w:t>
      </w:r>
      <w:r>
        <w:rPr>
          <w:rFonts w:hint="eastAsia"/>
        </w:rPr>
        <w:t>が</w:t>
      </w:r>
      <w:r>
        <w:rPr>
          <w:rFonts w:hint="eastAsia"/>
        </w:rPr>
        <w:t>90</w:t>
      </w:r>
      <w:r>
        <w:rPr>
          <w:rFonts w:hint="default"/>
        </w:rPr>
        <w:t>件</w:t>
      </w:r>
      <w:r>
        <w:rPr>
          <w:rFonts w:hint="eastAsia"/>
        </w:rPr>
        <w:t>台で</w:t>
      </w:r>
      <w:r>
        <w:rPr>
          <w:rFonts w:hint="default"/>
        </w:rPr>
        <w:t>多く</w:t>
      </w:r>
      <w:r>
        <w:rPr>
          <w:rFonts w:hint="eastAsia"/>
        </w:rPr>
        <w:t>なっていますが、令和４年度では</w:t>
      </w:r>
      <w:r>
        <w:rPr>
          <w:rFonts w:hint="eastAsia"/>
        </w:rPr>
        <w:t>74</w:t>
      </w:r>
      <w:r>
        <w:rPr>
          <w:rFonts w:hint="eastAsia"/>
        </w:rPr>
        <w:t>件に減少してい</w:t>
      </w:r>
      <w:r>
        <w:rPr>
          <w:rFonts w:hint="default"/>
        </w:rPr>
        <w:t>ます。</w:t>
      </w:r>
    </w:p>
    <w:p>
      <w:pPr>
        <w:pStyle w:val="67"/>
        <w:ind w:left="448" w:firstLine="214" w:firstLineChars="100"/>
        <w:rPr>
          <w:rFonts w:hint="default"/>
        </w:rPr>
      </w:pPr>
      <w:r>
        <w:rPr>
          <w:rFonts w:hint="default"/>
        </w:rPr>
        <w:t>補装具としては、</w:t>
      </w:r>
      <w:r>
        <w:rPr>
          <w:rFonts w:hint="eastAsia"/>
        </w:rPr>
        <w:t>毎年度</w:t>
      </w:r>
      <w:r>
        <w:rPr>
          <w:rFonts w:hint="default"/>
        </w:rPr>
        <w:t>「装具</w:t>
      </w:r>
      <w:r>
        <w:rPr>
          <w:rFonts w:hint="default"/>
        </w:rPr>
        <w:t>(</w:t>
      </w:r>
      <w:r>
        <w:rPr>
          <w:rFonts w:hint="default"/>
        </w:rPr>
        <w:t>下肢</w:t>
      </w:r>
      <w:r>
        <w:rPr>
          <w:rFonts w:hint="default"/>
        </w:rPr>
        <w:t>)</w:t>
      </w:r>
      <w:r>
        <w:rPr>
          <w:rFonts w:hint="default"/>
        </w:rPr>
        <w:t>」</w:t>
      </w:r>
      <w:r>
        <w:rPr>
          <w:rFonts w:hint="eastAsia"/>
        </w:rPr>
        <w:t>、「車いす</w:t>
      </w:r>
      <w:r>
        <w:rPr>
          <w:rFonts w:hint="eastAsia"/>
        </w:rPr>
        <w:t>(</w:t>
      </w:r>
      <w:r>
        <w:rPr>
          <w:rFonts w:hint="eastAsia"/>
        </w:rPr>
        <w:t>普通型</w:t>
      </w:r>
      <w:r>
        <w:rPr>
          <w:rFonts w:hint="eastAsia"/>
        </w:rPr>
        <w:t>)</w:t>
      </w:r>
      <w:r>
        <w:rPr>
          <w:rFonts w:hint="eastAsia"/>
        </w:rPr>
        <w:t>」、「補聴器</w:t>
      </w:r>
      <w:r>
        <w:rPr>
          <w:rFonts w:hint="eastAsia"/>
        </w:rPr>
        <w:t>(</w:t>
      </w:r>
      <w:r>
        <w:rPr>
          <w:rFonts w:hint="eastAsia"/>
        </w:rPr>
        <w:t>重度難聴用耳掛形」、「補聴器</w:t>
      </w:r>
      <w:r>
        <w:rPr>
          <w:rFonts w:hint="eastAsia"/>
        </w:rPr>
        <w:t>(</w:t>
      </w:r>
      <w:r>
        <w:rPr>
          <w:rFonts w:hint="eastAsia"/>
        </w:rPr>
        <w:t>高度難聴用耳掛形</w:t>
      </w:r>
      <w:r>
        <w:rPr>
          <w:rFonts w:hint="eastAsia"/>
        </w:rPr>
        <w:t>)</w:t>
      </w:r>
      <w:r>
        <w:rPr>
          <w:rFonts w:hint="eastAsia"/>
        </w:rPr>
        <w:t>」の４つが</w:t>
      </w:r>
      <w:r>
        <w:rPr>
          <w:rFonts w:hint="default"/>
        </w:rPr>
        <w:t>比較的多い状況</w:t>
      </w:r>
      <w:r>
        <w:rPr>
          <w:rFonts w:hint="eastAsia"/>
        </w:rPr>
        <w:t>にあり、令和４年度では</w:t>
      </w:r>
      <w:r>
        <w:rPr>
          <w:rFonts w:hint="default"/>
        </w:rPr>
        <w:t>「装具</w:t>
      </w:r>
      <w:r>
        <w:rPr>
          <w:rFonts w:hint="default"/>
        </w:rPr>
        <w:t>(</w:t>
      </w:r>
      <w:r>
        <w:rPr>
          <w:rFonts w:hint="default"/>
        </w:rPr>
        <w:t>下肢</w:t>
      </w:r>
      <w:r>
        <w:rPr>
          <w:rFonts w:hint="default"/>
        </w:rPr>
        <w:t>)</w:t>
      </w:r>
      <w:r>
        <w:rPr>
          <w:rFonts w:hint="default"/>
        </w:rPr>
        <w:t>」</w:t>
      </w:r>
      <w:r>
        <w:rPr>
          <w:rFonts w:hint="eastAsia"/>
        </w:rPr>
        <w:t>が</w:t>
      </w:r>
      <w:r>
        <w:rPr>
          <w:rFonts w:hint="eastAsia"/>
        </w:rPr>
        <w:t>14</w:t>
      </w:r>
      <w:r>
        <w:rPr>
          <w:rFonts w:hint="eastAsia"/>
        </w:rPr>
        <w:t>件と最も多く、次に「補聴器</w:t>
      </w:r>
      <w:r>
        <w:rPr>
          <w:rFonts w:hint="eastAsia"/>
        </w:rPr>
        <w:t>(</w:t>
      </w:r>
      <w:r>
        <w:rPr>
          <w:rFonts w:hint="eastAsia"/>
        </w:rPr>
        <w:t>重度難聴用耳掛形</w:t>
      </w:r>
      <w:r>
        <w:rPr>
          <w:rFonts w:hint="eastAsia"/>
        </w:rPr>
        <w:t>)</w:t>
      </w:r>
      <w:r>
        <w:rPr>
          <w:rFonts w:hint="eastAsia"/>
        </w:rPr>
        <w:t>」が</w:t>
      </w:r>
      <w:r>
        <w:rPr>
          <w:rFonts w:hint="eastAsia"/>
        </w:rPr>
        <w:t>12</w:t>
      </w:r>
      <w:r>
        <w:rPr>
          <w:rFonts w:hint="eastAsia"/>
        </w:rPr>
        <w:t>件、「車いす</w:t>
      </w:r>
      <w:r>
        <w:rPr>
          <w:rFonts w:hint="eastAsia"/>
        </w:rPr>
        <w:t>(</w:t>
      </w:r>
      <w:r>
        <w:rPr>
          <w:rFonts w:hint="eastAsia"/>
        </w:rPr>
        <w:t>普通型</w:t>
      </w:r>
      <w:r>
        <w:rPr>
          <w:rFonts w:hint="eastAsia"/>
        </w:rPr>
        <w:t>)</w:t>
      </w:r>
      <w:r>
        <w:rPr>
          <w:rFonts w:hint="eastAsia"/>
        </w:rPr>
        <w:t>」が</w:t>
      </w:r>
      <w:r>
        <w:rPr>
          <w:rFonts w:hint="eastAsia"/>
        </w:rPr>
        <w:t>10</w:t>
      </w:r>
      <w:r>
        <w:rPr>
          <w:rFonts w:hint="eastAsia"/>
        </w:rPr>
        <w:t>件となっています。</w:t>
      </w:r>
    </w:p>
    <w:p>
      <w:pPr>
        <w:pStyle w:val="67"/>
        <w:spacing w:line="0" w:lineRule="atLeast"/>
        <w:ind w:left="448" w:firstLine="164" w:firstLineChars="100"/>
        <w:rPr>
          <w:rFonts w:hint="default"/>
          <w:sz w:val="16"/>
        </w:rPr>
      </w:pPr>
    </w:p>
    <w:tbl>
      <w:tblPr>
        <w:tblStyle w:val="11"/>
        <w:tblW w:w="8834" w:type="dxa"/>
        <w:tblInd w:w="567" w:type="dxa"/>
        <w:tblLayout w:type="fixed"/>
        <w:tblCellMar>
          <w:left w:w="99" w:type="dxa"/>
          <w:right w:w="99" w:type="dxa"/>
        </w:tblCellMar>
        <w:tblLook w:firstRow="1" w:lastRow="0" w:firstColumn="1" w:lastColumn="0" w:noHBand="0" w:noVBand="1" w:val="04A0"/>
      </w:tblPr>
      <w:tblGrid>
        <w:gridCol w:w="567"/>
        <w:gridCol w:w="1418"/>
        <w:gridCol w:w="2086"/>
        <w:gridCol w:w="952"/>
        <w:gridCol w:w="953"/>
        <w:gridCol w:w="952"/>
        <w:gridCol w:w="953"/>
        <w:gridCol w:w="953"/>
      </w:tblGrid>
      <w:tr>
        <w:trPr/>
        <w:tc>
          <w:tcPr>
            <w:tcW w:w="5976" w:type="dxa"/>
            <w:gridSpan w:val="5"/>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left w:w="96" w:type="dxa"/>
              <w:right w:w="96" w:type="dxa"/>
            </w:tcMar>
            <w:vAlign w:val="bottom"/>
          </w:tcPr>
          <w:p>
            <w:pPr>
              <w:pStyle w:val="51"/>
              <w:snapToGrid w:val="0"/>
              <w:spacing w:line="0" w:lineRule="atLeast"/>
              <w:ind w:left="-221"/>
              <w:rPr>
                <w:rFonts w:hint="default" w:ascii="ＭＳ ゴシック" w:hAnsi="ＭＳ ゴシック" w:eastAsia="ＭＳ ゴシック"/>
              </w:rPr>
            </w:pPr>
            <w:r>
              <w:rPr>
                <w:rFonts w:hint="eastAsia" w:ascii="ＭＳ ゴシック" w:hAnsi="ＭＳ ゴシック" w:eastAsia="ＭＳ ゴシック"/>
                <w:sz w:val="21"/>
              </w:rPr>
              <w:t>【補装具費の交付状況】</w:t>
            </w:r>
          </w:p>
        </w:tc>
        <w:tc>
          <w:tcPr>
            <w:tcW w:w="2858" w:type="dxa"/>
            <w:gridSpan w:val="3"/>
            <w:tcBorders>
              <w:top w:val="none" w:color="auto" w:sz="0" w:space="0"/>
              <w:left w:val="nil"/>
              <w:bottom w:val="single" w:color="auto" w:sz="4" w:space="0"/>
              <w:right w:val="none" w:color="auto" w:sz="0" w:space="0"/>
              <w:tl2br w:val="none" w:color="auto" w:sz="0" w:space="0"/>
              <w:tr2bl w:val="none" w:color="auto" w:sz="0" w:space="0"/>
            </w:tcBorders>
            <w:shd w:val="clear" w:color="auto" w:fill="auto"/>
            <w:tcMar>
              <w:left w:w="96" w:type="dxa"/>
              <w:right w:w="96" w:type="dxa"/>
            </w:tcMar>
            <w:vAlign w:val="bottom"/>
          </w:tcPr>
          <w:p>
            <w:pPr>
              <w:pStyle w:val="54"/>
              <w:snapToGrid w:val="0"/>
              <w:spacing w:line="0" w:lineRule="atLeast"/>
              <w:rPr>
                <w:rFonts w:hint="default"/>
              </w:rPr>
            </w:pPr>
            <w:r>
              <w:rPr>
                <w:rFonts w:hint="default"/>
              </w:rPr>
              <w:t>(</w:t>
            </w:r>
            <w:r>
              <w:rPr>
                <w:rFonts w:hint="default"/>
              </w:rPr>
              <w:t>単位</w:t>
            </w:r>
            <w:r>
              <w:rPr>
                <w:rFonts w:hint="default"/>
              </w:rPr>
              <w:t>:</w:t>
            </w:r>
            <w:r>
              <w:rPr>
                <w:rFonts w:hint="default"/>
              </w:rPr>
              <w:t>件</w:t>
            </w:r>
            <w:r>
              <w:rPr>
                <w:rFonts w:hint="default"/>
              </w:rPr>
              <w:t>)</w:t>
            </w:r>
          </w:p>
        </w:tc>
      </w:tr>
      <w:tr>
        <w:trPr/>
        <w:tc>
          <w:tcPr>
            <w:tcW w:w="4071"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tcMar>
              <w:left w:w="57" w:type="dxa"/>
              <w:right w:w="57" w:type="dxa"/>
            </w:tcMar>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kern w:val="0"/>
                <w:sz w:val="20"/>
              </w:rPr>
              <w:t>種　目</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tcMar>
              <w:left w:w="57" w:type="dxa"/>
              <w:right w:w="57" w:type="dxa"/>
            </w:tcMar>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p>
          <w:p>
            <w:pPr>
              <w:pStyle w:val="0"/>
              <w:widowControl w:val="1"/>
              <w:spacing w:line="0" w:lineRule="atLeast"/>
              <w:jc w:val="center"/>
              <w:rPr>
                <w:rFonts w:hint="default" w:ascii="ＭＳ ゴシック" w:hAnsi="ＭＳ ゴシック" w:eastAsia="ＭＳ ゴシック"/>
                <w:spacing w:val="-4"/>
                <w:kern w:val="0"/>
                <w:sz w:val="20"/>
              </w:rPr>
            </w:pP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年度</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tcMar>
              <w:left w:w="57" w:type="dxa"/>
              <w:right w:w="57" w:type="dxa"/>
            </w:tcMar>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元年度</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２年度</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３年度</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４年度</w:t>
            </w:r>
          </w:p>
        </w:tc>
      </w:tr>
      <w:tr>
        <w:trPr/>
        <w:tc>
          <w:tcPr>
            <w:tcW w:w="567"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肢体不自由</w:t>
            </w:r>
          </w:p>
        </w:tc>
        <w:tc>
          <w:tcPr>
            <w:tcW w:w="14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義肢</w:t>
            </w: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義足</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装具</w:t>
            </w: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下肢</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靴型</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体幹</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上肢</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350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座位保持装置</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車いす</w:t>
            </w: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普通型</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電動車いす</w:t>
            </w: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普通型</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その他</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350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歩行器</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歩行補助つえ</w:t>
            </w: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rPr>
                <w:rFonts w:hint="default" w:ascii="ＭＳ ゴシック" w:hAnsi="ＭＳ ゴシック" w:eastAsia="ＭＳ ゴシック"/>
                <w:spacing w:val="-4"/>
                <w:w w:val="85"/>
                <w:kern w:val="0"/>
                <w:sz w:val="20"/>
              </w:rPr>
            </w:pPr>
            <w:r>
              <w:rPr>
                <w:rFonts w:hint="eastAsia" w:ascii="ＭＳ ゴシック" w:hAnsi="ＭＳ ゴシック" w:eastAsia="ＭＳ ゴシック"/>
                <w:spacing w:val="-4"/>
                <w:w w:val="85"/>
                <w:kern w:val="0"/>
                <w:sz w:val="20"/>
              </w:rPr>
              <w:t>つえ</w:t>
            </w:r>
            <w:r>
              <w:rPr>
                <w:rFonts w:hint="default" w:ascii="ＭＳ ゴシック" w:hAnsi="ＭＳ ゴシック" w:eastAsia="ＭＳ ゴシック"/>
                <w:spacing w:val="-4"/>
                <w:w w:val="85"/>
                <w:kern w:val="0"/>
                <w:sz w:val="20"/>
              </w:rPr>
              <w:t>(T</w:t>
            </w:r>
            <w:r>
              <w:rPr>
                <w:rFonts w:hint="default" w:ascii="ＭＳ ゴシック" w:hAnsi="ＭＳ ゴシック" w:eastAsia="ＭＳ ゴシック"/>
                <w:spacing w:val="-4"/>
                <w:w w:val="85"/>
                <w:kern w:val="0"/>
                <w:sz w:val="20"/>
              </w:rPr>
              <w:t>字状・棒状のつえ</w:t>
            </w:r>
            <w:r>
              <w:rPr>
                <w:rFonts w:hint="default" w:ascii="ＭＳ ゴシック" w:hAnsi="ＭＳ ゴシック" w:eastAsia="ＭＳ ゴシック"/>
                <w:spacing w:val="-4"/>
                <w:w w:val="85"/>
                <w:kern w:val="0"/>
                <w:sz w:val="20"/>
              </w:rPr>
              <w:t>)</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350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重度障害者用意思伝達装置</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6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350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座位保持いす</w:t>
            </w:r>
            <w:r>
              <w:rPr>
                <w:rFonts w:hint="default" w:ascii="ＭＳ ゴシック" w:hAnsi="ＭＳ ゴシック" w:eastAsia="ＭＳ ゴシック"/>
                <w:kern w:val="0"/>
                <w:sz w:val="20"/>
              </w:rPr>
              <w:t>(</w:t>
            </w:r>
            <w:r>
              <w:rPr>
                <w:rFonts w:hint="default" w:ascii="ＭＳ ゴシック" w:hAnsi="ＭＳ ゴシック" w:eastAsia="ＭＳ ゴシック"/>
                <w:kern w:val="0"/>
                <w:sz w:val="20"/>
              </w:rPr>
              <w:t>児童のみ対象）</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6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350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起立保持具（児童のみ対象）</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350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頭部保持具</w:t>
            </w:r>
            <w:r>
              <w:rPr>
                <w:rFonts w:hint="default" w:ascii="ＭＳ ゴシック" w:hAnsi="ＭＳ ゴシック" w:eastAsia="ＭＳ ゴシック"/>
                <w:kern w:val="0"/>
                <w:sz w:val="20"/>
              </w:rPr>
              <w:t>(</w:t>
            </w:r>
            <w:r>
              <w:rPr>
                <w:rFonts w:hint="default" w:ascii="ＭＳ ゴシック" w:hAnsi="ＭＳ ゴシック" w:eastAsia="ＭＳ ゴシック"/>
                <w:kern w:val="0"/>
                <w:sz w:val="20"/>
              </w:rPr>
              <w:t>児童のみ対象</w:t>
            </w:r>
            <w:r>
              <w:rPr>
                <w:rFonts w:hint="default" w:ascii="ＭＳ ゴシック" w:hAnsi="ＭＳ ゴシック" w:eastAsia="ＭＳ ゴシック"/>
                <w:kern w:val="0"/>
                <w:sz w:val="20"/>
              </w:rPr>
              <w:t>)</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視覚障害</w:t>
            </w:r>
          </w:p>
        </w:tc>
        <w:tc>
          <w:tcPr>
            <w:tcW w:w="350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盲人安全つえ</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350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義眼</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眼鏡</w:t>
            </w: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矯正眼鏡</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56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p>
        </w:tc>
        <w:tc>
          <w:tcPr>
            <w:tcW w:w="141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遮光眼鏡</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67"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textDirection w:val="tbRlV"/>
            <w:vAlign w:val="center"/>
          </w:tcPr>
          <w:p>
            <w:pPr>
              <w:pStyle w:val="0"/>
              <w:widowControl w:val="1"/>
              <w:spacing w:line="0" w:lineRule="atLeast"/>
              <w:ind w:left="113" w:right="113"/>
              <w:jc w:val="center"/>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聴覚障害</w:t>
            </w:r>
          </w:p>
        </w:tc>
        <w:tc>
          <w:tcPr>
            <w:tcW w:w="1418"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補聴器</w:t>
            </w: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重度難聴用箱形</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jc w:val="left"/>
              <w:rPr>
                <w:rFonts w:hint="default" w:ascii="ＭＳ ゴシック" w:hAnsi="ＭＳ ゴシック" w:eastAsia="ＭＳ ゴシック"/>
                <w:kern w:val="0"/>
                <w:sz w:val="20"/>
              </w:rPr>
            </w:pPr>
          </w:p>
        </w:tc>
        <w:tc>
          <w:tcPr>
            <w:tcW w:w="1418"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重度難聴用耳掛形</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jc w:val="left"/>
              <w:rPr>
                <w:rFonts w:hint="default" w:ascii="ＭＳ ゴシック" w:hAnsi="ＭＳ ゴシック" w:eastAsia="ＭＳ ゴシック"/>
                <w:kern w:val="0"/>
                <w:sz w:val="20"/>
              </w:rPr>
            </w:pPr>
          </w:p>
        </w:tc>
        <w:tc>
          <w:tcPr>
            <w:tcW w:w="1418"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spacing w:val="-4"/>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高度難聴用箱形</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jc w:val="left"/>
              <w:rPr>
                <w:rFonts w:hint="default" w:ascii="ＭＳ ゴシック" w:hAnsi="ＭＳ ゴシック" w:eastAsia="ＭＳ ゴシック"/>
                <w:kern w:val="0"/>
                <w:sz w:val="20"/>
              </w:rPr>
            </w:pPr>
          </w:p>
        </w:tc>
        <w:tc>
          <w:tcPr>
            <w:tcW w:w="1418"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高度難聴用耳掛形</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jc w:val="left"/>
              <w:rPr>
                <w:rFonts w:hint="default" w:ascii="ＭＳ ゴシック" w:hAnsi="ＭＳ ゴシック" w:eastAsia="ＭＳ ゴシック"/>
                <w:kern w:val="0"/>
                <w:sz w:val="20"/>
              </w:rPr>
            </w:pPr>
          </w:p>
        </w:tc>
        <w:tc>
          <w:tcPr>
            <w:tcW w:w="1418"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挿耳型</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jc w:val="left"/>
              <w:rPr>
                <w:rFonts w:hint="default" w:ascii="ＭＳ ゴシック" w:hAnsi="ＭＳ ゴシック" w:eastAsia="ＭＳ ゴシック"/>
                <w:kern w:val="0"/>
                <w:sz w:val="20"/>
              </w:rPr>
            </w:pPr>
          </w:p>
        </w:tc>
        <w:tc>
          <w:tcPr>
            <w:tcW w:w="1418" w:type="dxa"/>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5"/>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骨導型</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567"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jc w:val="left"/>
              <w:rPr>
                <w:rFonts w:hint="default" w:ascii="ＭＳ ゴシック" w:hAnsi="ＭＳ ゴシック" w:eastAsia="ＭＳ ゴシック"/>
                <w:kern w:val="0"/>
                <w:sz w:val="20"/>
              </w:rPr>
            </w:pPr>
          </w:p>
        </w:tc>
        <w:tc>
          <w:tcPr>
            <w:tcW w:w="141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spacing w:val="-8"/>
                <w:w w:val="88"/>
                <w:kern w:val="0"/>
                <w:sz w:val="20"/>
              </w:rPr>
            </w:pPr>
          </w:p>
        </w:tc>
        <w:tc>
          <w:tcPr>
            <w:tcW w:w="208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ＦＭ補聴器</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567" w:type="dxa"/>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jc w:val="lef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人工</w:t>
            </w:r>
          </w:p>
          <w:p>
            <w:pPr>
              <w:pStyle w:val="0"/>
              <w:widowControl w:val="1"/>
              <w:spacing w:line="0" w:lineRule="atLeast"/>
              <w:jc w:val="lef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内耳</w:t>
            </w:r>
          </w:p>
        </w:tc>
        <w:tc>
          <w:tcPr>
            <w:tcW w:w="3504" w:type="dxa"/>
            <w:gridSpan w:val="2"/>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0"/>
              <w:widowControl w:val="1"/>
              <w:spacing w:line="0" w:lineRule="atLeast"/>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人工内耳音声信号処理装置</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w:t>
            </w:r>
          </w:p>
        </w:tc>
        <w:tc>
          <w:tcPr>
            <w:tcW w:w="9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w:t>
            </w:r>
          </w:p>
        </w:tc>
        <w:tc>
          <w:tcPr>
            <w:tcW w:w="95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4071" w:type="dxa"/>
            <w:gridSpan w:val="3"/>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952"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75</w:t>
            </w:r>
          </w:p>
        </w:tc>
        <w:tc>
          <w:tcPr>
            <w:tcW w:w="95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73</w:t>
            </w:r>
          </w:p>
        </w:tc>
        <w:tc>
          <w:tcPr>
            <w:tcW w:w="952"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97</w:t>
            </w:r>
          </w:p>
        </w:tc>
        <w:tc>
          <w:tcPr>
            <w:tcW w:w="95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96</w:t>
            </w:r>
          </w:p>
        </w:tc>
        <w:tc>
          <w:tcPr>
            <w:tcW w:w="953"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74</w:t>
            </w:r>
          </w:p>
        </w:tc>
      </w:tr>
    </w:tbl>
    <w:p>
      <w:pPr>
        <w:pStyle w:val="68"/>
        <w:spacing w:before="37" w:beforeLines="0" w:beforeAutospacing="0" w:after="0" w:afterLines="0" w:afterAutospacing="0"/>
        <w:ind w:left="1172"/>
        <w:rPr>
          <w:rFonts w:hint="default"/>
        </w:rPr>
      </w:pPr>
      <w:r>
        <w:rPr>
          <w:rFonts w:hint="eastAsia"/>
        </w:rPr>
        <w:t>資料：保健福祉課（各年度末時点）</w:t>
      </w:r>
    </w:p>
    <w:p>
      <w:pPr>
        <w:pStyle w:val="67"/>
        <w:ind w:left="448" w:firstLine="214" w:firstLineChars="100"/>
        <w:rPr>
          <w:rFonts w:hint="default"/>
        </w:rPr>
      </w:pPr>
    </w:p>
    <w:p>
      <w:pPr>
        <w:pStyle w:val="67"/>
        <w:spacing w:line="0" w:lineRule="atLeast"/>
        <w:ind w:left="448" w:firstLine="144" w:firstLineChars="100"/>
        <w:rPr>
          <w:rFonts w:hint="default"/>
          <w:sz w:val="14"/>
        </w:rPr>
      </w:pPr>
    </w:p>
    <w:p>
      <w:pPr>
        <w:pStyle w:val="67"/>
        <w:spacing w:line="0" w:lineRule="atLeast"/>
        <w:ind w:left="448" w:firstLine="104" w:firstLineChars="100"/>
        <w:rPr>
          <w:rFonts w:hint="default"/>
          <w:sz w:val="10"/>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86"/>
              <w:spacing w:before="74" w:beforeLines="0" w:beforeAutospacing="0"/>
              <w:rPr>
                <w:rFonts w:hint="default"/>
                <w:color w:val="auto"/>
              </w:rPr>
            </w:pPr>
            <w:r>
              <w:rPr>
                <w:rFonts w:hint="eastAsia"/>
                <w:color w:val="auto"/>
              </w:rPr>
              <w:t>※</w:t>
            </w:r>
            <w:r>
              <w:rPr>
                <w:rFonts w:hint="eastAsia"/>
                <w:color w:val="auto"/>
              </w:rPr>
              <w:t xml:space="preserve"> </w:t>
            </w:r>
            <w:r>
              <w:rPr>
                <w:rFonts w:hint="default"/>
                <w:color w:val="auto"/>
              </w:rPr>
              <w:t>補装具費</w:t>
            </w:r>
          </w:p>
          <w:p>
            <w:pPr>
              <w:pStyle w:val="85"/>
              <w:ind w:left="448" w:firstLine="204"/>
              <w:rPr>
                <w:rFonts w:hint="default"/>
                <w:color w:val="auto"/>
              </w:rPr>
            </w:pPr>
            <w:r>
              <w:rPr>
                <w:rFonts w:hint="eastAsia"/>
                <w:color w:val="auto"/>
              </w:rPr>
              <w:t>身体障がい者</w:t>
            </w:r>
            <w:r>
              <w:rPr>
                <w:rFonts w:hint="default"/>
                <w:color w:val="auto"/>
              </w:rPr>
              <w:t>・障がい児の失われた身体機能を補完・代替し、身体障がい者の就労その他日常生活の能力の向上、また、身体障がい児については、将来、社会人として自立するための素地を育成・助長することを目的に、補装具の購入又は修理に要した費用について補装具費</w:t>
            </w:r>
            <w:r>
              <w:rPr>
                <w:rFonts w:hint="default"/>
                <w:color w:val="auto"/>
              </w:rPr>
              <w:t>(</w:t>
            </w:r>
            <w:r>
              <w:rPr>
                <w:rFonts w:hint="default"/>
                <w:color w:val="auto"/>
              </w:rPr>
              <w:t>原則利用</w:t>
            </w:r>
            <w:r>
              <w:rPr>
                <w:rFonts w:hint="eastAsia"/>
                <w:color w:val="auto"/>
              </w:rPr>
              <w:t>者１</w:t>
            </w:r>
            <w:r>
              <w:rPr>
                <w:rFonts w:hint="default"/>
                <w:color w:val="auto"/>
              </w:rPr>
              <w:t>割負担</w:t>
            </w:r>
            <w:r>
              <w:rPr>
                <w:rFonts w:hint="default"/>
                <w:color w:val="auto"/>
              </w:rPr>
              <w:t>)</w:t>
            </w:r>
            <w:r>
              <w:rPr>
                <w:rFonts w:hint="default"/>
                <w:color w:val="auto"/>
              </w:rPr>
              <w:t>を支給しています。</w:t>
            </w:r>
          </w:p>
        </w:tc>
      </w:tr>
    </w:tbl>
    <w:p>
      <w:pPr>
        <w:pStyle w:val="68"/>
        <w:spacing w:before="0" w:beforeLines="0" w:beforeAutospacing="0" w:after="0" w:afterLines="0" w:afterAutospacing="0" w:line="20" w:lineRule="exact"/>
        <w:ind w:left="1172"/>
        <w:rPr>
          <w:rFonts w:hint="default"/>
        </w:rPr>
      </w:pPr>
      <w:r>
        <w:rPr>
          <w:rFonts w:hint="default"/>
        </w:rPr>
        <w:br w:type="page"/>
      </w:r>
    </w:p>
    <w:p>
      <w:pPr>
        <w:pStyle w:val="66"/>
        <w:spacing w:after="74" w:afterLines="0" w:afterAutospacing="0"/>
        <w:ind w:left="112"/>
        <w:outlineLvl w:val="3"/>
        <w:rPr>
          <w:rFonts w:hint="default"/>
          <w:color w:val="auto"/>
          <w:sz w:val="22"/>
        </w:rPr>
      </w:pPr>
      <w:r>
        <w:rPr>
          <w:rFonts w:hint="eastAsia"/>
          <w:color w:val="auto"/>
          <w:sz w:val="22"/>
        </w:rPr>
        <w:t>（８）</w:t>
      </w:r>
      <w:r>
        <w:rPr>
          <w:rFonts w:hint="eastAsia"/>
          <w:color w:val="auto"/>
          <w:sz w:val="22"/>
          <w:u w:val="single" w:color="auto"/>
        </w:rPr>
        <w:t>発達支援保育</w:t>
      </w:r>
    </w:p>
    <w:p>
      <w:pPr>
        <w:pStyle w:val="67"/>
        <w:ind w:left="448" w:firstLine="210" w:firstLineChars="100"/>
        <w:rPr>
          <w:rFonts w:hint="default"/>
          <w:spacing w:val="-2"/>
        </w:rPr>
      </w:pPr>
      <w:r>
        <w:rPr>
          <w:rFonts w:hint="default"/>
          <w:spacing w:val="-2"/>
        </w:rPr>
        <w:t>本町では、障がいのある子や発育・発達が気になる未就学の子について、早期療育の観点から、集団生活の訓練、発達に関する指導等を行うために「親子通園事業」を実施しています。利用している子は</w:t>
      </w:r>
      <w:r>
        <w:rPr>
          <w:rFonts w:hint="eastAsia"/>
          <w:spacing w:val="-2"/>
        </w:rPr>
        <w:t>令和２年・令和４年の</w:t>
      </w:r>
      <w:r>
        <w:rPr>
          <w:rFonts w:hint="eastAsia"/>
          <w:spacing w:val="-2"/>
        </w:rPr>
        <w:t>11</w:t>
      </w:r>
      <w:r>
        <w:rPr>
          <w:rFonts w:hint="eastAsia"/>
          <w:spacing w:val="-2"/>
        </w:rPr>
        <w:t>人が最も多くなっています。</w:t>
      </w:r>
    </w:p>
    <w:p>
      <w:pPr>
        <w:pStyle w:val="67"/>
        <w:ind w:left="448" w:firstLine="214" w:firstLineChars="100"/>
        <w:rPr>
          <w:rFonts w:hint="default"/>
        </w:rPr>
      </w:pPr>
      <w:r>
        <w:rPr>
          <w:rFonts w:hint="default"/>
        </w:rPr>
        <w:t>また、</w:t>
      </w:r>
      <w:r>
        <w:rPr>
          <w:rFonts w:hint="eastAsia"/>
        </w:rPr>
        <w:t>町立保育所</w:t>
      </w:r>
      <w:r>
        <w:rPr>
          <w:rFonts w:hint="eastAsia"/>
        </w:rPr>
        <w:t>(1</w:t>
      </w:r>
      <w:r>
        <w:rPr>
          <w:rFonts w:hint="eastAsia"/>
        </w:rPr>
        <w:t>施設</w:t>
      </w:r>
      <w:r>
        <w:rPr>
          <w:rFonts w:hint="eastAsia"/>
        </w:rPr>
        <w:t>)</w:t>
      </w:r>
      <w:r>
        <w:rPr>
          <w:rFonts w:hint="eastAsia"/>
        </w:rPr>
        <w:t>と認可保育園</w:t>
      </w:r>
      <w:r>
        <w:rPr>
          <w:rFonts w:hint="eastAsia"/>
        </w:rPr>
        <w:t>(14</w:t>
      </w:r>
      <w:r>
        <w:rPr>
          <w:rFonts w:hint="eastAsia"/>
        </w:rPr>
        <w:t>施設</w:t>
      </w:r>
      <w:r>
        <w:rPr>
          <w:rFonts w:hint="eastAsia"/>
        </w:rPr>
        <w:t>)</w:t>
      </w:r>
      <w:r>
        <w:rPr>
          <w:rFonts w:hint="eastAsia"/>
        </w:rPr>
        <w:t>で</w:t>
      </w:r>
      <w:r>
        <w:rPr>
          <w:rFonts w:hint="default"/>
        </w:rPr>
        <w:t>、発達支援児保育として障がいのある子を受け入れて</w:t>
      </w:r>
      <w:r>
        <w:rPr>
          <w:rFonts w:hint="default"/>
          <w:spacing w:val="-2"/>
        </w:rPr>
        <w:t>います</w:t>
      </w:r>
      <w:r>
        <w:rPr>
          <w:rFonts w:hint="default"/>
        </w:rPr>
        <w:t>。発達支援児保育の対象となる子は、</w:t>
      </w:r>
      <w:r>
        <w:rPr>
          <w:rFonts w:hint="eastAsia"/>
        </w:rPr>
        <w:t>令和２年までは</w:t>
      </w:r>
      <w:r>
        <w:rPr>
          <w:rFonts w:hint="eastAsia"/>
        </w:rPr>
        <w:t>20</w:t>
      </w:r>
      <w:r>
        <w:rPr>
          <w:rFonts w:hint="eastAsia"/>
        </w:rPr>
        <w:t>人程度ですが、令和４年では</w:t>
      </w:r>
      <w:r>
        <w:rPr>
          <w:rFonts w:hint="eastAsia"/>
        </w:rPr>
        <w:t>43</w:t>
      </w:r>
      <w:r>
        <w:rPr>
          <w:rFonts w:hint="eastAsia"/>
        </w:rPr>
        <w:t>人となっています</w:t>
      </w:r>
      <w:r>
        <w:rPr>
          <w:rFonts w:hint="default"/>
        </w:rPr>
        <w:t>。</w:t>
      </w:r>
    </w:p>
    <w:p>
      <w:pPr>
        <w:pStyle w:val="67"/>
        <w:spacing w:line="0" w:lineRule="atLeast"/>
        <w:ind w:left="448" w:firstLine="164" w:firstLineChars="100"/>
        <w:rPr>
          <w:rFonts w:hint="default"/>
          <w:sz w:val="16"/>
        </w:rPr>
      </w:pPr>
    </w:p>
    <w:tbl>
      <w:tblPr>
        <w:tblStyle w:val="11"/>
        <w:tblW w:w="8940" w:type="dxa"/>
        <w:tblInd w:w="567" w:type="dxa"/>
        <w:tblLayout w:type="fixed"/>
        <w:tblCellMar>
          <w:top w:w="28" w:type="dxa"/>
          <w:bottom w:w="28" w:type="dxa"/>
        </w:tblCellMar>
        <w:tblLook w:firstRow="0" w:lastRow="0" w:firstColumn="0" w:lastColumn="0" w:noHBand="0" w:noVBand="0" w:val="0000"/>
      </w:tblPr>
      <w:tblGrid>
        <w:gridCol w:w="2694"/>
        <w:gridCol w:w="1249"/>
        <w:gridCol w:w="1249"/>
        <w:gridCol w:w="1249"/>
        <w:gridCol w:w="222"/>
        <w:gridCol w:w="1027"/>
        <w:gridCol w:w="1250"/>
      </w:tblGrid>
      <w:tr>
        <w:trPr/>
        <w:tc>
          <w:tcPr>
            <w:tcW w:w="2694" w:type="dxa"/>
            <w:vAlign w:val="bottom"/>
          </w:tcPr>
          <w:p>
            <w:pPr>
              <w:pStyle w:val="51"/>
              <w:snapToGrid w:val="0"/>
              <w:spacing w:line="0" w:lineRule="atLeast"/>
              <w:ind w:left="-221"/>
              <w:rPr>
                <w:rFonts w:hint="default" w:ascii="ＭＳ ゴシック" w:hAnsi="ＭＳ ゴシック" w:eastAsia="ＭＳ ゴシック"/>
              </w:rPr>
            </w:pPr>
            <w:r>
              <w:rPr>
                <w:rFonts w:hint="eastAsia" w:ascii="ＭＳ ゴシック" w:hAnsi="ＭＳ ゴシック" w:eastAsia="ＭＳ ゴシック"/>
                <w:sz w:val="21"/>
              </w:rPr>
              <w:t>【発達支援保育】</w:t>
            </w:r>
          </w:p>
        </w:tc>
        <w:tc>
          <w:tcPr>
            <w:tcW w:w="3969" w:type="dxa"/>
            <w:gridSpan w:val="4"/>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277" w:type="dxa"/>
            <w:gridSpan w:val="2"/>
            <w:tcMar>
              <w:top w:w="0" w:type="dxa"/>
              <w:bottom w:w="0" w:type="dxa"/>
            </w:tcMar>
            <w:vAlign w:val="bottom"/>
          </w:tcPr>
          <w:p>
            <w:pPr>
              <w:pStyle w:val="54"/>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c>
          <w:tcPr>
            <w:tcW w:w="2694" w:type="dxa"/>
            <w:tcBorders>
              <w:top w:val="single" w:color="000000" w:sz="4" w:space="0"/>
              <w:left w:val="single" w:color="000000"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施設等名称</w:t>
            </w:r>
          </w:p>
        </w:tc>
        <w:tc>
          <w:tcPr>
            <w:tcW w:w="1249" w:type="dxa"/>
            <w:tcBorders>
              <w:top w:val="single" w:color="000000" w:sz="4" w:space="0"/>
              <w:left w:val="single" w:color="auto"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w:t>
            </w:r>
          </w:p>
        </w:tc>
        <w:tc>
          <w:tcPr>
            <w:tcW w:w="1249" w:type="dxa"/>
            <w:tcBorders>
              <w:top w:val="single" w:color="000000"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令和元年</w:t>
            </w:r>
          </w:p>
        </w:tc>
        <w:tc>
          <w:tcPr>
            <w:tcW w:w="1249" w:type="dxa"/>
            <w:tcBorders>
              <w:top w:val="single" w:color="000000"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令和２年</w:t>
            </w:r>
          </w:p>
        </w:tc>
        <w:tc>
          <w:tcPr>
            <w:tcW w:w="1249" w:type="dxa"/>
            <w:gridSpan w:val="2"/>
            <w:tcBorders>
              <w:top w:val="single" w:color="000000"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令和３年</w:t>
            </w:r>
          </w:p>
        </w:tc>
        <w:tc>
          <w:tcPr>
            <w:tcW w:w="1250" w:type="dxa"/>
            <w:tcBorders>
              <w:top w:val="single" w:color="000000" w:sz="4" w:space="0"/>
              <w:left w:val="single" w:color="000000" w:sz="4" w:space="0"/>
              <w:bottom w:val="single" w:color="auto" w:sz="4" w:space="0"/>
              <w:right w:val="single" w:color="000000" w:sz="4" w:space="0"/>
              <w:tl2br w:val="none" w:color="auto" w:sz="0" w:space="0"/>
              <w:tr2bl w:val="none" w:color="auto" w:sz="0" w:space="0"/>
            </w:tcBorders>
            <w:shd w:val="clear" w:color="auto" w:themeFill="background1" w:themeFillTint="FF" w:themeFillShade="D9"/>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令和４年</w:t>
            </w:r>
          </w:p>
        </w:tc>
      </w:tr>
      <w:tr>
        <w:trPr/>
        <w:tc>
          <w:tcPr>
            <w:tcW w:w="26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both"/>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親子通園事業（ゆうな園）</w:t>
            </w:r>
          </w:p>
        </w:tc>
        <w:tc>
          <w:tcPr>
            <w:tcW w:w="1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124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2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r>
      <w:tr>
        <w:trPr/>
        <w:tc>
          <w:tcPr>
            <w:tcW w:w="26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44"/>
              <w:snapToGrid w:val="0"/>
              <w:spacing w:before="0" w:beforeLines="0" w:beforeAutospacing="0" w:after="0" w:afterLines="0" w:afterAutospacing="0" w:line="240" w:lineRule="auto"/>
              <w:jc w:val="lef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保育所（園）</w:t>
            </w:r>
          </w:p>
        </w:tc>
        <w:tc>
          <w:tcPr>
            <w:tcW w:w="1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12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24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37</w:t>
            </w:r>
          </w:p>
        </w:tc>
        <w:tc>
          <w:tcPr>
            <w:tcW w:w="12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43</w:t>
            </w:r>
          </w:p>
        </w:tc>
      </w:tr>
    </w:tbl>
    <w:p>
      <w:pPr>
        <w:pStyle w:val="68"/>
        <w:spacing w:before="37" w:beforeLines="0" w:beforeAutospacing="0" w:after="0" w:afterLines="0" w:afterAutospacing="0"/>
        <w:ind w:left="1172"/>
        <w:rPr>
          <w:rFonts w:hint="default"/>
        </w:rPr>
      </w:pPr>
      <w:r>
        <w:rPr>
          <w:rFonts w:hint="eastAsia"/>
        </w:rPr>
        <w:t>資料：通園事業は保健福祉課、保育所</w:t>
      </w:r>
      <w:r>
        <w:rPr>
          <w:rFonts w:hint="eastAsia"/>
        </w:rPr>
        <w:t>(</w:t>
      </w:r>
      <w:r>
        <w:rPr>
          <w:rFonts w:hint="eastAsia"/>
        </w:rPr>
        <w:t>園</w:t>
      </w:r>
      <w:r>
        <w:rPr>
          <w:rFonts w:hint="eastAsia"/>
        </w:rPr>
        <w:t>)</w:t>
      </w:r>
      <w:r>
        <w:rPr>
          <w:rFonts w:hint="eastAsia"/>
        </w:rPr>
        <w:t>はこども課（各年度４月１日現在）</w:t>
      </w: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6"/>
        <w:spacing w:after="74" w:afterLines="0" w:afterAutospacing="0"/>
        <w:ind w:left="112"/>
        <w:outlineLvl w:val="3"/>
        <w:rPr>
          <w:rFonts w:hint="default"/>
          <w:color w:val="auto"/>
          <w:sz w:val="22"/>
        </w:rPr>
      </w:pPr>
      <w:r>
        <w:rPr>
          <w:rFonts w:hint="eastAsia"/>
          <w:color w:val="auto"/>
          <w:sz w:val="22"/>
        </w:rPr>
        <w:t>（９）</w:t>
      </w:r>
      <w:r>
        <w:rPr>
          <w:rFonts w:hint="eastAsia"/>
          <w:color w:val="auto"/>
          <w:sz w:val="22"/>
          <w:u w:val="single" w:color="auto"/>
        </w:rPr>
        <w:t>特別支援教育</w:t>
      </w:r>
    </w:p>
    <w:p>
      <w:pPr>
        <w:pStyle w:val="76"/>
        <w:spacing w:after="0" w:afterLines="0" w:afterAutospacing="0"/>
        <w:ind w:left="448"/>
        <w:outlineLvl w:val="4"/>
        <w:rPr>
          <w:rFonts w:hint="default"/>
          <w:color w:val="auto"/>
        </w:rPr>
      </w:pPr>
      <w:r>
        <w:rPr>
          <w:rFonts w:hint="default"/>
          <w:color w:val="auto"/>
        </w:rPr>
        <w:t>①</w:t>
      </w:r>
      <w:r>
        <w:rPr>
          <w:rFonts w:hint="default"/>
          <w:color w:val="auto"/>
        </w:rPr>
        <w:t>幼稚園</w:t>
      </w:r>
    </w:p>
    <w:p>
      <w:pPr>
        <w:pStyle w:val="67"/>
        <w:ind w:left="672" w:leftChars="300" w:firstLine="214" w:firstLineChars="100"/>
        <w:rPr>
          <w:rFonts w:hint="default"/>
        </w:rPr>
      </w:pPr>
      <w:r>
        <w:rPr>
          <w:rFonts w:hint="default"/>
        </w:rPr>
        <w:t>特別な</w:t>
      </w:r>
      <w:r>
        <w:rPr>
          <w:rFonts w:hint="eastAsia"/>
        </w:rPr>
        <w:t>配慮</w:t>
      </w:r>
      <w:r>
        <w:rPr>
          <w:rFonts w:hint="default"/>
        </w:rPr>
        <w:t>を必要とする幼稚園児は、</w:t>
      </w:r>
      <w:r>
        <w:rPr>
          <w:rFonts w:hint="eastAsia"/>
        </w:rPr>
        <w:t>令和３年では</w:t>
      </w:r>
      <w:r>
        <w:rPr>
          <w:rFonts w:hint="eastAsia"/>
        </w:rPr>
        <w:t>29</w:t>
      </w:r>
      <w:r>
        <w:rPr>
          <w:rFonts w:hint="eastAsia"/>
        </w:rPr>
        <w:t>人と平成</w:t>
      </w:r>
      <w:r>
        <w:rPr>
          <w:rFonts w:hint="eastAsia"/>
        </w:rPr>
        <w:t>30</w:t>
      </w:r>
      <w:r>
        <w:rPr>
          <w:rFonts w:hint="eastAsia"/>
        </w:rPr>
        <w:t>年以降では最も多く、令和４年</w:t>
      </w:r>
      <w:r>
        <w:rPr>
          <w:rFonts w:hint="default"/>
        </w:rPr>
        <w:t>では</w:t>
      </w:r>
      <w:r>
        <w:rPr>
          <w:rFonts w:hint="eastAsia"/>
        </w:rPr>
        <w:t>24</w:t>
      </w:r>
      <w:r>
        <w:rPr>
          <w:rFonts w:hint="default"/>
        </w:rPr>
        <w:t>人とな</w:t>
      </w:r>
      <w:r>
        <w:rPr>
          <w:rFonts w:hint="eastAsia"/>
        </w:rPr>
        <w:t>ってい</w:t>
      </w:r>
      <w:r>
        <w:rPr>
          <w:rFonts w:hint="default"/>
        </w:rPr>
        <w:t>ます。</w:t>
      </w:r>
    </w:p>
    <w:p>
      <w:pPr>
        <w:pStyle w:val="67"/>
        <w:spacing w:line="0" w:lineRule="atLeast"/>
        <w:ind w:left="448" w:firstLine="164" w:firstLineChars="100"/>
        <w:rPr>
          <w:rFonts w:hint="default"/>
          <w:sz w:val="16"/>
        </w:rPr>
      </w:pPr>
    </w:p>
    <w:tbl>
      <w:tblPr>
        <w:tblStyle w:val="11"/>
        <w:tblW w:w="8940" w:type="dxa"/>
        <w:tblInd w:w="567" w:type="dxa"/>
        <w:tblLayout w:type="fixed"/>
        <w:tblCellMar>
          <w:top w:w="28" w:type="dxa"/>
          <w:bottom w:w="28" w:type="dxa"/>
        </w:tblCellMar>
        <w:tblLook w:firstRow="0" w:lastRow="0" w:firstColumn="0" w:lastColumn="0" w:noHBand="0" w:noVBand="0" w:val="0000"/>
      </w:tblPr>
      <w:tblGrid>
        <w:gridCol w:w="2268"/>
        <w:gridCol w:w="1334"/>
        <w:gridCol w:w="1334"/>
        <w:gridCol w:w="26"/>
        <w:gridCol w:w="1275"/>
        <w:gridCol w:w="34"/>
        <w:gridCol w:w="1334"/>
        <w:gridCol w:w="1335"/>
      </w:tblGrid>
      <w:tr>
        <w:trPr/>
        <w:tc>
          <w:tcPr>
            <w:tcW w:w="4962" w:type="dxa"/>
            <w:gridSpan w:val="4"/>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bottom"/>
          </w:tcPr>
          <w:p>
            <w:pPr>
              <w:pStyle w:val="51"/>
              <w:snapToGrid w:val="0"/>
              <w:spacing w:line="0" w:lineRule="atLeast"/>
              <w:ind w:left="-221"/>
              <w:rPr>
                <w:rFonts w:hint="default" w:ascii="ＭＳ ゴシック" w:hAnsi="ＭＳ ゴシック" w:eastAsia="ＭＳ ゴシック"/>
              </w:rPr>
            </w:pPr>
            <w:r>
              <w:rPr>
                <w:rFonts w:hint="eastAsia" w:ascii="ＭＳ ゴシック" w:hAnsi="ＭＳ ゴシック" w:eastAsia="ＭＳ ゴシック"/>
                <w:sz w:val="21"/>
              </w:rPr>
              <w:t>【特別支援教育対象園児</w:t>
            </w:r>
            <w:r>
              <w:rPr>
                <w:rFonts w:hint="default" w:ascii="ＭＳ ゴシック" w:hAnsi="ＭＳ ゴシック" w:eastAsia="ＭＳ ゴシック"/>
                <w:sz w:val="21"/>
              </w:rPr>
              <w:t>(</w:t>
            </w:r>
            <w:r>
              <w:rPr>
                <w:rFonts w:hint="default" w:ascii="ＭＳ ゴシック" w:hAnsi="ＭＳ ゴシック" w:eastAsia="ＭＳ ゴシック"/>
                <w:sz w:val="21"/>
              </w:rPr>
              <w:t>幼稚園</w:t>
            </w:r>
            <w:r>
              <w:rPr>
                <w:rFonts w:hint="default" w:ascii="ＭＳ ゴシック" w:hAnsi="ＭＳ ゴシック" w:eastAsia="ＭＳ ゴシック"/>
                <w:sz w:val="21"/>
              </w:rPr>
              <w:t>)</w:t>
            </w:r>
            <w:r>
              <w:rPr>
                <w:rFonts w:hint="default" w:ascii="ＭＳ ゴシック" w:hAnsi="ＭＳ ゴシック" w:eastAsia="ＭＳ ゴシック"/>
                <w:sz w:val="21"/>
              </w:rPr>
              <w:t>】</w:t>
            </w:r>
          </w:p>
        </w:tc>
        <w:tc>
          <w:tcPr>
            <w:tcW w:w="127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703" w:type="dxa"/>
            <w:gridSpan w:val="3"/>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bottom"/>
          </w:tcPr>
          <w:p>
            <w:pPr>
              <w:pStyle w:val="54"/>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c>
          <w:tcPr>
            <w:tcW w:w="22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ＭＳ ゴシック" w:hAnsi="ＭＳ ゴシック" w:eastAsia="ＭＳ ゴシック"/>
                <w:sz w:val="20"/>
              </w:rPr>
            </w:pPr>
          </w:p>
        </w:tc>
        <w:tc>
          <w:tcPr>
            <w:tcW w:w="13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tcMar>
              <w:top w:w="0" w:type="dxa"/>
              <w:bottom w:w="0" w:type="dxa"/>
            </w:tcMar>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w:t>
            </w:r>
          </w:p>
        </w:tc>
        <w:tc>
          <w:tcPr>
            <w:tcW w:w="13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tcMar>
              <w:top w:w="0" w:type="dxa"/>
              <w:bottom w:w="0" w:type="dxa"/>
            </w:tcMar>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令和元年</w:t>
            </w:r>
          </w:p>
        </w:tc>
        <w:tc>
          <w:tcPr>
            <w:tcW w:w="1335"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令和２年</w:t>
            </w:r>
          </w:p>
        </w:tc>
        <w:tc>
          <w:tcPr>
            <w:tcW w:w="13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令和３年</w:t>
            </w:r>
          </w:p>
        </w:tc>
        <w:tc>
          <w:tcPr>
            <w:tcW w:w="13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top"/>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令和４年</w:t>
            </w:r>
          </w:p>
        </w:tc>
      </w:tr>
      <w:tr>
        <w:trPr/>
        <w:tc>
          <w:tcPr>
            <w:tcW w:w="22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幼稚園</w:t>
            </w:r>
          </w:p>
        </w:tc>
        <w:tc>
          <w:tcPr>
            <w:tcW w:w="13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26</w:t>
            </w:r>
          </w:p>
        </w:tc>
        <w:tc>
          <w:tcPr>
            <w:tcW w:w="13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0" w:type="dxa"/>
              <w:bottom w:w="0" w:type="dxa"/>
            </w:tcMar>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335"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25</w:t>
            </w:r>
          </w:p>
        </w:tc>
        <w:tc>
          <w:tcPr>
            <w:tcW w:w="13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c>
          <w:tcPr>
            <w:tcW w:w="13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w:t>
            </w:r>
          </w:p>
        </w:tc>
      </w:tr>
    </w:tbl>
    <w:p>
      <w:pPr>
        <w:pStyle w:val="68"/>
        <w:spacing w:before="37" w:beforeLines="0" w:beforeAutospacing="0" w:after="0" w:afterLines="0" w:afterAutospacing="0"/>
        <w:ind w:left="1172"/>
        <w:rPr>
          <w:rFonts w:hint="default"/>
        </w:rPr>
      </w:pPr>
      <w:r>
        <w:rPr>
          <w:rFonts w:hint="eastAsia"/>
        </w:rPr>
        <w:t>資料：町教育委員会（各年５月１日現在）</w:t>
      </w:r>
    </w:p>
    <w:p>
      <w:pPr>
        <w:pStyle w:val="0"/>
        <w:widowControl w:val="1"/>
        <w:jc w:val="left"/>
        <w:rPr>
          <w:rFonts w:hint="default" w:ascii="ＭＳ ゴシック" w:hAnsi="ＭＳ ゴシック" w:eastAsia="ＭＳ ゴシック"/>
          <w:sz w:val="21"/>
        </w:rPr>
      </w:pPr>
      <w:r>
        <w:rPr>
          <w:rFonts w:hint="default"/>
        </w:rPr>
        <w:br w:type="page"/>
      </w:r>
    </w:p>
    <w:p>
      <w:pPr>
        <w:pStyle w:val="76"/>
        <w:spacing w:after="0" w:afterLines="0" w:afterAutospacing="0"/>
        <w:ind w:left="448"/>
        <w:outlineLvl w:val="4"/>
        <w:rPr>
          <w:rFonts w:hint="default"/>
          <w:color w:val="auto"/>
        </w:rPr>
      </w:pPr>
      <w:r>
        <w:rPr>
          <w:rFonts w:hint="eastAsia"/>
          <w:color w:val="auto"/>
        </w:rPr>
        <w:t>②</w:t>
      </w:r>
      <w:r>
        <w:rPr>
          <w:rFonts w:hint="default"/>
          <w:color w:val="auto"/>
        </w:rPr>
        <w:t>特別支援学級</w:t>
      </w:r>
    </w:p>
    <w:p>
      <w:pPr>
        <w:pStyle w:val="67"/>
        <w:ind w:left="672" w:leftChars="300" w:firstLine="214" w:firstLineChars="100"/>
        <w:rPr>
          <w:rFonts w:hint="default"/>
        </w:rPr>
      </w:pPr>
      <w:r>
        <w:rPr>
          <w:rFonts w:hint="eastAsia"/>
        </w:rPr>
        <w:t>小中学校では、通常の学級における教育では十分な教育効果を上げることが困難な特別な配慮を必要とする子について、一人ひとりの障がいの状況や特性に応じた指導・支援を行うために、特別支援学級を設置しています。在籍する児童生徒数は年々増え、小中学校合わせた人数は平成</w:t>
      </w:r>
      <w:r>
        <w:rPr>
          <w:rFonts w:hint="eastAsia"/>
        </w:rPr>
        <w:t>30</w:t>
      </w:r>
      <w:r>
        <w:rPr>
          <w:rFonts w:hint="eastAsia"/>
        </w:rPr>
        <w:t>年の</w:t>
      </w:r>
      <w:r>
        <w:rPr>
          <w:rFonts w:hint="eastAsia"/>
        </w:rPr>
        <w:t>137</w:t>
      </w:r>
      <w:r>
        <w:rPr>
          <w:rFonts w:hint="eastAsia"/>
        </w:rPr>
        <w:t>人から令和４年では</w:t>
      </w:r>
      <w:r>
        <w:rPr>
          <w:rFonts w:hint="eastAsia"/>
        </w:rPr>
        <w:t>226</w:t>
      </w:r>
      <w:r>
        <w:rPr>
          <w:rFonts w:hint="eastAsia"/>
        </w:rPr>
        <w:t>人となっています。</w:t>
      </w:r>
    </w:p>
    <w:p>
      <w:pPr>
        <w:pStyle w:val="67"/>
        <w:ind w:left="672" w:leftChars="300" w:firstLine="214" w:firstLineChars="100"/>
        <w:rPr>
          <w:rFonts w:hint="default"/>
        </w:rPr>
      </w:pPr>
      <w:r>
        <w:rPr>
          <w:rFonts w:hint="eastAsia"/>
        </w:rPr>
        <w:t>また、学級の中では「</w:t>
      </w:r>
      <w:r>
        <w:rPr>
          <w:rFonts w:hint="default"/>
        </w:rPr>
        <w:t>情緒</w:t>
      </w:r>
      <w:r>
        <w:rPr>
          <w:rFonts w:hint="eastAsia"/>
        </w:rPr>
        <w:t>」</w:t>
      </w:r>
      <w:r>
        <w:rPr>
          <w:rFonts w:hint="default"/>
        </w:rPr>
        <w:t>の学級</w:t>
      </w:r>
      <w:r>
        <w:rPr>
          <w:rFonts w:hint="eastAsia"/>
        </w:rPr>
        <w:t>の人数が最も多く、次に「知的」が多くなっています。</w:t>
      </w:r>
    </w:p>
    <w:p>
      <w:pPr>
        <w:pStyle w:val="67"/>
        <w:spacing w:line="0" w:lineRule="atLeast"/>
        <w:ind w:left="448" w:firstLine="164" w:firstLineChars="100"/>
        <w:rPr>
          <w:rFonts w:hint="default"/>
          <w:sz w:val="16"/>
        </w:rPr>
      </w:pPr>
    </w:p>
    <w:tbl>
      <w:tblPr>
        <w:tblStyle w:val="11"/>
        <w:tblW w:w="9069" w:type="dxa"/>
        <w:tblInd w:w="5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989"/>
        <w:gridCol w:w="447"/>
        <w:gridCol w:w="448"/>
        <w:gridCol w:w="449"/>
        <w:gridCol w:w="449"/>
        <w:gridCol w:w="449"/>
        <w:gridCol w:w="449"/>
        <w:gridCol w:w="448"/>
        <w:gridCol w:w="449"/>
        <w:gridCol w:w="449"/>
        <w:gridCol w:w="449"/>
        <w:gridCol w:w="449"/>
        <w:gridCol w:w="449"/>
        <w:gridCol w:w="448"/>
        <w:gridCol w:w="449"/>
        <w:gridCol w:w="449"/>
        <w:gridCol w:w="449"/>
        <w:gridCol w:w="449"/>
        <w:gridCol w:w="452"/>
      </w:tblGrid>
      <w:tr>
        <w:trPr>
          <w:trHeight w:val="270" w:hRule="atLeast"/>
        </w:trPr>
        <w:tc>
          <w:tcPr>
            <w:tcW w:w="6373" w:type="dxa"/>
            <w:gridSpan w:val="13"/>
            <w:tcBorders>
              <w:top w:val="nil"/>
              <w:left w:val="nil"/>
              <w:bottom w:val="none" w:color="auto" w:sz="0" w:space="0"/>
              <w:right w:val="nil"/>
              <w:tl2br w:val="none" w:color="auto" w:sz="0" w:space="0"/>
              <w:tr2bl w:val="none" w:color="auto" w:sz="0" w:space="0"/>
            </w:tcBorders>
            <w:shd w:val="clear" w:color="auto" w:fill="auto"/>
            <w:vAlign w:val="bottom"/>
          </w:tcPr>
          <w:p>
            <w:pPr>
              <w:pStyle w:val="51"/>
              <w:snapToGrid w:val="0"/>
              <w:spacing w:line="0" w:lineRule="atLeast"/>
              <w:ind w:left="-221"/>
              <w:rPr>
                <w:rFonts w:hint="default" w:ascii="ＭＳ ゴシック" w:hAnsi="ＭＳ ゴシック" w:eastAsia="ＭＳ ゴシック"/>
              </w:rPr>
            </w:pPr>
            <w:r>
              <w:rPr>
                <w:rFonts w:hint="eastAsia" w:ascii="ＭＳ ゴシック" w:hAnsi="ＭＳ ゴシック" w:eastAsia="ＭＳ ゴシック"/>
              </w:rPr>
              <w:t>【特別支援学級】</w:t>
            </w:r>
          </w:p>
        </w:tc>
        <w:tc>
          <w:tcPr>
            <w:tcW w:w="2696" w:type="dxa"/>
            <w:gridSpan w:val="6"/>
            <w:tcBorders>
              <w:top w:val="nil"/>
              <w:left w:val="nil"/>
              <w:bottom w:val="none" w:color="auto" w:sz="0" w:space="0"/>
              <w:right w:val="nil"/>
              <w:tl2br w:val="none" w:color="auto" w:sz="0" w:space="0"/>
              <w:tr2bl w:val="none" w:color="auto" w:sz="0" w:space="0"/>
            </w:tcBorders>
            <w:shd w:val="clear" w:color="auto" w:fill="auto"/>
            <w:vAlign w:val="bottom"/>
          </w:tcPr>
          <w:p>
            <w:pPr>
              <w:pStyle w:val="54"/>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rHeight w:val="270" w:hRule="atLeast"/>
        </w:trPr>
        <w:tc>
          <w:tcPr>
            <w:tcW w:w="989" w:type="dxa"/>
            <w:vMerge w:val="restart"/>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学校名</w:t>
            </w:r>
          </w:p>
        </w:tc>
        <w:tc>
          <w:tcPr>
            <w:tcW w:w="2691" w:type="dxa"/>
            <w:gridSpan w:val="6"/>
            <w:tcBorders>
              <w:top w:val="none" w:color="auto" w:sz="0" w:space="0"/>
              <w:left w:val="none" w:color="auto" w:sz="0" w:space="0"/>
              <w:bottom w:val="none" w:color="auto" w:sz="0" w:space="0"/>
              <w:right w:val="single" w:color="auto" w:sz="12"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w:t>
            </w:r>
          </w:p>
        </w:tc>
        <w:tc>
          <w:tcPr>
            <w:tcW w:w="2693" w:type="dxa"/>
            <w:gridSpan w:val="6"/>
            <w:tcBorders>
              <w:top w:val="none" w:color="auto" w:sz="0" w:space="0"/>
              <w:left w:val="single" w:color="auto" w:sz="12" w:space="0"/>
              <w:bottom w:val="none" w:color="auto" w:sz="0" w:space="0"/>
              <w:right w:val="single" w:color="auto" w:sz="12"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令和元年</w:t>
            </w:r>
          </w:p>
        </w:tc>
        <w:tc>
          <w:tcPr>
            <w:tcW w:w="2696" w:type="dxa"/>
            <w:gridSpan w:val="6"/>
            <w:tcBorders>
              <w:top w:val="none" w:color="auto" w:sz="0" w:space="0"/>
              <w:left w:val="single" w:color="auto" w:sz="12" w:space="0"/>
              <w:bottom w:val="none" w:color="auto" w:sz="0" w:space="0"/>
              <w:right w:val="single" w:color="auto" w:sz="4"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令和２年</w:t>
            </w:r>
          </w:p>
        </w:tc>
      </w:tr>
      <w:tr>
        <w:trPr>
          <w:cantSplit/>
          <w:trHeight w:val="473" w:hRule="atLeast"/>
        </w:trPr>
        <w:tc>
          <w:tcPr>
            <w:tcW w:w="989"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p>
        </w:tc>
        <w:tc>
          <w:tcPr>
            <w:tcW w:w="44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知的</w:t>
            </w:r>
          </w:p>
        </w:tc>
        <w:tc>
          <w:tcPr>
            <w:tcW w:w="44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言語</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情緒</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肢体</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病弱</w:t>
            </w:r>
          </w:p>
        </w:tc>
        <w:tc>
          <w:tcPr>
            <w:tcW w:w="449" w:type="dxa"/>
            <w:tcBorders>
              <w:top w:val="none" w:color="auto" w:sz="0" w:space="0"/>
              <w:left w:val="none" w:color="auto" w:sz="0" w:space="0"/>
              <w:bottom w:val="single" w:color="auto" w:sz="4" w:space="0"/>
              <w:right w:val="single" w:color="auto" w:sz="12"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難聴</w:t>
            </w:r>
          </w:p>
        </w:tc>
        <w:tc>
          <w:tcPr>
            <w:tcW w:w="448" w:type="dxa"/>
            <w:tcBorders>
              <w:top w:val="none" w:color="auto" w:sz="0" w:space="0"/>
              <w:left w:val="single" w:color="auto" w:sz="12"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知的</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言語</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情緒</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肢体</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病弱</w:t>
            </w:r>
          </w:p>
        </w:tc>
        <w:tc>
          <w:tcPr>
            <w:tcW w:w="449" w:type="dxa"/>
            <w:tcBorders>
              <w:top w:val="none" w:color="auto" w:sz="0" w:space="0"/>
              <w:left w:val="none" w:color="auto" w:sz="0" w:space="0"/>
              <w:bottom w:val="single" w:color="auto" w:sz="4" w:space="0"/>
              <w:right w:val="single" w:color="auto" w:sz="12"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難聴</w:t>
            </w:r>
          </w:p>
        </w:tc>
        <w:tc>
          <w:tcPr>
            <w:tcW w:w="448" w:type="dxa"/>
            <w:tcBorders>
              <w:top w:val="none" w:color="auto" w:sz="0" w:space="0"/>
              <w:left w:val="single" w:color="auto" w:sz="12"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知的</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言語</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情緒</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肢体</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病弱</w:t>
            </w:r>
          </w:p>
        </w:tc>
        <w:tc>
          <w:tcPr>
            <w:tcW w:w="452" w:type="dxa"/>
            <w:tcBorders>
              <w:top w:val="none" w:color="auto" w:sz="0" w:space="0"/>
              <w:left w:val="none" w:color="auto" w:sz="0" w:space="0"/>
              <w:bottom w:val="single" w:color="auto" w:sz="4" w:space="0"/>
              <w:right w:val="single" w:color="auto" w:sz="4"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難聴</w:t>
            </w:r>
          </w:p>
        </w:tc>
      </w:tr>
      <w:tr>
        <w:trPr>
          <w:trHeight w:val="285" w:hRule="atLeast"/>
        </w:trPr>
        <w:tc>
          <w:tcPr>
            <w:tcW w:w="98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小学校</w:t>
            </w:r>
          </w:p>
        </w:tc>
        <w:tc>
          <w:tcPr>
            <w:tcW w:w="44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34</w:t>
            </w:r>
          </w:p>
        </w:tc>
        <w:tc>
          <w:tcPr>
            <w:tcW w:w="44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53</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none" w:color="auto" w:sz="0" w:space="0"/>
              <w:left w:val="none" w:color="auto" w:sz="0" w:space="0"/>
              <w:bottom w:val="sing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0</w:t>
            </w:r>
          </w:p>
        </w:tc>
        <w:tc>
          <w:tcPr>
            <w:tcW w:w="448" w:type="dxa"/>
            <w:tcBorders>
              <w:top w:val="none" w:color="auto" w:sz="0" w:space="0"/>
              <w:left w:val="single" w:color="auto" w:sz="12"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38</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61</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none" w:color="auto" w:sz="0" w:space="0"/>
              <w:left w:val="none" w:color="auto" w:sz="0" w:space="0"/>
              <w:bottom w:val="sing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8" w:type="dxa"/>
            <w:tcBorders>
              <w:top w:val="none" w:color="auto" w:sz="0" w:space="0"/>
              <w:left w:val="single" w:color="auto" w:sz="12"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39</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66</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452" w:type="dxa"/>
            <w:tcBorders>
              <w:top w:val="none" w:color="auto" w:sz="0" w:space="0"/>
              <w:left w:val="none" w:color="auto" w:sz="0" w:space="0"/>
              <w:bottom w:val="single" w:color="auto" w:sz="4" w:space="0"/>
              <w:right w:val="single" w:color="auto" w:sz="4"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rHeight w:val="285" w:hRule="atLeast"/>
        </w:trPr>
        <w:tc>
          <w:tcPr>
            <w:tcW w:w="98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中学校</w:t>
            </w:r>
          </w:p>
        </w:tc>
        <w:tc>
          <w:tcPr>
            <w:tcW w:w="447"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22</w:t>
            </w:r>
          </w:p>
        </w:tc>
        <w:tc>
          <w:tcPr>
            <w:tcW w:w="448"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8" w:type="dxa"/>
            <w:tcBorders>
              <w:top w:val="none" w:color="auto" w:sz="0" w:space="0"/>
              <w:left w:val="single" w:color="auto" w:sz="12"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8" w:type="dxa"/>
            <w:tcBorders>
              <w:top w:val="none" w:color="auto" w:sz="0" w:space="0"/>
              <w:left w:val="single" w:color="auto" w:sz="12"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25</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37</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52" w:type="dxa"/>
            <w:tcBorders>
              <w:top w:val="none" w:color="auto" w:sz="0" w:space="0"/>
              <w:left w:val="none" w:color="auto" w:sz="0" w:space="0"/>
              <w:bottom w:val="double" w:color="auto" w:sz="4" w:space="0"/>
              <w:right w:val="single" w:color="auto" w:sz="4"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rHeight w:val="285" w:hRule="atLeast"/>
        </w:trPr>
        <w:tc>
          <w:tcPr>
            <w:tcW w:w="98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447"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56</w:t>
            </w:r>
          </w:p>
        </w:tc>
        <w:tc>
          <w:tcPr>
            <w:tcW w:w="448"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70</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double" w:color="auto" w:sz="4" w:space="0"/>
              <w:left w:val="none" w:color="auto" w:sz="0" w:space="0"/>
              <w:bottom w:val="doub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0</w:t>
            </w:r>
          </w:p>
        </w:tc>
        <w:tc>
          <w:tcPr>
            <w:tcW w:w="448" w:type="dxa"/>
            <w:tcBorders>
              <w:top w:val="double" w:color="auto" w:sz="4" w:space="0"/>
              <w:left w:val="single" w:color="auto" w:sz="12"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62</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91</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double" w:color="auto" w:sz="4" w:space="0"/>
              <w:left w:val="none" w:color="auto" w:sz="0" w:space="0"/>
              <w:bottom w:val="doub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8" w:type="dxa"/>
            <w:tcBorders>
              <w:top w:val="double" w:color="auto" w:sz="4" w:space="0"/>
              <w:left w:val="single" w:color="auto" w:sz="12"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64</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103</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452" w:type="dxa"/>
            <w:tcBorders>
              <w:top w:val="double" w:color="auto" w:sz="4" w:space="0"/>
              <w:left w:val="none" w:color="auto" w:sz="0" w:space="0"/>
              <w:bottom w:val="double" w:color="auto" w:sz="4" w:space="0"/>
              <w:right w:val="single" w:color="auto" w:sz="4"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rHeight w:val="285" w:hRule="atLeast"/>
        </w:trPr>
        <w:tc>
          <w:tcPr>
            <w:tcW w:w="989" w:type="dxa"/>
            <w:tcBorders>
              <w:top w:val="double" w:color="auto" w:sz="4" w:space="0"/>
              <w:left w:val="none" w:color="auto" w:sz="0" w:space="0"/>
              <w:bottom w:val="single" w:color="auto" w:sz="12"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合計</w:t>
            </w:r>
          </w:p>
        </w:tc>
        <w:tc>
          <w:tcPr>
            <w:tcW w:w="2691" w:type="dxa"/>
            <w:gridSpan w:val="6"/>
            <w:tcBorders>
              <w:top w:val="double" w:color="auto" w:sz="4" w:space="0"/>
              <w:left w:val="none" w:color="auto" w:sz="0" w:space="0"/>
              <w:bottom w:val="single" w:color="auto" w:sz="12"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0"/>
              <w:snapToGrid w:val="0"/>
              <w:spacing w:line="0" w:lineRule="atLeast"/>
              <w:jc w:val="center"/>
              <w:rPr>
                <w:rFonts w:hint="default" w:ascii="ＭＳ ゴシック" w:hAnsi="ＭＳ ゴシック" w:eastAsia="ＭＳ ゴシック"/>
                <w:sz w:val="20"/>
              </w:rPr>
            </w:pPr>
            <w:r>
              <w:rPr>
                <w:rFonts w:hint="default" w:ascii="ＭＳ ゴシック" w:hAnsi="ＭＳ ゴシック" w:eastAsia="ＭＳ ゴシック"/>
                <w:sz w:val="20"/>
              </w:rPr>
              <w:t>137</w:t>
            </w:r>
          </w:p>
        </w:tc>
        <w:tc>
          <w:tcPr>
            <w:tcW w:w="2693" w:type="dxa"/>
            <w:gridSpan w:val="6"/>
            <w:tcBorders>
              <w:top w:val="double" w:color="auto" w:sz="4" w:space="0"/>
              <w:left w:val="single" w:color="auto" w:sz="12" w:space="0"/>
              <w:bottom w:val="single" w:color="auto" w:sz="12"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0"/>
              <w:snapToGrid w:val="0"/>
              <w:spacing w:line="0" w:lineRule="atLeast"/>
              <w:jc w:val="center"/>
              <w:rPr>
                <w:rFonts w:hint="default" w:ascii="ＭＳ ゴシック" w:hAnsi="ＭＳ ゴシック" w:eastAsia="ＭＳ ゴシック"/>
                <w:sz w:val="20"/>
              </w:rPr>
            </w:pPr>
            <w:r>
              <w:rPr>
                <w:rFonts w:hint="default" w:ascii="ＭＳ ゴシック" w:hAnsi="ＭＳ ゴシック" w:eastAsia="ＭＳ ゴシック"/>
                <w:sz w:val="20"/>
              </w:rPr>
              <w:t>167</w:t>
            </w:r>
          </w:p>
        </w:tc>
        <w:tc>
          <w:tcPr>
            <w:tcW w:w="2696" w:type="dxa"/>
            <w:gridSpan w:val="6"/>
            <w:tcBorders>
              <w:top w:val="double" w:color="auto" w:sz="4" w:space="0"/>
              <w:left w:val="single" w:color="auto" w:sz="12" w:space="0"/>
              <w:bottom w:val="single" w:color="auto" w:sz="12" w:space="0"/>
              <w:right w:val="single" w:color="auto" w:sz="4" w:space="0"/>
              <w:tl2br w:val="none" w:color="auto" w:sz="0" w:space="0"/>
              <w:tr2bl w:val="none" w:color="auto" w:sz="0" w:space="0"/>
            </w:tcBorders>
            <w:shd w:val="clear" w:color="auto" w:fill="auto"/>
            <w:tcMar>
              <w:top w:w="28" w:type="dxa"/>
              <w:left w:w="85" w:type="dxa"/>
              <w:bottom w:w="28" w:type="dxa"/>
              <w:right w:w="85" w:type="dxa"/>
            </w:tcMar>
            <w:vAlign w:val="center"/>
          </w:tcPr>
          <w:p>
            <w:pPr>
              <w:pStyle w:val="0"/>
              <w:snapToGrid w:val="0"/>
              <w:spacing w:line="0" w:lineRule="atLeast"/>
              <w:jc w:val="center"/>
              <w:rPr>
                <w:rFonts w:hint="default" w:ascii="ＭＳ ゴシック" w:hAnsi="ＭＳ ゴシック" w:eastAsia="ＭＳ ゴシック"/>
                <w:sz w:val="20"/>
              </w:rPr>
            </w:pPr>
            <w:r>
              <w:rPr>
                <w:rFonts w:hint="default" w:ascii="ＭＳ ゴシック" w:hAnsi="ＭＳ ゴシック" w:eastAsia="ＭＳ ゴシック"/>
                <w:sz w:val="20"/>
              </w:rPr>
              <w:t>183</w:t>
            </w:r>
          </w:p>
        </w:tc>
      </w:tr>
      <w:tr>
        <w:trPr>
          <w:trHeight w:val="270" w:hRule="atLeast"/>
        </w:trPr>
        <w:tc>
          <w:tcPr>
            <w:tcW w:w="989"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学校名</w:t>
            </w:r>
          </w:p>
        </w:tc>
        <w:tc>
          <w:tcPr>
            <w:tcW w:w="2691" w:type="dxa"/>
            <w:gridSpan w:val="6"/>
            <w:tcBorders>
              <w:top w:val="single" w:color="auto" w:sz="12" w:space="0"/>
              <w:left w:val="none" w:color="auto" w:sz="0" w:space="0"/>
              <w:bottom w:val="none" w:color="auto" w:sz="0" w:space="0"/>
              <w:right w:val="single" w:color="auto" w:sz="12"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令和３年</w:t>
            </w:r>
          </w:p>
        </w:tc>
        <w:tc>
          <w:tcPr>
            <w:tcW w:w="2693" w:type="dxa"/>
            <w:gridSpan w:val="6"/>
            <w:tcBorders>
              <w:top w:val="single" w:color="auto" w:sz="12" w:space="0"/>
              <w:left w:val="single" w:color="auto" w:sz="12" w:space="0"/>
              <w:bottom w:val="none" w:color="auto" w:sz="0" w:space="0"/>
              <w:right w:val="single" w:color="auto" w:sz="12"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widowControl w:val="1"/>
              <w:spacing w:line="0" w:lineRule="atLeast"/>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令和４年</w:t>
            </w:r>
          </w:p>
        </w:tc>
        <w:tc>
          <w:tcPr>
            <w:tcW w:w="2696" w:type="dxa"/>
            <w:gridSpan w:val="6"/>
            <w:tcBorders>
              <w:top w:val="single" w:color="auto" w:sz="12" w:space="0"/>
              <w:left w:val="single" w:color="auto" w:sz="12" w:space="0"/>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0"/>
              <w:widowControl w:val="1"/>
              <w:spacing w:line="0" w:lineRule="atLeast"/>
              <w:jc w:val="center"/>
              <w:rPr>
                <w:rFonts w:hint="default" w:ascii="ＭＳ ゴシック" w:hAnsi="ＭＳ ゴシック" w:eastAsia="ＭＳ ゴシック"/>
                <w:spacing w:val="-4"/>
                <w:kern w:val="0"/>
                <w:sz w:val="20"/>
              </w:rPr>
            </w:pPr>
          </w:p>
        </w:tc>
      </w:tr>
      <w:tr>
        <w:trPr>
          <w:cantSplit/>
          <w:trHeight w:val="473" w:hRule="atLeast"/>
        </w:trPr>
        <w:tc>
          <w:tcPr>
            <w:tcW w:w="989"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p>
        </w:tc>
        <w:tc>
          <w:tcPr>
            <w:tcW w:w="44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知的</w:t>
            </w:r>
          </w:p>
        </w:tc>
        <w:tc>
          <w:tcPr>
            <w:tcW w:w="44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言語</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情緒</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肢体</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病弱</w:t>
            </w:r>
          </w:p>
        </w:tc>
        <w:tc>
          <w:tcPr>
            <w:tcW w:w="449" w:type="dxa"/>
            <w:tcBorders>
              <w:top w:val="none" w:color="auto" w:sz="0" w:space="0"/>
              <w:left w:val="none" w:color="auto" w:sz="0" w:space="0"/>
              <w:bottom w:val="single" w:color="auto" w:sz="4" w:space="0"/>
              <w:right w:val="single" w:color="auto" w:sz="12"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難聴</w:t>
            </w:r>
          </w:p>
        </w:tc>
        <w:tc>
          <w:tcPr>
            <w:tcW w:w="448" w:type="dxa"/>
            <w:tcBorders>
              <w:top w:val="none" w:color="auto" w:sz="0" w:space="0"/>
              <w:left w:val="single" w:color="auto" w:sz="12"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知的</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言語</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情緒</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肢体</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病弱</w:t>
            </w:r>
          </w:p>
        </w:tc>
        <w:tc>
          <w:tcPr>
            <w:tcW w:w="449" w:type="dxa"/>
            <w:tcBorders>
              <w:top w:val="none" w:color="auto" w:sz="0" w:space="0"/>
              <w:left w:val="none" w:color="auto" w:sz="0" w:space="0"/>
              <w:bottom w:val="single" w:color="auto" w:sz="4" w:space="0"/>
              <w:right w:val="single" w:color="auto" w:sz="12" w:space="0"/>
              <w:tl2br w:val="none" w:color="auto" w:sz="0" w:space="0"/>
              <w:tr2bl w:val="none" w:color="auto" w:sz="0" w:space="0"/>
            </w:tcBorders>
            <w:shd w:val="clear" w:color="auto" w:themeFill="background1" w:themeFillTint="FF" w:themeFillShade="D9"/>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難聴</w:t>
            </w:r>
          </w:p>
        </w:tc>
        <w:tc>
          <w:tcPr>
            <w:tcW w:w="448" w:type="dxa"/>
            <w:tcBorders>
              <w:top w:val="nil"/>
              <w:left w:val="single" w:color="auto" w:sz="12" w:space="0"/>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0"/>
              <w:spacing w:line="0" w:lineRule="atLeast"/>
              <w:jc w:val="center"/>
              <w:rPr>
                <w:rFonts w:hint="default" w:ascii="ＭＳ ゴシック" w:hAnsi="ＭＳ ゴシック" w:eastAsia="ＭＳ ゴシック"/>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0"/>
              <w:spacing w:line="0" w:lineRule="atLeast"/>
              <w:jc w:val="center"/>
              <w:rPr>
                <w:rFonts w:hint="default" w:ascii="ＭＳ ゴシック" w:hAnsi="ＭＳ ゴシック" w:eastAsia="ＭＳ ゴシック"/>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0"/>
              <w:spacing w:line="0" w:lineRule="atLeast"/>
              <w:jc w:val="center"/>
              <w:rPr>
                <w:rFonts w:hint="default" w:ascii="ＭＳ ゴシック" w:hAnsi="ＭＳ ゴシック" w:eastAsia="ＭＳ ゴシック"/>
                <w:sz w:val="20"/>
              </w:rPr>
            </w:pPr>
          </w:p>
        </w:tc>
        <w:tc>
          <w:tcPr>
            <w:tcW w:w="449" w:type="dxa"/>
            <w:tcBorders>
              <w:top w:val="nil"/>
              <w:left w:val="nil"/>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p>
        </w:tc>
        <w:tc>
          <w:tcPr>
            <w:tcW w:w="452" w:type="dxa"/>
            <w:tcBorders>
              <w:top w:val="nil"/>
              <w:left w:val="nil"/>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p>
        </w:tc>
      </w:tr>
      <w:tr>
        <w:trPr>
          <w:trHeight w:val="285" w:hRule="atLeast"/>
        </w:trPr>
        <w:tc>
          <w:tcPr>
            <w:tcW w:w="98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小学校</w:t>
            </w:r>
          </w:p>
        </w:tc>
        <w:tc>
          <w:tcPr>
            <w:tcW w:w="44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41</w:t>
            </w:r>
          </w:p>
        </w:tc>
        <w:tc>
          <w:tcPr>
            <w:tcW w:w="44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88</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449" w:type="dxa"/>
            <w:tcBorders>
              <w:top w:val="none" w:color="auto" w:sz="0" w:space="0"/>
              <w:left w:val="none" w:color="auto" w:sz="0" w:space="0"/>
              <w:bottom w:val="sing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8" w:type="dxa"/>
            <w:tcBorders>
              <w:top w:val="none" w:color="auto" w:sz="0" w:space="0"/>
              <w:left w:val="single" w:color="auto" w:sz="12"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45</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102</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449" w:type="dxa"/>
            <w:tcBorders>
              <w:top w:val="none" w:color="auto" w:sz="0" w:space="0"/>
              <w:left w:val="none" w:color="auto" w:sz="0" w:space="0"/>
              <w:bottom w:val="sing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8" w:type="dxa"/>
            <w:tcBorders>
              <w:top w:val="nil"/>
              <w:left w:val="single" w:color="auto" w:sz="12" w:space="0"/>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52" w:type="dxa"/>
            <w:tcBorders>
              <w:top w:val="nil"/>
              <w:left w:val="nil"/>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r>
      <w:tr>
        <w:trPr>
          <w:trHeight w:val="285" w:hRule="atLeast"/>
        </w:trPr>
        <w:tc>
          <w:tcPr>
            <w:tcW w:w="98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0"/>
              <w:spacing w:line="0" w:lineRule="atLeast"/>
              <w:jc w:val="center"/>
              <w:rPr>
                <w:rFonts w:hint="default" w:ascii="ＭＳ ゴシック" w:hAnsi="ＭＳ ゴシック" w:eastAsia="ＭＳ ゴシック"/>
                <w:sz w:val="20"/>
              </w:rPr>
            </w:pPr>
            <w:r>
              <w:rPr>
                <w:rFonts w:hint="eastAsia" w:ascii="ＭＳ ゴシック" w:hAnsi="ＭＳ ゴシック" w:eastAsia="ＭＳ ゴシック"/>
                <w:sz w:val="20"/>
              </w:rPr>
              <w:t>中学校</w:t>
            </w:r>
          </w:p>
        </w:tc>
        <w:tc>
          <w:tcPr>
            <w:tcW w:w="447"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448"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8" w:type="dxa"/>
            <w:tcBorders>
              <w:top w:val="none" w:color="auto" w:sz="0" w:space="0"/>
              <w:left w:val="single" w:color="auto" w:sz="12"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449" w:type="dxa"/>
            <w:tcBorders>
              <w:top w:val="none" w:color="auto" w:sz="0" w:space="0"/>
              <w:left w:val="none" w:color="auto" w:sz="0" w:space="0"/>
              <w:bottom w:val="doub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8" w:type="dxa"/>
            <w:tcBorders>
              <w:top w:val="nil"/>
              <w:left w:val="single" w:color="auto" w:sz="12" w:space="0"/>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52" w:type="dxa"/>
            <w:tcBorders>
              <w:top w:val="nil"/>
              <w:left w:val="nil"/>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r>
      <w:tr>
        <w:trPr>
          <w:trHeight w:val="285" w:hRule="atLeast"/>
        </w:trPr>
        <w:tc>
          <w:tcPr>
            <w:tcW w:w="98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447"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62</w:t>
            </w:r>
          </w:p>
        </w:tc>
        <w:tc>
          <w:tcPr>
            <w:tcW w:w="448"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128</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449" w:type="dxa"/>
            <w:tcBorders>
              <w:top w:val="double" w:color="auto" w:sz="4" w:space="0"/>
              <w:left w:val="none" w:color="auto" w:sz="0" w:space="0"/>
              <w:bottom w:val="doub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448" w:type="dxa"/>
            <w:tcBorders>
              <w:top w:val="double" w:color="auto" w:sz="4" w:space="0"/>
              <w:left w:val="single" w:color="auto" w:sz="12"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63</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142</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449" w:type="dxa"/>
            <w:tcBorders>
              <w:top w:val="double" w:color="auto" w:sz="4" w:space="0"/>
              <w:left w:val="none" w:color="auto" w:sz="0" w:space="0"/>
              <w:bottom w:val="double" w:color="auto" w:sz="4"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449" w:type="dxa"/>
            <w:tcBorders>
              <w:top w:val="double" w:color="auto" w:sz="4" w:space="0"/>
              <w:left w:val="none" w:color="auto" w:sz="0" w:space="0"/>
              <w:bottom w:val="double" w:color="auto" w:sz="4"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448" w:type="dxa"/>
            <w:tcBorders>
              <w:top w:val="nil"/>
              <w:left w:val="single" w:color="auto" w:sz="12" w:space="0"/>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49" w:type="dxa"/>
            <w:tcBorders>
              <w:top w:val="nil"/>
              <w:left w:val="nil"/>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c>
          <w:tcPr>
            <w:tcW w:w="452" w:type="dxa"/>
            <w:tcBorders>
              <w:top w:val="nil"/>
              <w:left w:val="nil"/>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44"/>
              <w:snapToGrid w:val="0"/>
              <w:spacing w:before="0" w:beforeLines="0" w:beforeAutospacing="0" w:after="0" w:afterLines="0" w:afterAutospacing="0"/>
              <w:ind w:left="-112" w:leftChars="-50" w:right="-45" w:rightChars="-20"/>
              <w:jc w:val="right"/>
              <w:rPr>
                <w:rFonts w:hint="default" w:ascii="ＭＳ ゴシック" w:hAnsi="ＭＳ ゴシック" w:eastAsia="ＭＳ ゴシック"/>
                <w:w w:val="100"/>
                <w:sz w:val="20"/>
              </w:rPr>
            </w:pPr>
          </w:p>
        </w:tc>
      </w:tr>
      <w:tr>
        <w:trPr>
          <w:trHeight w:val="285" w:hRule="atLeast"/>
        </w:trPr>
        <w:tc>
          <w:tcPr>
            <w:tcW w:w="989"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top w:w="28" w:type="dxa"/>
              <w:left w:w="85" w:type="dxa"/>
              <w:bottom w:w="28" w:type="dxa"/>
              <w:right w:w="85" w:type="dxa"/>
            </w:tcMar>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合計</w:t>
            </w:r>
          </w:p>
        </w:tc>
        <w:tc>
          <w:tcPr>
            <w:tcW w:w="2691" w:type="dxa"/>
            <w:gridSpan w:val="6"/>
            <w:tcBorders>
              <w:top w:val="double" w:color="auto" w:sz="4" w:space="0"/>
              <w:left w:val="none" w:color="auto" w:sz="0" w:space="0"/>
              <w:bottom w:val="none" w:color="auto" w:sz="0"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0"/>
              <w:snapToGrid w:val="0"/>
              <w:spacing w:line="0" w:lineRule="atLeast"/>
              <w:jc w:val="center"/>
              <w:rPr>
                <w:rFonts w:hint="default" w:ascii="ＭＳ ゴシック" w:hAnsi="ＭＳ ゴシック" w:eastAsia="ＭＳ ゴシック"/>
                <w:sz w:val="20"/>
              </w:rPr>
            </w:pPr>
            <w:r>
              <w:rPr>
                <w:rFonts w:hint="default" w:ascii="ＭＳ ゴシック" w:hAnsi="ＭＳ ゴシック" w:eastAsia="ＭＳ ゴシック"/>
                <w:sz w:val="20"/>
              </w:rPr>
              <w:t>208</w:t>
            </w:r>
          </w:p>
        </w:tc>
        <w:tc>
          <w:tcPr>
            <w:tcW w:w="2693" w:type="dxa"/>
            <w:gridSpan w:val="6"/>
            <w:tcBorders>
              <w:top w:val="double" w:color="auto" w:sz="4" w:space="0"/>
              <w:left w:val="single" w:color="auto" w:sz="12" w:space="0"/>
              <w:bottom w:val="none" w:color="auto" w:sz="0" w:space="0"/>
              <w:right w:val="single" w:color="auto" w:sz="12" w:space="0"/>
              <w:tl2br w:val="none" w:color="auto" w:sz="0" w:space="0"/>
              <w:tr2bl w:val="none" w:color="auto" w:sz="0" w:space="0"/>
            </w:tcBorders>
            <w:shd w:val="clear" w:color="auto" w:fill="auto"/>
            <w:tcMar>
              <w:top w:w="28" w:type="dxa"/>
              <w:left w:w="85" w:type="dxa"/>
              <w:bottom w:w="28" w:type="dxa"/>
              <w:right w:w="85" w:type="dxa"/>
            </w:tcMar>
            <w:vAlign w:val="center"/>
          </w:tcPr>
          <w:p>
            <w:pPr>
              <w:pStyle w:val="0"/>
              <w:snapToGrid w:val="0"/>
              <w:spacing w:line="0" w:lineRule="atLeast"/>
              <w:jc w:val="center"/>
              <w:rPr>
                <w:rFonts w:hint="default" w:ascii="ＭＳ ゴシック" w:hAnsi="ＭＳ ゴシック" w:eastAsia="ＭＳ ゴシック"/>
                <w:sz w:val="20"/>
              </w:rPr>
            </w:pPr>
            <w:r>
              <w:rPr>
                <w:rFonts w:hint="default" w:ascii="ＭＳ ゴシック" w:hAnsi="ＭＳ ゴシック" w:eastAsia="ＭＳ ゴシック"/>
                <w:sz w:val="20"/>
              </w:rPr>
              <w:t>226</w:t>
            </w:r>
          </w:p>
        </w:tc>
        <w:tc>
          <w:tcPr>
            <w:tcW w:w="2696" w:type="dxa"/>
            <w:gridSpan w:val="6"/>
            <w:tcBorders>
              <w:top w:val="nil"/>
              <w:left w:val="single" w:color="auto" w:sz="12" w:space="0"/>
              <w:bottom w:val="nil"/>
              <w:right w:val="nil"/>
              <w:tl2br w:val="none" w:color="auto" w:sz="0" w:space="0"/>
              <w:tr2bl w:val="none" w:color="auto" w:sz="0" w:space="0"/>
            </w:tcBorders>
            <w:shd w:val="clear" w:color="auto" w:fill="auto"/>
            <w:tcMar>
              <w:top w:w="28" w:type="dxa"/>
              <w:left w:w="85" w:type="dxa"/>
              <w:bottom w:w="28" w:type="dxa"/>
              <w:right w:w="85" w:type="dxa"/>
            </w:tcMar>
            <w:vAlign w:val="center"/>
          </w:tcPr>
          <w:p>
            <w:pPr>
              <w:pStyle w:val="0"/>
              <w:snapToGrid w:val="0"/>
              <w:spacing w:line="0" w:lineRule="atLeast"/>
              <w:jc w:val="center"/>
              <w:rPr>
                <w:rFonts w:hint="default" w:ascii="ＭＳ ゴシック" w:hAnsi="ＭＳ ゴシック" w:eastAsia="ＭＳ ゴシック"/>
                <w:sz w:val="20"/>
              </w:rPr>
            </w:pPr>
          </w:p>
        </w:tc>
      </w:tr>
    </w:tbl>
    <w:p>
      <w:pPr>
        <w:pStyle w:val="68"/>
        <w:spacing w:before="37" w:beforeLines="0" w:beforeAutospacing="0" w:after="0" w:afterLines="0" w:afterAutospacing="0"/>
        <w:ind w:left="1172"/>
        <w:rPr>
          <w:rFonts w:hint="default"/>
        </w:rPr>
      </w:pPr>
      <w:r>
        <w:rPr>
          <w:rFonts w:hint="eastAsia"/>
        </w:rPr>
        <w:t>資料：学校教育課（各年５月１日現在）</w:t>
      </w: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r>
        <w:rPr>
          <w:rFonts w:hint="default"/>
        </w:rPr>
        <w:br w:type="page"/>
      </w:r>
    </w:p>
    <w:p>
      <w:pPr>
        <w:pStyle w:val="66"/>
        <w:spacing w:after="74" w:afterLines="0" w:afterAutospacing="0"/>
        <w:ind w:left="112"/>
        <w:outlineLvl w:val="3"/>
        <w:rPr>
          <w:rFonts w:hint="default"/>
          <w:color w:val="auto"/>
          <w:sz w:val="22"/>
        </w:rPr>
      </w:pPr>
      <w:r>
        <w:rPr>
          <w:rFonts w:hint="eastAsia"/>
          <w:color w:val="auto"/>
          <w:sz w:val="22"/>
        </w:rPr>
        <w:t>（</w:t>
      </w:r>
      <w:r>
        <w:rPr>
          <w:rFonts w:hint="eastAsia"/>
          <w:color w:val="auto"/>
          <w:sz w:val="22"/>
        </w:rPr>
        <w:t>10</w:t>
      </w:r>
      <w:r>
        <w:rPr>
          <w:rFonts w:hint="eastAsia"/>
          <w:color w:val="auto"/>
          <w:sz w:val="22"/>
        </w:rPr>
        <w:t>）</w:t>
      </w:r>
      <w:r>
        <w:rPr>
          <w:rFonts w:hint="eastAsia"/>
          <w:color w:val="auto"/>
          <w:sz w:val="22"/>
          <w:u w:val="single" w:color="auto"/>
        </w:rPr>
        <w:t>障害福祉サービス等の利用状況</w:t>
      </w:r>
    </w:p>
    <w:p>
      <w:pPr>
        <w:pStyle w:val="67"/>
        <w:ind w:left="448" w:firstLine="214" w:firstLineChars="100"/>
        <w:rPr>
          <w:rFonts w:hint="default"/>
        </w:rPr>
      </w:pPr>
      <w:r>
        <w:rPr>
          <w:rFonts w:hint="eastAsia"/>
        </w:rPr>
        <w:t>平成</w:t>
      </w:r>
      <w:r>
        <w:rPr>
          <w:rFonts w:hint="eastAsia"/>
        </w:rPr>
        <w:t>30</w:t>
      </w:r>
      <w:r>
        <w:rPr>
          <w:rFonts w:hint="eastAsia"/>
        </w:rPr>
        <w:t>年度以降の障害福祉サービス等の利用実績</w:t>
      </w:r>
      <w:r>
        <w:rPr>
          <w:rFonts w:hint="eastAsia"/>
        </w:rPr>
        <w:t>(</w:t>
      </w:r>
      <w:r>
        <w:rPr>
          <w:rFonts w:hint="eastAsia"/>
        </w:rPr>
        <w:t>各年度実績平均</w:t>
      </w:r>
      <w:r>
        <w:rPr>
          <w:rFonts w:hint="eastAsia"/>
        </w:rPr>
        <w:t>)</w:t>
      </w:r>
      <w:r>
        <w:rPr>
          <w:rFonts w:hint="eastAsia"/>
        </w:rPr>
        <w:t>をみると、毎年度「就労継続支援</w:t>
      </w:r>
      <w:r>
        <w:rPr>
          <w:rFonts w:hint="eastAsia"/>
        </w:rPr>
        <w:t>(</w:t>
      </w:r>
      <w:r>
        <w:rPr>
          <w:rFonts w:hint="eastAsia"/>
        </w:rPr>
        <w:t>Ｂ型</w:t>
      </w:r>
      <w:r>
        <w:rPr>
          <w:rFonts w:hint="eastAsia"/>
        </w:rPr>
        <w:t>)</w:t>
      </w:r>
      <w:r>
        <w:rPr>
          <w:rFonts w:hint="eastAsia"/>
        </w:rPr>
        <w:t>」の</w:t>
      </w:r>
      <w:r>
        <w:rPr>
          <w:rFonts w:hint="eastAsia"/>
          <w:spacing w:val="-2"/>
        </w:rPr>
        <w:t>利用者</w:t>
      </w:r>
      <w:r>
        <w:rPr>
          <w:rFonts w:hint="eastAsia"/>
        </w:rPr>
        <w:t>が最も多く、かつ増加傾向にあり、平成</w:t>
      </w:r>
      <w:r>
        <w:rPr>
          <w:rFonts w:hint="eastAsia"/>
        </w:rPr>
        <w:t>30</w:t>
      </w:r>
      <w:r>
        <w:rPr>
          <w:rFonts w:hint="eastAsia"/>
        </w:rPr>
        <w:t>年度の</w:t>
      </w:r>
      <w:r>
        <w:rPr>
          <w:rFonts w:hint="eastAsia"/>
        </w:rPr>
        <w:t>141</w:t>
      </w:r>
      <w:r>
        <w:rPr>
          <w:rFonts w:hint="eastAsia"/>
        </w:rPr>
        <w:t>人から令和４年度では</w:t>
      </w:r>
      <w:r>
        <w:rPr>
          <w:rFonts w:hint="eastAsia"/>
        </w:rPr>
        <w:t>160</w:t>
      </w:r>
      <w:r>
        <w:rPr>
          <w:rFonts w:hint="eastAsia"/>
        </w:rPr>
        <w:t>人が利用しています。</w:t>
      </w:r>
    </w:p>
    <w:p>
      <w:pPr>
        <w:pStyle w:val="67"/>
        <w:ind w:left="448" w:firstLine="214" w:firstLineChars="100"/>
        <w:rPr>
          <w:rFonts w:hint="default"/>
        </w:rPr>
      </w:pPr>
      <w:r>
        <w:rPr>
          <w:rFonts w:hint="eastAsia"/>
        </w:rPr>
        <w:t>次に「生活介護」、「居宅介護」、「施設入所支援」、「計画相談支援」が多くなっていますが、横ばい傾向となっています。</w:t>
      </w:r>
    </w:p>
    <w:p>
      <w:pPr>
        <w:pStyle w:val="67"/>
        <w:spacing w:line="0" w:lineRule="atLeast"/>
        <w:ind w:left="448" w:firstLine="164" w:firstLineChars="100"/>
        <w:rPr>
          <w:rFonts w:hint="default"/>
          <w:sz w:val="16"/>
        </w:rPr>
      </w:pPr>
    </w:p>
    <w:tbl>
      <w:tblPr>
        <w:tblStyle w:val="11"/>
        <w:tblW w:w="9072" w:type="dxa"/>
        <w:tblInd w:w="567" w:type="dxa"/>
        <w:tblLayout w:type="fixed"/>
        <w:tblCellMar>
          <w:top w:w="28" w:type="dxa"/>
          <w:bottom w:w="28" w:type="dxa"/>
        </w:tblCellMar>
        <w:tblLook w:firstRow="0" w:lastRow="0" w:firstColumn="0" w:lastColumn="0" w:noHBand="0" w:noVBand="0" w:val="0000"/>
      </w:tblPr>
      <w:tblGrid>
        <w:gridCol w:w="3261"/>
        <w:gridCol w:w="1162"/>
        <w:gridCol w:w="50"/>
        <w:gridCol w:w="1112"/>
        <w:gridCol w:w="1141"/>
        <w:gridCol w:w="21"/>
        <w:gridCol w:w="1162"/>
        <w:gridCol w:w="1163"/>
      </w:tblGrid>
      <w:tr>
        <w:trPr/>
        <w:tc>
          <w:tcPr>
            <w:tcW w:w="4473" w:type="dxa"/>
            <w:gridSpan w:val="3"/>
            <w:vAlign w:val="bottom"/>
          </w:tcPr>
          <w:p>
            <w:pPr>
              <w:pStyle w:val="51"/>
              <w:snapToGrid w:val="0"/>
              <w:spacing w:line="0" w:lineRule="atLeast"/>
              <w:ind w:left="-221"/>
              <w:rPr>
                <w:rFonts w:hint="default" w:ascii="ＭＳ ゴシック" w:hAnsi="ＭＳ ゴシック" w:eastAsia="ＭＳ ゴシック"/>
              </w:rPr>
            </w:pPr>
            <w:r>
              <w:rPr>
                <w:rFonts w:hint="eastAsia" w:ascii="ＭＳ ゴシック" w:hAnsi="ＭＳ ゴシック" w:eastAsia="ＭＳ ゴシック"/>
              </w:rPr>
              <w:t>【障害福祉サービス実利用者数】</w:t>
            </w:r>
          </w:p>
        </w:tc>
        <w:tc>
          <w:tcPr>
            <w:tcW w:w="2253" w:type="dxa"/>
            <w:gridSpan w:val="2"/>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346" w:type="dxa"/>
            <w:gridSpan w:val="3"/>
            <w:tcMar>
              <w:top w:w="0" w:type="dxa"/>
              <w:bottom w:w="0" w:type="dxa"/>
            </w:tcMar>
            <w:vAlign w:val="bottom"/>
          </w:tcPr>
          <w:p>
            <w:pPr>
              <w:pStyle w:val="54"/>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c>
          <w:tcPr>
            <w:tcW w:w="3261"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ＭＳ ゴシック" w:hAnsi="ＭＳ ゴシック" w:eastAsia="ＭＳ ゴシック"/>
                <w:sz w:val="20"/>
              </w:rPr>
            </w:pPr>
          </w:p>
        </w:tc>
        <w:tc>
          <w:tcPr>
            <w:tcW w:w="1162" w:type="dxa"/>
            <w:tcBorders>
              <w:top w:val="single" w:color="000000"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年度</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令和元年度</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令和２年度</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令和３年度</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令和４年度</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①居宅介護</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54</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60</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80</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66</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68</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②重度訪問介護</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③行動援護</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④同行援護</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25</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⑤重度障害者等包括支援</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⑥生活介護</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89</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92</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97</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100</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96</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spacing w:val="-4"/>
                <w:w w:val="100"/>
                <w:sz w:val="20"/>
              </w:rPr>
            </w:pPr>
            <w:r>
              <w:rPr>
                <w:rFonts w:hint="eastAsia" w:ascii="ＭＳ ゴシック" w:hAnsi="ＭＳ ゴシック" w:eastAsia="ＭＳ ゴシック"/>
                <w:spacing w:val="-4"/>
                <w:w w:val="100"/>
                <w:sz w:val="20"/>
              </w:rPr>
              <w:t>⑦自立訓練（機能訓練）</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⑧自立訓練（生活訓練）</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⑨就労選択支援</w:t>
            </w:r>
          </w:p>
        </w:tc>
        <w:tc>
          <w:tcPr>
            <w:tcW w:w="1162" w:type="dxa"/>
            <w:tcBorders>
              <w:top w:val="single" w:color="auto" w:sz="4" w:space="0"/>
              <w:left w:val="single" w:color="auto" w:sz="4" w:space="0"/>
              <w:bottom w:val="single" w:color="auto" w:sz="4" w:space="0"/>
              <w:right w:val="none" w:color="auto" w:sz="0" w:space="0"/>
              <w:tl2br w:val="none" w:color="auto" w:sz="0" w:space="0"/>
              <w:tr2bl w:val="single" w:color="auto" w:sz="4"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single" w:color="auto" w:sz="4"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⑩就労移行支援</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⑪就労継続支援（Ａ型）</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22</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28</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⑫就労継続支援（Ｂ型）</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141</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148</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151</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149</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160</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⑬就労定着支援</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⑭短期入所（福祉型）</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⑮短期入所（医療型）</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⑯療養介護</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⑰自立生活援助</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⑱共同生活援助（ＧＨ</w:t>
            </w:r>
            <w:r>
              <w:rPr>
                <w:rFonts w:hint="default" w:ascii="ＭＳ ゴシック" w:hAnsi="ＭＳ ゴシック" w:eastAsia="ＭＳ ゴシック"/>
                <w:w w:val="100"/>
                <w:sz w:val="20"/>
              </w:rPr>
              <w:t>）</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30</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33</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36</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42</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47</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⑲施設入所支援</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58</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58</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58</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59</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r>
              <w:rPr>
                <w:rFonts w:hint="eastAsia" w:ascii="ＭＳ ゴシック" w:hAnsi="ＭＳ ゴシック" w:eastAsia="ＭＳ ゴシック"/>
                <w:w w:val="100"/>
                <w:sz w:val="20"/>
              </w:rPr>
              <w:t>1</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⑳計画相談支援</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63</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76</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99</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92</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95</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㉑地域移行支援</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3261"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㉒地域定着支援</w:t>
            </w:r>
          </w:p>
        </w:tc>
        <w:tc>
          <w:tcPr>
            <w:tcW w:w="116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gridSpan w:val="2"/>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bl>
    <w:p>
      <w:pPr>
        <w:pStyle w:val="68"/>
        <w:spacing w:before="37" w:beforeLines="0" w:beforeAutospacing="0" w:after="0" w:afterLines="0" w:afterAutospacing="0"/>
        <w:ind w:left="1172"/>
        <w:rPr>
          <w:rFonts w:hint="default"/>
        </w:rPr>
      </w:pPr>
      <w:r>
        <w:rPr>
          <w:rFonts w:hint="eastAsia"/>
        </w:rPr>
        <w:t>資料：保健福祉課（各年度実績平均）</w:t>
      </w: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r>
        <w:rPr>
          <w:rFonts w:hint="default"/>
        </w:rPr>
        <w:br w:type="page"/>
      </w:r>
    </w:p>
    <w:p>
      <w:pPr>
        <w:pStyle w:val="66"/>
        <w:spacing w:after="74" w:afterLines="0" w:afterAutospacing="0"/>
        <w:ind w:left="112"/>
        <w:outlineLvl w:val="3"/>
        <w:rPr>
          <w:rFonts w:hint="default"/>
          <w:color w:val="auto"/>
          <w:sz w:val="22"/>
        </w:rPr>
      </w:pPr>
      <w:r>
        <w:rPr>
          <w:rFonts w:hint="eastAsia"/>
          <w:color w:val="auto"/>
          <w:sz w:val="22"/>
        </w:rPr>
        <w:t>（</w:t>
      </w:r>
      <w:r>
        <w:rPr>
          <w:rFonts w:hint="eastAsia"/>
          <w:color w:val="auto"/>
          <w:sz w:val="22"/>
        </w:rPr>
        <w:t>11</w:t>
      </w:r>
      <w:r>
        <w:rPr>
          <w:rFonts w:hint="eastAsia"/>
          <w:color w:val="auto"/>
          <w:sz w:val="22"/>
        </w:rPr>
        <w:t>）</w:t>
      </w:r>
      <w:r>
        <w:rPr>
          <w:rFonts w:hint="eastAsia"/>
          <w:color w:val="auto"/>
          <w:sz w:val="22"/>
          <w:u w:val="single" w:color="auto"/>
        </w:rPr>
        <w:t>障害児通所支援等の利用状況</w:t>
      </w:r>
    </w:p>
    <w:p>
      <w:pPr>
        <w:pStyle w:val="67"/>
        <w:ind w:left="448" w:firstLine="214" w:firstLineChars="100"/>
        <w:rPr>
          <w:rFonts w:hint="default"/>
        </w:rPr>
      </w:pPr>
      <w:r>
        <w:rPr>
          <w:rFonts w:hint="eastAsia"/>
        </w:rPr>
        <w:t>平成</w:t>
      </w:r>
      <w:r>
        <w:rPr>
          <w:rFonts w:hint="eastAsia"/>
        </w:rPr>
        <w:t>30</w:t>
      </w:r>
      <w:r>
        <w:rPr>
          <w:rFonts w:hint="eastAsia"/>
        </w:rPr>
        <w:t>年度以降の障害児通所支援等の利用実績</w:t>
      </w:r>
      <w:r>
        <w:rPr>
          <w:rFonts w:hint="eastAsia"/>
        </w:rPr>
        <w:t>(</w:t>
      </w:r>
      <w:r>
        <w:rPr>
          <w:rFonts w:hint="eastAsia"/>
        </w:rPr>
        <w:t>各年度実績平均</w:t>
      </w:r>
      <w:r>
        <w:rPr>
          <w:rFonts w:hint="eastAsia"/>
        </w:rPr>
        <w:t>)</w:t>
      </w:r>
      <w:r>
        <w:rPr>
          <w:rFonts w:hint="eastAsia"/>
        </w:rPr>
        <w:t>をみると、毎年度「放課後等デイサービス」が最も多く、かつ毎年度増える傾向にあり、平成</w:t>
      </w:r>
      <w:r>
        <w:rPr>
          <w:rFonts w:hint="eastAsia"/>
        </w:rPr>
        <w:t>30</w:t>
      </w:r>
      <w:r>
        <w:rPr>
          <w:rFonts w:hint="eastAsia"/>
        </w:rPr>
        <w:t>年度の</w:t>
      </w:r>
      <w:r>
        <w:rPr>
          <w:rFonts w:hint="eastAsia"/>
        </w:rPr>
        <w:t>116</w:t>
      </w:r>
      <w:r>
        <w:rPr>
          <w:rFonts w:hint="eastAsia"/>
        </w:rPr>
        <w:t>人から令和４年度では</w:t>
      </w:r>
      <w:r>
        <w:rPr>
          <w:rFonts w:hint="eastAsia"/>
        </w:rPr>
        <w:t>165</w:t>
      </w:r>
      <w:r>
        <w:rPr>
          <w:rFonts w:hint="eastAsia"/>
        </w:rPr>
        <w:t>人となっています。次に「児童発達支援」の利用が多く、令和元年度までは</w:t>
      </w:r>
      <w:r>
        <w:rPr>
          <w:rFonts w:hint="eastAsia"/>
        </w:rPr>
        <w:t>40</w:t>
      </w:r>
      <w:r>
        <w:rPr>
          <w:rFonts w:hint="eastAsia"/>
        </w:rPr>
        <w:t>人台の利用となっていましたが、令和２年度に</w:t>
      </w:r>
      <w:r>
        <w:rPr>
          <w:rFonts w:hint="eastAsia"/>
        </w:rPr>
        <w:t>74</w:t>
      </w:r>
      <w:r>
        <w:rPr>
          <w:rFonts w:hint="eastAsia"/>
        </w:rPr>
        <w:t>人と大きく増え、令和４年度では</w:t>
      </w:r>
      <w:r>
        <w:rPr>
          <w:rFonts w:hint="eastAsia"/>
        </w:rPr>
        <w:t>89</w:t>
      </w:r>
      <w:r>
        <w:rPr>
          <w:rFonts w:hint="eastAsia"/>
        </w:rPr>
        <w:t>人となっています。</w:t>
      </w:r>
    </w:p>
    <w:p>
      <w:pPr>
        <w:pStyle w:val="67"/>
        <w:ind w:left="448" w:firstLine="214" w:firstLineChars="100"/>
        <w:rPr>
          <w:rFonts w:hint="default"/>
        </w:rPr>
      </w:pPr>
      <w:r>
        <w:rPr>
          <w:rFonts w:hint="eastAsia"/>
        </w:rPr>
        <w:t>「保育所等訪問支援」は平成</w:t>
      </w:r>
      <w:r>
        <w:rPr>
          <w:rFonts w:hint="eastAsia"/>
        </w:rPr>
        <w:t>30</w:t>
      </w:r>
      <w:r>
        <w:rPr>
          <w:rFonts w:hint="eastAsia"/>
        </w:rPr>
        <w:t>年度では</w:t>
      </w:r>
      <w:r>
        <w:rPr>
          <w:rFonts w:hint="eastAsia"/>
        </w:rPr>
        <w:t>8</w:t>
      </w:r>
      <w:r>
        <w:rPr>
          <w:rFonts w:hint="eastAsia"/>
        </w:rPr>
        <w:t>人であったのが、令和４年度では</w:t>
      </w:r>
      <w:r>
        <w:rPr>
          <w:rFonts w:hint="eastAsia"/>
        </w:rPr>
        <w:t>39</w:t>
      </w:r>
      <w:r>
        <w:rPr>
          <w:rFonts w:hint="eastAsia"/>
        </w:rPr>
        <w:t>人と大きく増えています。「障害児相談支援」でも同じような傾向が見られ、平成</w:t>
      </w:r>
      <w:r>
        <w:rPr>
          <w:rFonts w:hint="eastAsia"/>
        </w:rPr>
        <w:t>30</w:t>
      </w:r>
      <w:r>
        <w:rPr>
          <w:rFonts w:hint="eastAsia"/>
        </w:rPr>
        <w:t>年度では</w:t>
      </w:r>
      <w:r>
        <w:rPr>
          <w:rFonts w:hint="eastAsia"/>
        </w:rPr>
        <w:t>35</w:t>
      </w:r>
      <w:r>
        <w:rPr>
          <w:rFonts w:hint="eastAsia"/>
        </w:rPr>
        <w:t>人であったのが、令和４年度では</w:t>
      </w:r>
      <w:r>
        <w:rPr>
          <w:rFonts w:hint="eastAsia"/>
        </w:rPr>
        <w:t>66</w:t>
      </w:r>
      <w:r>
        <w:rPr>
          <w:rFonts w:hint="eastAsia"/>
        </w:rPr>
        <w:t>人と大きく増えています。</w:t>
      </w:r>
    </w:p>
    <w:p>
      <w:pPr>
        <w:pStyle w:val="67"/>
        <w:ind w:left="448" w:firstLine="214" w:firstLineChars="100"/>
        <w:rPr>
          <w:rFonts w:hint="default"/>
        </w:rPr>
      </w:pPr>
      <w:r>
        <w:rPr>
          <w:rFonts w:hint="eastAsia"/>
        </w:rPr>
        <w:t>「医療型児童発達支援」は令和元年度より</w:t>
      </w:r>
      <w:r>
        <w:rPr>
          <w:rFonts w:hint="eastAsia"/>
        </w:rPr>
        <w:t>2</w:t>
      </w:r>
      <w:r>
        <w:rPr>
          <w:rFonts w:hint="eastAsia"/>
        </w:rPr>
        <w:t>人の利用があります。</w:t>
      </w:r>
    </w:p>
    <w:p>
      <w:pPr>
        <w:pStyle w:val="67"/>
        <w:ind w:left="448" w:firstLine="214" w:firstLineChars="100"/>
        <w:rPr>
          <w:rFonts w:hint="default"/>
        </w:rPr>
      </w:pPr>
      <w:r>
        <w:rPr>
          <w:rFonts w:hint="eastAsia"/>
        </w:rPr>
        <w:t>一方、平成</w:t>
      </w:r>
      <w:r>
        <w:rPr>
          <w:rFonts w:hint="eastAsia"/>
        </w:rPr>
        <w:t>30</w:t>
      </w:r>
      <w:r>
        <w:rPr>
          <w:rFonts w:hint="eastAsia"/>
        </w:rPr>
        <w:t>年度から新たに創設された「居宅訪問型児童発達支援」については、これまで利用実績はありません。</w:t>
      </w:r>
    </w:p>
    <w:p>
      <w:pPr>
        <w:pStyle w:val="67"/>
        <w:spacing w:line="0" w:lineRule="atLeast"/>
        <w:ind w:left="448" w:firstLine="164" w:firstLineChars="100"/>
        <w:rPr>
          <w:rFonts w:hint="default"/>
          <w:sz w:val="16"/>
        </w:rPr>
      </w:pPr>
    </w:p>
    <w:tbl>
      <w:tblPr>
        <w:tblStyle w:val="11"/>
        <w:tblW w:w="9072" w:type="dxa"/>
        <w:tblInd w:w="567" w:type="dxa"/>
        <w:tblLayout w:type="fixed"/>
        <w:tblCellMar>
          <w:top w:w="28" w:type="dxa"/>
          <w:bottom w:w="28" w:type="dxa"/>
        </w:tblCellMar>
        <w:tblLook w:firstRow="0" w:lastRow="0" w:firstColumn="0" w:lastColumn="0" w:noHBand="0" w:noVBand="0" w:val="0000"/>
      </w:tblPr>
      <w:tblGrid>
        <w:gridCol w:w="2977"/>
        <w:gridCol w:w="1202"/>
        <w:gridCol w:w="1208"/>
        <w:gridCol w:w="1339"/>
        <w:gridCol w:w="1183"/>
        <w:gridCol w:w="1163"/>
      </w:tblGrid>
      <w:tr>
        <w:trPr/>
        <w:tc>
          <w:tcPr>
            <w:tcW w:w="4179" w:type="dxa"/>
            <w:gridSpan w:val="2"/>
            <w:vAlign w:val="bottom"/>
          </w:tcPr>
          <w:p>
            <w:pPr>
              <w:pStyle w:val="51"/>
              <w:snapToGrid w:val="0"/>
              <w:spacing w:line="0" w:lineRule="atLeast"/>
              <w:ind w:left="-221"/>
              <w:rPr>
                <w:rFonts w:hint="default" w:ascii="ＭＳ ゴシック" w:hAnsi="ＭＳ ゴシック" w:eastAsia="ＭＳ ゴシック"/>
              </w:rPr>
            </w:pPr>
            <w:r>
              <w:rPr>
                <w:rFonts w:hint="eastAsia" w:ascii="ＭＳ ゴシック" w:hAnsi="ＭＳ ゴシック" w:eastAsia="ＭＳ ゴシック"/>
                <w:sz w:val="21"/>
              </w:rPr>
              <w:t>【障害児通所支援実利用者数】</w:t>
            </w:r>
          </w:p>
        </w:tc>
        <w:tc>
          <w:tcPr>
            <w:tcW w:w="2547" w:type="dxa"/>
            <w:gridSpan w:val="2"/>
            <w:tcMar>
              <w:top w:w="0" w:type="dxa"/>
              <w:bottom w:w="0" w:type="dxa"/>
            </w:tcMar>
            <w:vAlign w:val="bottom"/>
          </w:tcPr>
          <w:p>
            <w:pPr>
              <w:pStyle w:val="0"/>
              <w:snapToGrid w:val="0"/>
              <w:spacing w:line="0" w:lineRule="atLeast"/>
              <w:rPr>
                <w:rFonts w:hint="default" w:ascii="ＭＳ ゴシック" w:hAnsi="ＭＳ ゴシック" w:eastAsia="ＭＳ ゴシック"/>
              </w:rPr>
            </w:pPr>
          </w:p>
        </w:tc>
        <w:tc>
          <w:tcPr>
            <w:tcW w:w="2346" w:type="dxa"/>
            <w:gridSpan w:val="2"/>
            <w:tcMar>
              <w:top w:w="0" w:type="dxa"/>
              <w:bottom w:w="0" w:type="dxa"/>
            </w:tcMar>
            <w:vAlign w:val="bottom"/>
          </w:tcPr>
          <w:p>
            <w:pPr>
              <w:pStyle w:val="54"/>
              <w:snapToGrid w:val="0"/>
              <w:spacing w:line="0" w:lineRule="atLeast"/>
              <w:rPr>
                <w:rFonts w:hint="default"/>
              </w:rPr>
            </w:pPr>
            <w:r>
              <w:rPr>
                <w:rFonts w:hint="default"/>
              </w:rPr>
              <w:t>(</w:t>
            </w:r>
            <w:r>
              <w:rPr>
                <w:rFonts w:hint="default"/>
              </w:rPr>
              <w:t>単位</w:t>
            </w:r>
            <w:r>
              <w:rPr>
                <w:rFonts w:hint="default"/>
              </w:rPr>
              <w:t>:</w:t>
            </w:r>
            <w:r>
              <w:rPr>
                <w:rFonts w:hint="default"/>
              </w:rPr>
              <w:t>人</w:t>
            </w:r>
            <w:r>
              <w:rPr>
                <w:rFonts w:hint="default"/>
              </w:rPr>
              <w:t>)</w:t>
            </w:r>
          </w:p>
        </w:tc>
      </w:tr>
      <w:tr>
        <w:trPr/>
        <w:tc>
          <w:tcPr>
            <w:tcW w:w="2977"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ＭＳ ゴシック" w:hAnsi="ＭＳ ゴシック" w:eastAsia="ＭＳ ゴシック"/>
                <w:sz w:val="20"/>
              </w:rPr>
            </w:pPr>
          </w:p>
        </w:tc>
        <w:tc>
          <w:tcPr>
            <w:tcW w:w="1202" w:type="dxa"/>
            <w:tcBorders>
              <w:top w:val="single" w:color="000000" w:sz="4" w:space="0"/>
              <w:left w:val="single" w:color="000000" w:sz="4"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0" w:type="dxa"/>
              <w:bottom w:w="0" w:type="dxa"/>
            </w:tcMar>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r>
              <w:rPr>
                <w:rFonts w:hint="default" w:ascii="ＭＳ ゴシック" w:hAnsi="ＭＳ ゴシック" w:eastAsia="ＭＳ ゴシック"/>
                <w:spacing w:val="-4"/>
                <w:kern w:val="0"/>
                <w:sz w:val="20"/>
              </w:rPr>
              <w:t>30</w:t>
            </w:r>
            <w:r>
              <w:rPr>
                <w:rFonts w:hint="default" w:ascii="ＭＳ ゴシック" w:hAnsi="ＭＳ ゴシック" w:eastAsia="ＭＳ ゴシック"/>
                <w:spacing w:val="-4"/>
                <w:kern w:val="0"/>
                <w:sz w:val="20"/>
              </w:rPr>
              <w:t>年度</w:t>
            </w:r>
          </w:p>
        </w:tc>
        <w:tc>
          <w:tcPr>
            <w:tcW w:w="120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令和元年度</w:t>
            </w:r>
          </w:p>
        </w:tc>
        <w:tc>
          <w:tcPr>
            <w:tcW w:w="13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令和２年度</w:t>
            </w:r>
          </w:p>
        </w:tc>
        <w:tc>
          <w:tcPr>
            <w:tcW w:w="118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令和３年度</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令和４年度</w:t>
            </w:r>
          </w:p>
        </w:tc>
      </w:tr>
      <w:tr>
        <w:trPr/>
        <w:tc>
          <w:tcPr>
            <w:tcW w:w="2977"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①児童発達支援</w:t>
            </w:r>
          </w:p>
        </w:tc>
        <w:tc>
          <w:tcPr>
            <w:tcW w:w="120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42</w:t>
            </w:r>
          </w:p>
        </w:tc>
        <w:tc>
          <w:tcPr>
            <w:tcW w:w="120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48</w:t>
            </w:r>
          </w:p>
        </w:tc>
        <w:tc>
          <w:tcPr>
            <w:tcW w:w="13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74</w:t>
            </w:r>
          </w:p>
        </w:tc>
        <w:tc>
          <w:tcPr>
            <w:tcW w:w="118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63</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89</w:t>
            </w:r>
          </w:p>
        </w:tc>
      </w:tr>
      <w:tr>
        <w:trPr/>
        <w:tc>
          <w:tcPr>
            <w:tcW w:w="2977"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②医療型児童発達支援</w:t>
            </w:r>
          </w:p>
        </w:tc>
        <w:tc>
          <w:tcPr>
            <w:tcW w:w="120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20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3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8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2977"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③放課後等デイサービス</w:t>
            </w:r>
          </w:p>
        </w:tc>
        <w:tc>
          <w:tcPr>
            <w:tcW w:w="120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116</w:t>
            </w:r>
          </w:p>
        </w:tc>
        <w:tc>
          <w:tcPr>
            <w:tcW w:w="120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137</w:t>
            </w:r>
          </w:p>
        </w:tc>
        <w:tc>
          <w:tcPr>
            <w:tcW w:w="13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149</w:t>
            </w:r>
          </w:p>
        </w:tc>
        <w:tc>
          <w:tcPr>
            <w:tcW w:w="118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147</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165</w:t>
            </w:r>
          </w:p>
        </w:tc>
      </w:tr>
      <w:tr>
        <w:trPr/>
        <w:tc>
          <w:tcPr>
            <w:tcW w:w="2977"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④保育所等訪問支援</w:t>
            </w:r>
          </w:p>
        </w:tc>
        <w:tc>
          <w:tcPr>
            <w:tcW w:w="120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20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31</w:t>
            </w:r>
          </w:p>
        </w:tc>
        <w:tc>
          <w:tcPr>
            <w:tcW w:w="13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118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39</w:t>
            </w:r>
          </w:p>
        </w:tc>
      </w:tr>
      <w:tr>
        <w:trPr/>
        <w:tc>
          <w:tcPr>
            <w:tcW w:w="2977"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⑤居宅訪問型児童発達支援</w:t>
            </w:r>
          </w:p>
        </w:tc>
        <w:tc>
          <w:tcPr>
            <w:tcW w:w="120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20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3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8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rPr/>
        <w:tc>
          <w:tcPr>
            <w:tcW w:w="2977" w:type="dxa"/>
            <w:tcBorders>
              <w:top w:val="none" w:color="auto" w:sz="0" w:space="0"/>
              <w:left w:val="single" w:color="000000" w:sz="4" w:space="0"/>
              <w:bottom w:val="single" w:color="000000" w:sz="4" w:space="0"/>
              <w:right w:val="single" w:color="auto" w:sz="4" w:space="0"/>
              <w:tl2br w:val="none" w:color="auto" w:sz="0" w:space="0"/>
              <w:tr2bl w:val="none" w:color="auto" w:sz="0" w:space="0"/>
            </w:tcBorders>
            <w:vAlign w:val="center"/>
          </w:tcPr>
          <w:p>
            <w:pPr>
              <w:pStyle w:val="45"/>
              <w:snapToGrid w:val="0"/>
              <w:spacing w:before="0" w:beforeLines="0" w:beforeAutospacing="0" w:after="0" w:afterLines="0" w:afterAutospacing="0"/>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⑥障害児相談支援</w:t>
            </w:r>
          </w:p>
        </w:tc>
        <w:tc>
          <w:tcPr>
            <w:tcW w:w="120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auto"/>
            <w:tcMar>
              <w:top w:w="0" w:type="dxa"/>
              <w:bottom w:w="0" w:type="dxa"/>
            </w:tcMar>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35</w:t>
            </w:r>
          </w:p>
        </w:tc>
        <w:tc>
          <w:tcPr>
            <w:tcW w:w="1208" w:type="dxa"/>
            <w:tcBorders>
              <w:top w:val="single" w:color="000000" w:sz="4" w:space="0"/>
              <w:left w:val="single" w:color="000000" w:sz="4" w:space="0"/>
              <w:bottom w:val="single" w:color="000000"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55</w:t>
            </w:r>
          </w:p>
        </w:tc>
        <w:tc>
          <w:tcPr>
            <w:tcW w:w="13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73</w:t>
            </w:r>
          </w:p>
        </w:tc>
        <w:tc>
          <w:tcPr>
            <w:tcW w:w="118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65</w:t>
            </w:r>
          </w:p>
        </w:tc>
        <w:tc>
          <w:tcPr>
            <w:tcW w:w="116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66</w:t>
            </w:r>
          </w:p>
        </w:tc>
      </w:tr>
    </w:tbl>
    <w:p>
      <w:pPr>
        <w:pStyle w:val="68"/>
        <w:spacing w:before="37" w:beforeLines="0" w:beforeAutospacing="0" w:after="0" w:afterLines="0" w:afterAutospacing="0"/>
        <w:ind w:left="1172"/>
        <w:rPr>
          <w:rFonts w:hint="default"/>
        </w:rPr>
      </w:pPr>
      <w:r>
        <w:rPr>
          <w:rFonts w:hint="eastAsia"/>
        </w:rPr>
        <w:t>資料：保健福祉課（各年度実績平均）</w:t>
      </w: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r>
        <w:rPr>
          <w:rFonts w:hint="default"/>
        </w:rPr>
        <w:br w:type="page"/>
      </w:r>
    </w:p>
    <w:p>
      <w:pPr>
        <w:pStyle w:val="66"/>
        <w:spacing w:after="74" w:afterLines="0" w:afterAutospacing="0"/>
        <w:ind w:left="112"/>
        <w:outlineLvl w:val="3"/>
        <w:rPr>
          <w:rFonts w:hint="default"/>
          <w:color w:val="auto"/>
          <w:sz w:val="22"/>
        </w:rPr>
      </w:pPr>
      <w:r>
        <w:rPr>
          <w:rFonts w:hint="eastAsia"/>
          <w:color w:val="auto"/>
          <w:sz w:val="22"/>
        </w:rPr>
        <w:t>（</w:t>
      </w:r>
      <w:r>
        <w:rPr>
          <w:rFonts w:hint="eastAsia"/>
          <w:color w:val="auto"/>
          <w:sz w:val="22"/>
        </w:rPr>
        <w:t>12</w:t>
      </w:r>
      <w:r>
        <w:rPr>
          <w:rFonts w:hint="eastAsia"/>
          <w:color w:val="auto"/>
          <w:sz w:val="22"/>
        </w:rPr>
        <w:t>）</w:t>
      </w:r>
      <w:r>
        <w:rPr>
          <w:rFonts w:hint="eastAsia"/>
          <w:color w:val="auto"/>
          <w:sz w:val="22"/>
          <w:u w:val="single" w:color="auto"/>
        </w:rPr>
        <w:t>町内の障害福祉サービス等事業所</w:t>
      </w:r>
    </w:p>
    <w:p>
      <w:pPr>
        <w:pStyle w:val="67"/>
        <w:ind w:left="448" w:firstLine="214" w:firstLineChars="100"/>
        <w:rPr>
          <w:rFonts w:hint="default"/>
        </w:rPr>
      </w:pPr>
      <w:r>
        <w:rPr>
          <w:rFonts w:hint="default"/>
        </w:rPr>
        <w:t>障害福祉サービス及び障害児通所支援等を提供する、町内の事業所</w:t>
      </w:r>
      <w:r>
        <w:rPr>
          <w:rFonts w:hint="eastAsia"/>
        </w:rPr>
        <w:t>数は令和４年４月１</w:t>
      </w:r>
      <w:r>
        <w:rPr>
          <w:rFonts w:hint="default"/>
        </w:rPr>
        <w:t>日現在で</w:t>
      </w:r>
      <w:r>
        <w:rPr>
          <w:rFonts w:hint="eastAsia"/>
        </w:rPr>
        <w:t>102</w:t>
      </w:r>
      <w:r>
        <w:rPr>
          <w:rFonts w:hint="default"/>
        </w:rPr>
        <w:t>事業所となります。</w:t>
      </w:r>
      <w:r>
        <w:rPr>
          <w:rFonts w:hint="eastAsia"/>
        </w:rPr>
        <w:t>平成</w:t>
      </w:r>
      <w:r>
        <w:rPr>
          <w:rFonts w:hint="eastAsia"/>
        </w:rPr>
        <w:t>26</w:t>
      </w:r>
      <w:r>
        <w:rPr>
          <w:rFonts w:hint="eastAsia"/>
        </w:rPr>
        <w:t>年度と比べると</w:t>
      </w:r>
      <w:r>
        <w:rPr>
          <w:rFonts w:hint="eastAsia"/>
        </w:rPr>
        <w:t>31</w:t>
      </w:r>
      <w:r>
        <w:rPr>
          <w:rFonts w:hint="eastAsia"/>
        </w:rPr>
        <w:t>事業所増えています。</w:t>
      </w:r>
    </w:p>
    <w:p>
      <w:pPr>
        <w:pStyle w:val="67"/>
        <w:ind w:left="448" w:firstLine="214" w:firstLineChars="100"/>
        <w:rPr>
          <w:rFonts w:hint="default"/>
        </w:rPr>
      </w:pPr>
      <w:r>
        <w:rPr>
          <w:rFonts w:hint="eastAsia"/>
        </w:rPr>
        <w:t>令和５</w:t>
      </w:r>
      <w:r>
        <w:rPr>
          <w:rFonts w:hint="default"/>
        </w:rPr>
        <w:t>年度のサービス別の事業所数としては、「放課後等デイサービス」が</w:t>
      </w:r>
      <w:r>
        <w:rPr>
          <w:rFonts w:hint="default"/>
        </w:rPr>
        <w:t>1</w:t>
      </w:r>
      <w:r>
        <w:rPr>
          <w:rFonts w:hint="eastAsia"/>
        </w:rPr>
        <w:t>9</w:t>
      </w:r>
      <w:r>
        <w:rPr>
          <w:rFonts w:hint="default"/>
        </w:rPr>
        <w:t>事業所と最も多く、次に「</w:t>
      </w:r>
      <w:r>
        <w:rPr>
          <w:rFonts w:hint="eastAsia"/>
        </w:rPr>
        <w:t>児童発達支援</w:t>
      </w:r>
      <w:r>
        <w:rPr>
          <w:rFonts w:hint="default"/>
        </w:rPr>
        <w:t>」の</w:t>
      </w:r>
      <w:r>
        <w:rPr>
          <w:rFonts w:hint="eastAsia"/>
        </w:rPr>
        <w:t>12</w:t>
      </w:r>
      <w:r>
        <w:rPr>
          <w:rFonts w:hint="default"/>
        </w:rPr>
        <w:t>事業所</w:t>
      </w:r>
      <w:r>
        <w:rPr>
          <w:rFonts w:hint="eastAsia"/>
        </w:rPr>
        <w:t>、「</w:t>
      </w:r>
      <w:r>
        <w:rPr>
          <w:rFonts w:hint="default"/>
        </w:rPr>
        <w:t>就労継続支援</w:t>
      </w:r>
      <w:r>
        <w:rPr>
          <w:rFonts w:hint="default"/>
        </w:rPr>
        <w:t>(</w:t>
      </w:r>
      <w:r>
        <w:rPr>
          <w:rFonts w:hint="eastAsia"/>
        </w:rPr>
        <w:t>Ｂ型</w:t>
      </w:r>
      <w:r>
        <w:rPr>
          <w:rFonts w:hint="default"/>
        </w:rPr>
        <w:t>)</w:t>
      </w:r>
      <w:r>
        <w:rPr>
          <w:rFonts w:hint="eastAsia"/>
        </w:rPr>
        <w:t>」が</w:t>
      </w:r>
      <w:r>
        <w:rPr>
          <w:rFonts w:hint="eastAsia"/>
        </w:rPr>
        <w:t>11</w:t>
      </w:r>
      <w:r>
        <w:rPr>
          <w:rFonts w:hint="eastAsia"/>
        </w:rPr>
        <w:t>事業所</w:t>
      </w:r>
      <w:r>
        <w:rPr>
          <w:rFonts w:hint="default"/>
        </w:rPr>
        <w:t>とな</w:t>
      </w:r>
      <w:r>
        <w:rPr>
          <w:rFonts w:hint="eastAsia"/>
        </w:rPr>
        <w:t>ってい</w:t>
      </w:r>
      <w:r>
        <w:rPr>
          <w:rFonts w:hint="default"/>
        </w:rPr>
        <w:t>ます。</w:t>
      </w:r>
    </w:p>
    <w:p>
      <w:pPr>
        <w:pStyle w:val="67"/>
        <w:ind w:left="448" w:firstLine="214" w:firstLineChars="100"/>
        <w:rPr>
          <w:rFonts w:hint="default"/>
        </w:rPr>
      </w:pPr>
      <w:r>
        <w:rPr>
          <w:rFonts w:hint="eastAsia"/>
        </w:rPr>
        <w:t>令和２年度と比べて令和５年度に減少した事業所は、「生活介護」、「地域移行支援」、「地域定着支援」で</w:t>
      </w:r>
      <w:r>
        <w:rPr>
          <w:rFonts w:hint="eastAsia"/>
        </w:rPr>
        <w:t>2</w:t>
      </w:r>
      <w:r>
        <w:rPr>
          <w:rFonts w:hint="eastAsia"/>
        </w:rPr>
        <w:t>件、「就労移行支援」で</w:t>
      </w:r>
      <w:r>
        <w:rPr>
          <w:rFonts w:hint="eastAsia"/>
        </w:rPr>
        <w:t>1</w:t>
      </w:r>
      <w:r>
        <w:rPr>
          <w:rFonts w:hint="eastAsia"/>
        </w:rPr>
        <w:t>件の計</w:t>
      </w:r>
      <w:r>
        <w:rPr>
          <w:rFonts w:hint="eastAsia"/>
        </w:rPr>
        <w:t>7</w:t>
      </w:r>
      <w:r>
        <w:rPr>
          <w:rFonts w:hint="eastAsia"/>
        </w:rPr>
        <w:t>件となっています。一方、増加した事業所は「放課後等デイサービス」が</w:t>
      </w:r>
      <w:r>
        <w:rPr>
          <w:rFonts w:hint="eastAsia"/>
        </w:rPr>
        <w:t>7</w:t>
      </w:r>
      <w:r>
        <w:rPr>
          <w:rFonts w:hint="eastAsia"/>
        </w:rPr>
        <w:t>件、</w:t>
      </w:r>
      <w:r>
        <w:rPr>
          <w:rFonts w:hint="default"/>
        </w:rPr>
        <w:t>「</w:t>
      </w:r>
      <w:r>
        <w:rPr>
          <w:rFonts w:hint="eastAsia"/>
        </w:rPr>
        <w:t>児童発達支援</w:t>
      </w:r>
      <w:r>
        <w:rPr>
          <w:rFonts w:hint="default"/>
        </w:rPr>
        <w:t>」</w:t>
      </w:r>
      <w:r>
        <w:rPr>
          <w:rFonts w:hint="eastAsia"/>
        </w:rPr>
        <w:t>が</w:t>
      </w:r>
      <w:r>
        <w:rPr>
          <w:rFonts w:hint="eastAsia"/>
        </w:rPr>
        <w:t>6</w:t>
      </w:r>
      <w:r>
        <w:rPr>
          <w:rFonts w:hint="eastAsia"/>
        </w:rPr>
        <w:t>件、「共同生活援助</w:t>
      </w:r>
      <w:r>
        <w:rPr>
          <w:rFonts w:hint="default"/>
        </w:rPr>
        <w:t>(</w:t>
      </w:r>
      <w:r>
        <w:rPr>
          <w:rFonts w:hint="eastAsia"/>
        </w:rPr>
        <w:t>ＧＨ</w:t>
      </w:r>
      <w:r>
        <w:rPr>
          <w:rFonts w:hint="default"/>
        </w:rPr>
        <w:t>)</w:t>
      </w:r>
      <w:r>
        <w:rPr>
          <w:rFonts w:hint="eastAsia"/>
        </w:rPr>
        <w:t>」が</w:t>
      </w:r>
      <w:r>
        <w:rPr>
          <w:rFonts w:hint="eastAsia"/>
        </w:rPr>
        <w:t>3</w:t>
      </w:r>
      <w:r>
        <w:rPr>
          <w:rFonts w:hint="eastAsia"/>
        </w:rPr>
        <w:t>件、「居宅介護」、「保育所等訪問支援」が</w:t>
      </w:r>
      <w:r>
        <w:rPr>
          <w:rFonts w:hint="eastAsia"/>
        </w:rPr>
        <w:t>2</w:t>
      </w:r>
      <w:r>
        <w:rPr>
          <w:rFonts w:hint="eastAsia"/>
        </w:rPr>
        <w:t>件、「重度訪問介護」、「同行援護」、「行動援護」、「</w:t>
      </w:r>
      <w:r>
        <w:rPr>
          <w:rFonts w:hint="default"/>
        </w:rPr>
        <w:t>就労継続支援</w:t>
      </w:r>
      <w:r>
        <w:rPr>
          <w:rFonts w:hint="default"/>
        </w:rPr>
        <w:t>(</w:t>
      </w:r>
      <w:r>
        <w:rPr>
          <w:rFonts w:hint="eastAsia"/>
        </w:rPr>
        <w:t>Ｂ型</w:t>
      </w:r>
      <w:r>
        <w:rPr>
          <w:rFonts w:hint="default"/>
        </w:rPr>
        <w:t>)</w:t>
      </w:r>
      <w:r>
        <w:rPr>
          <w:rFonts w:hint="eastAsia"/>
        </w:rPr>
        <w:t>」、「短期入所」、「障害児相談支援」が</w:t>
      </w:r>
      <w:r>
        <w:rPr>
          <w:rFonts w:hint="eastAsia"/>
        </w:rPr>
        <w:t>1</w:t>
      </w:r>
      <w:r>
        <w:rPr>
          <w:rFonts w:hint="eastAsia"/>
        </w:rPr>
        <w:t>件の計</w:t>
      </w:r>
      <w:r>
        <w:rPr>
          <w:rFonts w:hint="eastAsia"/>
        </w:rPr>
        <w:t>26</w:t>
      </w:r>
      <w:r>
        <w:rPr>
          <w:rFonts w:hint="eastAsia"/>
        </w:rPr>
        <w:t>件となっています。</w:t>
      </w:r>
    </w:p>
    <w:p>
      <w:pPr>
        <w:pStyle w:val="67"/>
        <w:spacing w:line="0" w:lineRule="atLeast"/>
        <w:ind w:left="448" w:firstLine="164" w:firstLineChars="100"/>
        <w:rPr>
          <w:rFonts w:hint="default"/>
          <w:sz w:val="16"/>
        </w:rPr>
      </w:pPr>
    </w:p>
    <w:tbl>
      <w:tblPr>
        <w:tblStyle w:val="11"/>
        <w:tblW w:w="8789"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426"/>
        <w:gridCol w:w="2693"/>
        <w:gridCol w:w="1417"/>
        <w:gridCol w:w="1418"/>
        <w:gridCol w:w="1417"/>
        <w:gridCol w:w="1418"/>
      </w:tblGrid>
      <w:tr>
        <w:trPr/>
        <w:tc>
          <w:tcPr>
            <w:tcW w:w="8789" w:type="dxa"/>
            <w:gridSpan w:val="6"/>
            <w:tcBorders>
              <w:top w:val="nil"/>
              <w:left w:val="nil"/>
              <w:bottom w:val="single" w:color="auto" w:sz="4" w:space="0"/>
              <w:right w:val="nil"/>
              <w:tl2br w:val="none" w:color="auto" w:sz="0" w:space="0"/>
              <w:tr2bl w:val="none" w:color="auto" w:sz="0" w:space="0"/>
            </w:tcBorders>
            <w:shd w:val="clear" w:color="auto" w:fill="auto"/>
            <w:vAlign w:val="center"/>
          </w:tcPr>
          <w:p>
            <w:pPr>
              <w:pStyle w:val="51"/>
              <w:snapToGrid w:val="0"/>
              <w:spacing w:line="0" w:lineRule="atLeast"/>
              <w:ind w:left="-221"/>
              <w:rPr>
                <w:rFonts w:hint="default" w:ascii="ＭＳ ゴシック" w:hAnsi="ＭＳ ゴシック" w:eastAsia="ＭＳ ゴシック"/>
                <w:sz w:val="20"/>
              </w:rPr>
            </w:pPr>
            <w:r>
              <w:rPr>
                <w:rFonts w:hint="eastAsia" w:ascii="ＭＳ ゴシック" w:hAnsi="ＭＳ ゴシック" w:eastAsia="ＭＳ ゴシック"/>
              </w:rPr>
              <w:t>【南風原町内の指定障害福祉サービス等</w:t>
            </w:r>
            <w:r>
              <w:rPr>
                <w:rFonts w:hint="eastAsia" w:ascii="ＭＳ ゴシック" w:hAnsi="ＭＳ ゴシック" w:eastAsia="ＭＳ ゴシック"/>
                <w:sz w:val="21"/>
              </w:rPr>
              <w:t>事業所数</w:t>
            </w:r>
            <w:r>
              <w:rPr>
                <w:rFonts w:hint="eastAsia" w:ascii="ＭＳ ゴシック" w:hAnsi="ＭＳ ゴシック" w:eastAsia="ＭＳ ゴシック"/>
              </w:rPr>
              <w:t>】</w:t>
            </w:r>
          </w:p>
        </w:tc>
      </w:tr>
      <w:tr>
        <w:trPr/>
        <w:tc>
          <w:tcPr>
            <w:tcW w:w="3119"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ＭＳ ゴシック" w:hAnsi="ＭＳ ゴシック" w:eastAsia="ＭＳ ゴシック"/>
                <w:sz w:val="20"/>
              </w:rPr>
            </w:pPr>
            <w:r>
              <w:rPr>
                <w:rFonts w:hint="default" w:ascii="ＭＳ ゴシック" w:hAnsi="ＭＳ ゴシック" w:eastAsia="ＭＳ ゴシック"/>
                <w:sz w:val="20"/>
              </w:rPr>
              <w:t>サービス名</w:t>
            </w:r>
          </w:p>
        </w:tc>
        <w:tc>
          <w:tcPr>
            <w:tcW w:w="1417"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ind w:left="-112" w:leftChars="-50" w:right="-112" w:rightChars="-50"/>
              <w:jc w:val="center"/>
              <w:rPr>
                <w:rFonts w:hint="default" w:ascii="ＭＳ ゴシック" w:hAnsi="ＭＳ ゴシック" w:eastAsia="ＭＳ ゴシック"/>
                <w:sz w:val="20"/>
              </w:rPr>
            </w:pPr>
            <w:r>
              <w:rPr>
                <w:rFonts w:hint="eastAsia" w:ascii="ＭＳ ゴシック" w:hAnsi="ＭＳ ゴシック" w:eastAsia="ＭＳ ゴシック"/>
                <w:sz w:val="20"/>
              </w:rPr>
              <w:t>平成</w:t>
            </w:r>
            <w:r>
              <w:rPr>
                <w:rFonts w:hint="default" w:ascii="ＭＳ ゴシック" w:hAnsi="ＭＳ ゴシック" w:eastAsia="ＭＳ ゴシック"/>
                <w:sz w:val="20"/>
              </w:rPr>
              <w:t>26</w:t>
            </w:r>
            <w:r>
              <w:rPr>
                <w:rFonts w:hint="default" w:ascii="ＭＳ ゴシック" w:hAnsi="ＭＳ ゴシック" w:eastAsia="ＭＳ ゴシック"/>
                <w:sz w:val="20"/>
              </w:rPr>
              <w:t>年度</w:t>
            </w:r>
          </w:p>
        </w:tc>
        <w:tc>
          <w:tcPr>
            <w:tcW w:w="14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ind w:left="-112" w:leftChars="-50" w:right="-112" w:rightChars="-50"/>
              <w:jc w:val="center"/>
              <w:rPr>
                <w:rFonts w:hint="default" w:ascii="ＭＳ ゴシック" w:hAnsi="ＭＳ ゴシック" w:eastAsia="ＭＳ ゴシック"/>
                <w:sz w:val="20"/>
              </w:rPr>
            </w:pPr>
            <w:r>
              <w:rPr>
                <w:rFonts w:hint="eastAsia" w:ascii="ＭＳ ゴシック" w:hAnsi="ＭＳ ゴシック" w:eastAsia="ＭＳ ゴシック"/>
                <w:sz w:val="20"/>
              </w:rPr>
              <w:t>平成</w:t>
            </w:r>
            <w:r>
              <w:rPr>
                <w:rFonts w:hint="default" w:ascii="ＭＳ ゴシック" w:hAnsi="ＭＳ ゴシック" w:eastAsia="ＭＳ ゴシック"/>
                <w:sz w:val="20"/>
              </w:rPr>
              <w:t>29</w:t>
            </w:r>
            <w:r>
              <w:rPr>
                <w:rFonts w:hint="default" w:ascii="ＭＳ ゴシック" w:hAnsi="ＭＳ ゴシック" w:eastAsia="ＭＳ ゴシック"/>
                <w:sz w:val="20"/>
              </w:rPr>
              <w:t>年度</w:t>
            </w:r>
          </w:p>
        </w:tc>
        <w:tc>
          <w:tcPr>
            <w:tcW w:w="1417"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ind w:left="-112" w:leftChars="-50" w:right="-112" w:rightChars="-50"/>
              <w:jc w:val="center"/>
              <w:rPr>
                <w:rFonts w:hint="default" w:ascii="ＭＳ ゴシック" w:hAnsi="ＭＳ ゴシック" w:eastAsia="ＭＳ ゴシック"/>
                <w:sz w:val="20"/>
              </w:rPr>
            </w:pPr>
            <w:r>
              <w:rPr>
                <w:rFonts w:hint="eastAsia" w:ascii="ＭＳ ゴシック" w:hAnsi="ＭＳ ゴシック" w:eastAsia="ＭＳ ゴシック"/>
                <w:sz w:val="20"/>
              </w:rPr>
              <w:t>令和２年度</w:t>
            </w:r>
          </w:p>
        </w:tc>
        <w:tc>
          <w:tcPr>
            <w:tcW w:w="14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ind w:left="-112" w:leftChars="-50" w:right="-112" w:rightChars="-50"/>
              <w:jc w:val="center"/>
              <w:rPr>
                <w:rFonts w:hint="default" w:ascii="ＭＳ ゴシック" w:hAnsi="ＭＳ ゴシック" w:eastAsia="ＭＳ ゴシック"/>
                <w:sz w:val="20"/>
              </w:rPr>
            </w:pPr>
            <w:r>
              <w:rPr>
                <w:rFonts w:hint="eastAsia" w:ascii="ＭＳ ゴシック" w:hAnsi="ＭＳ ゴシック" w:eastAsia="ＭＳ ゴシック"/>
                <w:sz w:val="20"/>
              </w:rPr>
              <w:t>令和５年度</w:t>
            </w:r>
          </w:p>
        </w:tc>
      </w:tr>
      <w:tr>
        <w:trPr/>
        <w:tc>
          <w:tcPr>
            <w:tcW w:w="3119" w:type="dxa"/>
            <w:gridSpan w:val="2"/>
            <w:tcBorders>
              <w:top w:val="single" w:color="auto" w:sz="4" w:space="0"/>
              <w:left w:val="single" w:color="auto" w:sz="4" w:space="0"/>
              <w:bottom w:val="nil"/>
              <w:right w:val="single" w:color="auto" w:sz="4"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訪問</w:t>
            </w:r>
            <w:r>
              <w:rPr>
                <w:rFonts w:hint="default" w:ascii="ＭＳ ゴシック" w:hAnsi="ＭＳ ゴシック" w:eastAsia="ＭＳ ゴシック"/>
                <w:sz w:val="20"/>
                <w:shd w:val="clear" w:color="auto" w:fill="D9D9D9"/>
              </w:rPr>
              <w:t>系サービス</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26</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mc:AlternateContent>
                <mc:Choice Requires="wps">
                  <w:drawing>
                    <wp:anchor distT="0" distB="0" distL="114300" distR="114300" simplePos="0" relativeHeight="136" behindDoc="0" locked="0" layoutInCell="1" hidden="0" allowOverlap="1">
                      <wp:simplePos x="0" y="0"/>
                      <wp:positionH relativeFrom="column">
                        <wp:posOffset>6751955</wp:posOffset>
                      </wp:positionH>
                      <wp:positionV relativeFrom="paragraph">
                        <wp:posOffset>3493770</wp:posOffset>
                      </wp:positionV>
                      <wp:extent cx="876935" cy="247015"/>
                      <wp:effectExtent l="265430" t="0" r="161290" b="0"/>
                      <wp:wrapNone/>
                      <wp:docPr id="1130" name="上カーブ矢印 1"/>
                      <a:graphic xmlns:a="http://schemas.openxmlformats.org/drawingml/2006/main">
                        <a:graphicData uri="http://schemas.microsoft.com/office/word/2010/wordprocessingShape">
                          <wps:wsp>
                            <wps:cNvPr id="1130" name="上カーブ矢印 1"/>
                            <wps:cNvSpPr/>
                            <wps:spPr>
                              <a:xfrm rot="-2835517">
                                <a:off x="0" y="0"/>
                                <a:ext cx="876935" cy="247015"/>
                              </a:xfrm>
                              <a:prstGeom prst="curvedUpArrow">
                                <a:avLst>
                                  <a:gd name="adj1" fmla="val 29289"/>
                                  <a:gd name="adj2" fmla="val 103578"/>
                                  <a:gd name="adj3" fmla="val 34454"/>
                                </a:avLst>
                              </a:prstGeom>
                              <a:solidFill>
                                <a:srgbClr val="000000"/>
                              </a:solidFill>
                              <a:ln w="19050">
                                <a:solidFill>
                                  <a:srgbClr val="000000"/>
                                </a:solidFill>
                                <a:miter lim="800000"/>
                                <a:headEnd/>
                                <a:tailEnd/>
                              </a:ln>
                            </wps:spPr>
                            <wps:bodyPr/>
                          </wps:wsp>
                        </a:graphicData>
                      </a:graphic>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1" style="mso-wrap-distance-right:9pt;mso-wrap-distance-bottom:0pt;margin-top:275.10000000000002pt;mso-position-vertical-relative:text;mso-position-horizontal-relative:text;position:absolute;height:19.45pt;mso-wrap-distance-top:0pt;width:69.05pt;mso-wrap-distance-left:9pt;margin-left:531.65pt;z-index:136;rotation:-47;" o:spid="_x0000_s1130" o:allowincell="t" o:allowoverlap="t" filled="t" fillcolor="#000000" stroked="t" strokecolor="#000000" strokeweight="1.5pt" o:spt="104" type="#_x0000_t104" adj="11182,19363,7442">
                      <v:fill/>
                      <v:stroke miterlimit="8" filltype="solid"/>
                      <v:textbox style="layout-flow:horizontal;"/>
                      <v:imagedata o:title=""/>
                      <w10:wrap type="none" anchorx="text" anchory="text"/>
                    </v:shape>
                  </w:pict>
                </mc:Fallback>
              </mc:AlternateContent>
            </w:r>
          </w:p>
        </w:tc>
        <w:tc>
          <w:tcPr>
            <w:tcW w:w="2693"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居宅介護</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重度訪問介護</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同行援護</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行動援護</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重度障害者等包括支援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r>
      <w:tr>
        <w:trPr/>
        <w:tc>
          <w:tcPr>
            <w:tcW w:w="426" w:type="dxa"/>
            <w:tcBorders>
              <w:top w:val="nil"/>
              <w:left w:val="none" w:color="auto" w:sz="0" w:space="0"/>
              <w:bottom w:val="none" w:color="auto" w:sz="0" w:space="0"/>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生活介護</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r>
      <w:tr>
        <w:trPr/>
        <w:tc>
          <w:tcPr>
            <w:tcW w:w="3119" w:type="dxa"/>
            <w:gridSpan w:val="2"/>
            <w:tcBorders>
              <w:top w:val="nil"/>
              <w:left w:val="single" w:color="auto" w:sz="4" w:space="0"/>
              <w:bottom w:val="nil"/>
              <w:right w:val="single" w:color="auto" w:sz="4"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日中活動系サービス</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19</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19</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0" w:lineRule="atLeast"/>
              <w:jc w:val="left"/>
              <w:rPr>
                <w:rFonts w:hint="default" w:ascii="ＭＳ ゴシック" w:hAnsi="ＭＳ ゴシック" w:eastAsia="ＭＳ ゴシック"/>
                <w:sz w:val="20"/>
              </w:rPr>
            </w:pPr>
            <w:r>
              <w:rPr>
                <w:rFonts w:hint="eastAsia" w:ascii="ＭＳ ゴシック" w:hAnsi="ＭＳ ゴシック" w:eastAsia="ＭＳ ゴシック"/>
                <w:sz w:val="20"/>
              </w:rPr>
              <w:t>自立訓練（機能訓練）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自立訓練（生活訓練）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就労移行支援</w:t>
            </w:r>
            <w:r>
              <w:rPr>
                <w:rFonts w:hint="eastAsia" w:ascii="ＭＳ ゴシック" w:hAnsi="ＭＳ ゴシック" w:eastAsia="ＭＳ ゴシック"/>
                <w:sz w:val="20"/>
              </w:rPr>
              <w:t xml:space="preserve"> </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就労継続支援（Ａ型）</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就労継続支援（Ｂ型）</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就労定着支援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短期入所</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r>
      <w:tr>
        <w:trPr/>
        <w:tc>
          <w:tcPr>
            <w:tcW w:w="426" w:type="dxa"/>
            <w:tcBorders>
              <w:top w:val="nil"/>
              <w:left w:val="none" w:color="auto" w:sz="0" w:space="0"/>
              <w:bottom w:val="single" w:color="auto" w:sz="4" w:space="0"/>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療養介護</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r>
      <w:tr>
        <w:trPr/>
        <w:tc>
          <w:tcPr>
            <w:tcW w:w="3119" w:type="dxa"/>
            <w:gridSpan w:val="2"/>
            <w:tcBorders>
              <w:top w:val="nil"/>
              <w:left w:val="single" w:color="auto" w:sz="4" w:space="0"/>
              <w:bottom w:val="nil"/>
              <w:right w:val="single" w:color="auto" w:sz="4"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居住系サービス</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自立生活援助</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共同生活援助（ＧＨ）</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r>
      <w:tr>
        <w:trPr/>
        <w:tc>
          <w:tcPr>
            <w:tcW w:w="426" w:type="dxa"/>
            <w:tcBorders>
              <w:top w:val="nil"/>
              <w:left w:val="none" w:color="auto" w:sz="0" w:space="0"/>
              <w:bottom w:val="single" w:color="auto" w:sz="4" w:space="0"/>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施設入所支援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r>
      <w:tr>
        <w:trPr/>
        <w:tc>
          <w:tcPr>
            <w:tcW w:w="3119" w:type="dxa"/>
            <w:gridSpan w:val="2"/>
            <w:tcBorders>
              <w:top w:val="nil"/>
              <w:left w:val="single" w:color="auto" w:sz="4" w:space="0"/>
              <w:bottom w:val="nil"/>
              <w:right w:val="single" w:color="auto" w:sz="4"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計画相談支援・地域相談支援</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計画相談支援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地域移行支援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426" w:type="dxa"/>
            <w:tcBorders>
              <w:top w:val="nil"/>
              <w:left w:val="none" w:color="auto" w:sz="0" w:space="0"/>
              <w:bottom w:val="single" w:color="auto" w:sz="4" w:space="0"/>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地域定着支援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3119" w:type="dxa"/>
            <w:gridSpan w:val="2"/>
            <w:tcBorders>
              <w:top w:val="single" w:color="auto" w:sz="4" w:space="0"/>
              <w:left w:val="single" w:color="auto" w:sz="4" w:space="0"/>
              <w:bottom w:val="nil"/>
              <w:right w:val="single" w:color="auto" w:sz="4"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r>
              <w:rPr>
                <w:rFonts w:hint="default" w:ascii="ＭＳ ゴシック" w:hAnsi="ＭＳ ゴシック" w:eastAsia="ＭＳ ゴシック"/>
                <w:sz w:val="20"/>
              </w:rPr>
              <w:t>障害児通所支援・相談支援</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21</w:t>
            </w:r>
          </w:p>
        </w:tc>
        <w:tc>
          <w:tcPr>
            <w:tcW w:w="1417"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23</w:t>
            </w:r>
          </w:p>
        </w:tc>
        <w:tc>
          <w:tcPr>
            <w:tcW w:w="1418" w:type="dxa"/>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D9D9D9"/>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39</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児童発達支援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医療型児童発達支援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放課後等デイサービス</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19</w:t>
            </w:r>
          </w:p>
        </w:tc>
      </w:tr>
      <w:tr>
        <w:trPr/>
        <w:tc>
          <w:tcPr>
            <w:tcW w:w="426" w:type="dxa"/>
            <w:tcBorders>
              <w:top w:val="nil"/>
              <w:left w:val="none" w:color="auto" w:sz="0" w:space="0"/>
              <w:bottom w:val="nil"/>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保育所等訪問支援</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w:t>
            </w:r>
          </w:p>
        </w:tc>
        <w:tc>
          <w:tcPr>
            <w:tcW w:w="14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rPr/>
        <w:tc>
          <w:tcPr>
            <w:tcW w:w="426" w:type="dxa"/>
            <w:tcBorders>
              <w:top w:val="nil"/>
              <w:left w:val="none" w:color="auto" w:sz="0" w:space="0"/>
              <w:bottom w:val="none" w:color="auto" w:sz="0" w:space="0"/>
              <w:right w:val="none" w:color="auto" w:sz="0" w:space="0"/>
              <w:tl2br w:val="none" w:color="auto" w:sz="0" w:space="0"/>
              <w:tr2bl w:val="none" w:color="auto" w:sz="0" w:space="0"/>
            </w:tcBorders>
            <w:shd w:val="clear" w:color="auto" w:fill="D9D9D9"/>
            <w:vAlign w:val="center"/>
          </w:tcPr>
          <w:p>
            <w:pPr>
              <w:pStyle w:val="0"/>
              <w:spacing w:line="0" w:lineRule="atLeast"/>
              <w:rPr>
                <w:rFonts w:hint="default" w:ascii="ＭＳ ゴシック" w:hAnsi="ＭＳ ゴシック" w:eastAsia="ＭＳ ゴシック"/>
                <w:sz w:val="20"/>
              </w:rPr>
            </w:pPr>
          </w:p>
        </w:tc>
        <w:tc>
          <w:tcPr>
            <w:tcW w:w="2693" w:type="dxa"/>
            <w:shd w:val="clear" w:color="auto" w:fill="auto"/>
            <w:vAlign w:val="center"/>
          </w:tcPr>
          <w:p>
            <w:pPr>
              <w:pStyle w:val="0"/>
              <w:spacing w:line="0" w:lineRule="atLeast"/>
              <w:rPr>
                <w:rFonts w:hint="default" w:ascii="ＭＳ ゴシック" w:hAnsi="ＭＳ ゴシック" w:eastAsia="ＭＳ ゴシック"/>
                <w:sz w:val="20"/>
              </w:rPr>
            </w:pPr>
            <w:r>
              <w:rPr>
                <w:rFonts w:hint="eastAsia" w:ascii="ＭＳ ゴシック" w:hAnsi="ＭＳ ゴシック" w:eastAsia="ＭＳ ゴシック"/>
                <w:sz w:val="20"/>
              </w:rPr>
              <w:t>障害児相談支援</w:t>
            </w:r>
          </w:p>
        </w:tc>
        <w:tc>
          <w:tcPr>
            <w:tcW w:w="1417"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1418"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1417"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1418"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6</w:t>
            </w:r>
          </w:p>
        </w:tc>
      </w:tr>
      <w:tr>
        <w:trPr/>
        <w:tc>
          <w:tcPr>
            <w:tcW w:w="3119" w:type="dxa"/>
            <w:gridSpan w:val="2"/>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45"/>
              <w:snapToGrid w:val="0"/>
              <w:spacing w:before="0" w:beforeLines="0" w:beforeAutospacing="0" w:after="0" w:afterLines="0" w:afterAutospacing="0"/>
              <w:jc w:val="center"/>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計</w:t>
            </w:r>
          </w:p>
        </w:tc>
        <w:tc>
          <w:tcPr>
            <w:tcW w:w="1417"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71</w:t>
            </w:r>
          </w:p>
        </w:tc>
        <w:tc>
          <w:tcPr>
            <w:tcW w:w="1418"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86</w:t>
            </w:r>
          </w:p>
        </w:tc>
        <w:tc>
          <w:tcPr>
            <w:tcW w:w="1417"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83</w:t>
            </w:r>
          </w:p>
        </w:tc>
        <w:tc>
          <w:tcPr>
            <w:tcW w:w="1418"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line="240" w:lineRule="auto"/>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102</w:t>
            </w:r>
          </w:p>
        </w:tc>
      </w:tr>
    </w:tbl>
    <w:p>
      <w:pPr>
        <w:pStyle w:val="68"/>
        <w:spacing w:before="37" w:beforeLines="0" w:beforeAutospacing="0" w:after="0" w:afterLines="0" w:afterAutospacing="0"/>
        <w:ind w:left="1172"/>
        <w:rPr>
          <w:rFonts w:hint="default"/>
        </w:rPr>
      </w:pPr>
      <w:r>
        <w:rPr>
          <w:rFonts w:hint="eastAsia"/>
        </w:rPr>
        <w:t>資料：沖縄県（各年度４月１日時点）</w:t>
      </w:r>
      <w:r>
        <w:rPr>
          <w:rFonts w:hint="default"/>
        </w:rPr>
        <w:br w:type="page"/>
      </w:r>
    </w:p>
    <w:p>
      <w:pPr>
        <w:pStyle w:val="66"/>
        <w:spacing w:after="74" w:afterLines="0" w:afterAutospacing="0"/>
        <w:ind w:left="112"/>
        <w:outlineLvl w:val="3"/>
        <w:rPr>
          <w:rFonts w:hint="default"/>
          <w:color w:val="auto"/>
          <w:sz w:val="22"/>
        </w:rPr>
      </w:pPr>
      <w:r>
        <w:rPr>
          <w:rFonts w:hint="eastAsia"/>
          <w:color w:val="auto"/>
          <w:sz w:val="22"/>
        </w:rPr>
        <w:t>（</w:t>
      </w:r>
      <w:r>
        <w:rPr>
          <w:rFonts w:hint="eastAsia"/>
          <w:color w:val="auto"/>
          <w:sz w:val="22"/>
        </w:rPr>
        <w:t>13</w:t>
      </w:r>
      <w:r>
        <w:rPr>
          <w:rFonts w:hint="eastAsia"/>
          <w:color w:val="auto"/>
          <w:sz w:val="22"/>
        </w:rPr>
        <w:t>）</w:t>
      </w:r>
      <w:r>
        <w:rPr>
          <w:rFonts w:hint="eastAsia"/>
          <w:color w:val="auto"/>
          <w:sz w:val="22"/>
          <w:u w:val="single" w:color="auto"/>
        </w:rPr>
        <w:t>地域生活支援事業の実施状況</w:t>
      </w:r>
    </w:p>
    <w:p>
      <w:pPr>
        <w:pStyle w:val="67"/>
        <w:ind w:left="448" w:firstLine="214" w:firstLineChars="100"/>
        <w:rPr>
          <w:rFonts w:hint="default"/>
        </w:rPr>
      </w:pPr>
      <w:r>
        <w:rPr>
          <w:rFonts w:hint="eastAsia"/>
        </w:rPr>
        <w:t>平成</w:t>
      </w:r>
      <w:r>
        <w:rPr>
          <w:rFonts w:hint="eastAsia"/>
        </w:rPr>
        <w:t>30</w:t>
      </w:r>
      <w:r>
        <w:rPr>
          <w:rFonts w:hint="eastAsia"/>
        </w:rPr>
        <w:t>年度以降の地域生活支援事業の利用実績をみると、「基幹相談支援センター等機能強化事業」は、令和３年度までは増加していますが令和４年は減少しています。</w:t>
      </w:r>
    </w:p>
    <w:p>
      <w:pPr>
        <w:pStyle w:val="67"/>
        <w:ind w:left="448" w:firstLine="214" w:firstLineChars="100"/>
        <w:rPr>
          <w:rFonts w:hint="default"/>
        </w:rPr>
      </w:pPr>
      <w:r>
        <w:rPr>
          <w:rFonts w:hint="eastAsia"/>
        </w:rPr>
        <w:t>「成年後見制度利用支援事業」は平成</w:t>
      </w:r>
      <w:r>
        <w:rPr>
          <w:rFonts w:hint="eastAsia"/>
        </w:rPr>
        <w:t>30</w:t>
      </w:r>
      <w:r>
        <w:rPr>
          <w:rFonts w:hint="eastAsia"/>
        </w:rPr>
        <w:t>年度まで利用者はいませんが、令和元年度に</w:t>
      </w:r>
      <w:r>
        <w:rPr>
          <w:rFonts w:hint="eastAsia"/>
        </w:rPr>
        <w:t>1</w:t>
      </w:r>
      <w:r>
        <w:rPr>
          <w:rFonts w:hint="eastAsia"/>
        </w:rPr>
        <w:t>人、その後は</w:t>
      </w:r>
      <w:r>
        <w:rPr>
          <w:rFonts w:hint="eastAsia"/>
        </w:rPr>
        <w:t>2</w:t>
      </w:r>
      <w:r>
        <w:rPr>
          <w:rFonts w:hint="eastAsia"/>
        </w:rPr>
        <w:t>人が利用しました。</w:t>
      </w:r>
    </w:p>
    <w:p>
      <w:pPr>
        <w:pStyle w:val="67"/>
        <w:ind w:left="448" w:firstLine="214" w:firstLineChars="100"/>
        <w:rPr>
          <w:rFonts w:hint="default"/>
        </w:rPr>
      </w:pPr>
      <w:r>
        <w:rPr>
          <w:rFonts w:hint="eastAsia"/>
        </w:rPr>
        <w:t>「手話通訳者・要約筆記者派遣事業」の利用者は、平成</w:t>
      </w:r>
      <w:r>
        <w:rPr>
          <w:rFonts w:hint="eastAsia"/>
        </w:rPr>
        <w:t>30</w:t>
      </w:r>
      <w:r>
        <w:rPr>
          <w:rFonts w:hint="eastAsia"/>
        </w:rPr>
        <w:t>年度以降</w:t>
      </w:r>
      <w:r>
        <w:rPr>
          <w:rFonts w:hint="eastAsia"/>
        </w:rPr>
        <w:t>9</w:t>
      </w:r>
      <w:r>
        <w:rPr>
          <w:rFonts w:hint="eastAsia"/>
        </w:rPr>
        <w:t>人で推移し、令和４年度には</w:t>
      </w:r>
      <w:r>
        <w:rPr>
          <w:rFonts w:hint="eastAsia"/>
        </w:rPr>
        <w:t>11</w:t>
      </w:r>
      <w:r>
        <w:rPr>
          <w:rFonts w:hint="eastAsia"/>
        </w:rPr>
        <w:t>人の利用者となっています。</w:t>
      </w:r>
    </w:p>
    <w:p>
      <w:pPr>
        <w:pStyle w:val="67"/>
        <w:ind w:left="448" w:firstLine="214" w:firstLineChars="100"/>
        <w:rPr>
          <w:rFonts w:hint="default"/>
        </w:rPr>
      </w:pPr>
      <w:r>
        <w:rPr>
          <w:rFonts w:hint="eastAsia"/>
        </w:rPr>
        <w:t>「日常生活用具給付等事業」では、各種用具の利用があり、中でも「排泄管理支援用具」の利用件数が最も多く、</w:t>
      </w:r>
      <w:r>
        <w:rPr>
          <w:rFonts w:hint="eastAsia"/>
        </w:rPr>
        <w:t>500</w:t>
      </w:r>
      <w:r>
        <w:rPr>
          <w:rFonts w:hint="eastAsia"/>
        </w:rPr>
        <w:t>件程度で推移しています。一方、「居宅生活動作補助用具</w:t>
      </w:r>
      <w:r>
        <w:rPr>
          <w:rFonts w:hint="eastAsia"/>
        </w:rPr>
        <w:t>(</w:t>
      </w:r>
      <w:r>
        <w:rPr>
          <w:rFonts w:hint="eastAsia"/>
        </w:rPr>
        <w:t>住宅改修費</w:t>
      </w:r>
      <w:r>
        <w:rPr>
          <w:rFonts w:hint="eastAsia"/>
        </w:rPr>
        <w:t>)</w:t>
      </w:r>
      <w:r>
        <w:rPr>
          <w:rFonts w:hint="eastAsia"/>
        </w:rPr>
        <w:t>」は利用がありません。</w:t>
      </w:r>
    </w:p>
    <w:p>
      <w:pPr>
        <w:pStyle w:val="67"/>
        <w:spacing w:line="0" w:lineRule="atLeast"/>
        <w:ind w:left="448" w:firstLine="164" w:firstLineChars="100"/>
        <w:rPr>
          <w:rFonts w:hint="default"/>
          <w:sz w:val="16"/>
        </w:rPr>
      </w:pPr>
    </w:p>
    <w:tbl>
      <w:tblPr>
        <w:tblStyle w:val="11"/>
        <w:tblW w:w="9075"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218"/>
        <w:gridCol w:w="70"/>
        <w:gridCol w:w="3681"/>
        <w:gridCol w:w="1134"/>
        <w:gridCol w:w="794"/>
        <w:gridCol w:w="794"/>
        <w:gridCol w:w="795"/>
        <w:gridCol w:w="794"/>
        <w:gridCol w:w="795"/>
      </w:tblGrid>
      <w:tr>
        <w:trPr/>
        <w:tc>
          <w:tcPr>
            <w:tcW w:w="5103" w:type="dxa"/>
            <w:gridSpan w:val="4"/>
            <w:tcBorders>
              <w:top w:val="nil"/>
              <w:left w:val="nil"/>
              <w:bottom w:val="single" w:color="auto" w:sz="4" w:space="0"/>
              <w:right w:val="nil"/>
              <w:tl2br w:val="none" w:color="auto" w:sz="0" w:space="0"/>
              <w:tr2bl w:val="none" w:color="auto" w:sz="0" w:space="0"/>
            </w:tcBorders>
            <w:shd w:val="clear" w:color="auto" w:fill="auto"/>
            <w:vAlign w:val="bottom"/>
          </w:tcPr>
          <w:p>
            <w:pPr>
              <w:pStyle w:val="51"/>
              <w:snapToGrid w:val="0"/>
              <w:spacing w:line="0" w:lineRule="atLeast"/>
              <w:ind w:left="-221"/>
              <w:rPr>
                <w:rFonts w:hint="default" w:ascii="ＭＳ ゴシック" w:hAnsi="ＭＳ ゴシック" w:eastAsia="ＭＳ ゴシック"/>
              </w:rPr>
            </w:pPr>
            <w:r>
              <w:rPr>
                <w:rFonts w:hint="eastAsia" w:ascii="ＭＳ ゴシック" w:hAnsi="ＭＳ ゴシック" w:eastAsia="ＭＳ ゴシック"/>
              </w:rPr>
              <w:t>【地域生活支援事業の実施</w:t>
            </w:r>
            <w:r>
              <w:rPr>
                <w:rFonts w:hint="eastAsia" w:ascii="ＭＳ ゴシック" w:hAnsi="ＭＳ ゴシック" w:eastAsia="ＭＳ ゴシック"/>
                <w:sz w:val="21"/>
              </w:rPr>
              <w:t>状況</w:t>
            </w:r>
            <w:r>
              <w:rPr>
                <w:rFonts w:hint="eastAsia" w:ascii="ＭＳ ゴシック" w:hAnsi="ＭＳ ゴシック" w:eastAsia="ＭＳ ゴシック"/>
              </w:rPr>
              <w:t>-</w:t>
            </w:r>
            <w:r>
              <w:rPr>
                <w:rFonts w:hint="default" w:ascii="ＭＳ ゴシック" w:hAnsi="ＭＳ ゴシック" w:eastAsia="ＭＳ ゴシック"/>
              </w:rPr>
              <w:t>1</w:t>
            </w:r>
            <w:r>
              <w:rPr>
                <w:rFonts w:hint="eastAsia" w:ascii="ＭＳ ゴシック" w:hAnsi="ＭＳ ゴシック" w:eastAsia="ＭＳ ゴシック"/>
              </w:rPr>
              <w:t>】</w:t>
            </w:r>
          </w:p>
        </w:tc>
        <w:tc>
          <w:tcPr>
            <w:tcW w:w="794" w:type="dxa"/>
            <w:tcBorders>
              <w:top w:val="nil"/>
              <w:left w:val="nil"/>
              <w:bottom w:val="single" w:color="auto" w:sz="4" w:space="0"/>
              <w:right w:val="nil"/>
              <w:tl2br w:val="none" w:color="auto" w:sz="0" w:space="0"/>
              <w:tr2bl w:val="none" w:color="auto" w:sz="0" w:space="0"/>
            </w:tcBorders>
            <w:shd w:val="clear" w:color="auto" w:fill="auto"/>
            <w:tcMar>
              <w:top w:w="0" w:type="dxa"/>
              <w:left w:w="85" w:type="dxa"/>
              <w:bottom w:w="0" w:type="dxa"/>
              <w:right w:w="85" w:type="dxa"/>
            </w:tcMar>
            <w:vAlign w:val="bottom"/>
          </w:tcPr>
          <w:p>
            <w:pPr>
              <w:pStyle w:val="0"/>
              <w:snapToGrid w:val="0"/>
              <w:spacing w:line="0" w:lineRule="atLeast"/>
              <w:rPr>
                <w:rFonts w:hint="default" w:ascii="ＭＳ ゴシック" w:hAnsi="ＭＳ ゴシック" w:eastAsia="ＭＳ ゴシック"/>
              </w:rPr>
            </w:pPr>
          </w:p>
        </w:tc>
        <w:tc>
          <w:tcPr>
            <w:tcW w:w="794" w:type="dxa"/>
            <w:tcBorders>
              <w:top w:val="nil"/>
              <w:left w:val="nil"/>
              <w:bottom w:val="single" w:color="auto" w:sz="4" w:space="0"/>
              <w:right w:val="nil"/>
              <w:tl2br w:val="none" w:color="auto" w:sz="0" w:space="0"/>
              <w:tr2bl w:val="none" w:color="auto" w:sz="0" w:space="0"/>
            </w:tcBorders>
            <w:shd w:val="clear" w:color="auto" w:fill="auto"/>
            <w:vAlign w:val="bottom"/>
          </w:tcPr>
          <w:p>
            <w:pPr>
              <w:pStyle w:val="0"/>
              <w:snapToGrid w:val="0"/>
              <w:spacing w:line="0" w:lineRule="atLeast"/>
              <w:rPr>
                <w:rFonts w:hint="default" w:ascii="ＭＳ ゴシック" w:hAnsi="ＭＳ ゴシック" w:eastAsia="ＭＳ ゴシック"/>
              </w:rPr>
            </w:pPr>
          </w:p>
        </w:tc>
        <w:tc>
          <w:tcPr>
            <w:tcW w:w="795" w:type="dxa"/>
            <w:tcBorders>
              <w:top w:val="nil"/>
              <w:left w:val="nil"/>
              <w:bottom w:val="single" w:color="auto" w:sz="4" w:space="0"/>
              <w:right w:val="nil"/>
              <w:tl2br w:val="none" w:color="auto" w:sz="0" w:space="0"/>
              <w:tr2bl w:val="none" w:color="auto" w:sz="0" w:space="0"/>
            </w:tcBorders>
            <w:shd w:val="clear" w:color="auto" w:fill="auto"/>
            <w:vAlign w:val="bottom"/>
          </w:tcPr>
          <w:p>
            <w:pPr>
              <w:pStyle w:val="0"/>
              <w:snapToGrid w:val="0"/>
              <w:spacing w:line="0" w:lineRule="atLeast"/>
              <w:rPr>
                <w:rFonts w:hint="default" w:ascii="ＭＳ ゴシック" w:hAnsi="ＭＳ ゴシック" w:eastAsia="ＭＳ ゴシック"/>
              </w:rPr>
            </w:pPr>
          </w:p>
        </w:tc>
        <w:tc>
          <w:tcPr>
            <w:tcW w:w="794" w:type="dxa"/>
            <w:tcBorders>
              <w:top w:val="nil"/>
              <w:left w:val="nil"/>
              <w:bottom w:val="single" w:color="auto" w:sz="4" w:space="0"/>
              <w:right w:val="nil"/>
              <w:tl2br w:val="none" w:color="auto" w:sz="0" w:space="0"/>
              <w:tr2bl w:val="none" w:color="auto" w:sz="0" w:space="0"/>
            </w:tcBorders>
            <w:vAlign w:val="top"/>
          </w:tcPr>
          <w:p>
            <w:pPr>
              <w:pStyle w:val="0"/>
              <w:snapToGrid w:val="0"/>
              <w:spacing w:line="0" w:lineRule="atLeast"/>
              <w:rPr>
                <w:rFonts w:hint="default" w:ascii="ＭＳ ゴシック" w:hAnsi="ＭＳ ゴシック" w:eastAsia="ＭＳ ゴシック"/>
              </w:rPr>
            </w:pPr>
          </w:p>
        </w:tc>
        <w:tc>
          <w:tcPr>
            <w:tcW w:w="795" w:type="dxa"/>
            <w:tcBorders>
              <w:top w:val="nil"/>
              <w:left w:val="nil"/>
              <w:bottom w:val="single" w:color="auto" w:sz="4" w:space="0"/>
              <w:right w:val="nil"/>
              <w:tl2br w:val="none" w:color="auto" w:sz="0" w:space="0"/>
              <w:tr2bl w:val="none" w:color="auto" w:sz="0" w:space="0"/>
            </w:tcBorders>
            <w:vAlign w:val="top"/>
          </w:tcPr>
          <w:p>
            <w:pPr>
              <w:pStyle w:val="0"/>
              <w:snapToGrid w:val="0"/>
              <w:spacing w:line="0" w:lineRule="atLeast"/>
              <w:rPr>
                <w:rFonts w:hint="default" w:ascii="ＭＳ ゴシック" w:hAnsi="ＭＳ ゴシック" w:eastAsia="ＭＳ ゴシック"/>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5103" w:type="dxa"/>
            <w:gridSpan w:val="4"/>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left"/>
              <w:rPr>
                <w:rFonts w:hint="default" w:ascii="ＭＳ ゴシック" w:hAnsi="ＭＳ ゴシック" w:eastAsia="ＭＳ ゴシック"/>
                <w:kern w:val="0"/>
                <w:sz w:val="20"/>
              </w:rPr>
            </w:pP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30</w:t>
            </w:r>
            <w:r>
              <w:rPr>
                <w:rFonts w:hint="eastAsia" w:ascii="ＭＳ ゴシック" w:hAnsi="ＭＳ ゴシック" w:eastAsia="ＭＳ ゴシック"/>
                <w:spacing w:val="-4"/>
                <w:kern w:val="0"/>
                <w:sz w:val="20"/>
              </w:rPr>
              <w:t>年度</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元年度</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２年度</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３年度</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４年度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5103" w:type="dxa"/>
            <w:gridSpan w:val="4"/>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18"/>
              </w:rPr>
            </w:pP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１</w:t>
            </w: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相談支援事業</w:t>
            </w:r>
          </w:p>
        </w:tc>
        <w:tc>
          <w:tcPr>
            <w:tcW w:w="7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5"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18"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751" w:type="dxa"/>
            <w:gridSpan w:val="2"/>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①障害者相談支援事業</w:t>
            </w:r>
            <w:r>
              <w:rPr>
                <w:rFonts w:hint="eastAsia" w:ascii="ＭＳ ゴシック" w:hAnsi="ＭＳ ゴシック" w:eastAsia="ＭＳ ゴシック"/>
                <w:spacing w:val="0"/>
                <w:w w:val="90"/>
                <w:kern w:val="0"/>
                <w:sz w:val="20"/>
                <w:fitText w:val="1632" w:id="2"/>
              </w:rPr>
              <w:t>(</w:t>
            </w:r>
            <w:r>
              <w:rPr>
                <w:rFonts w:hint="eastAsia" w:ascii="ＭＳ ゴシック" w:hAnsi="ＭＳ ゴシック" w:eastAsia="ＭＳ ゴシック"/>
                <w:spacing w:val="0"/>
                <w:w w:val="90"/>
                <w:kern w:val="0"/>
                <w:sz w:val="20"/>
                <w:fitText w:val="1632" w:id="2"/>
              </w:rPr>
              <w:t>委託相談支援事業</w:t>
            </w:r>
            <w:r>
              <w:rPr>
                <w:rFonts w:hint="eastAsia" w:ascii="ＭＳ ゴシック" w:hAnsi="ＭＳ ゴシック" w:eastAsia="ＭＳ ゴシック"/>
                <w:spacing w:val="14"/>
                <w:w w:val="90"/>
                <w:kern w:val="0"/>
                <w:sz w:val="20"/>
                <w:fitText w:val="1632" w:id="2"/>
              </w:rPr>
              <w:t>)</w:t>
            </w:r>
          </w:p>
        </w:tc>
        <w:tc>
          <w:tcPr>
            <w:tcW w:w="11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実施箇所数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18" w:type="dxa"/>
            <w:vMerge w:val="restart"/>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751" w:type="dxa"/>
            <w:gridSpan w:val="2"/>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ind w:left="-67" w:leftChars="-30" w:right="-67" w:rightChars="-30"/>
              <w:rPr>
                <w:rFonts w:hint="default" w:ascii="ＭＳ ゴシック" w:hAnsi="ＭＳ ゴシック" w:eastAsia="ＭＳ ゴシック"/>
                <w:spacing w:val="-4"/>
                <w:sz w:val="20"/>
              </w:rPr>
            </w:pPr>
            <w:r>
              <w:rPr>
                <w:rFonts w:hint="eastAsia" w:ascii="ＭＳ ゴシック" w:hAnsi="ＭＳ ゴシック" w:eastAsia="ＭＳ ゴシック"/>
                <w:kern w:val="0"/>
                <w:sz w:val="20"/>
              </w:rPr>
              <w:t>②基幹相談支援センター等機能強化事業</w:t>
            </w:r>
          </w:p>
        </w:tc>
        <w:tc>
          <w:tcPr>
            <w:tcW w:w="11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実施箇所数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18" w:type="dxa"/>
            <w:vMerge w:val="continue"/>
            <w:tcBorders>
              <w:top w:val="none" w:color="auto" w:sz="0"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751" w:type="dxa"/>
            <w:gridSpan w:val="2"/>
            <w:vMerge w:val="continue"/>
            <w:tcBorders>
              <w:top w:val="none" w:color="auto" w:sz="0" w:space="0"/>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11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107</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118</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179</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209</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3969"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２</w:t>
            </w:r>
            <w:r>
              <w:rPr>
                <w:rFonts w:hint="default" w:ascii="ＭＳ ゴシック" w:hAnsi="ＭＳ ゴシック" w:eastAsia="ＭＳ ゴシック"/>
                <w:kern w:val="0"/>
                <w:sz w:val="20"/>
              </w:rPr>
              <w:t>)</w:t>
            </w:r>
            <w:r>
              <w:rPr>
                <w:rFonts w:hint="eastAsia" w:ascii="ＭＳ ゴシック" w:hAnsi="ＭＳ ゴシック" w:eastAsia="ＭＳ ゴシック"/>
                <w:kern w:val="0"/>
                <w:sz w:val="20"/>
              </w:rPr>
              <w:t>成年後見制度利用支援事業</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5103" w:type="dxa"/>
            <w:gridSpan w:val="4"/>
            <w:tcBorders>
              <w:top w:val="single" w:color="auto" w:sz="4" w:space="0"/>
              <w:left w:val="single" w:color="auto" w:sz="4" w:space="0"/>
              <w:bottom w:val="nil"/>
              <w:right w:val="none" w:color="auto" w:sz="0"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３</w:t>
            </w: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意思疎通支援事業</w:t>
            </w:r>
          </w:p>
        </w:tc>
        <w:tc>
          <w:tcPr>
            <w:tcW w:w="7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5"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88" w:type="dxa"/>
            <w:gridSpan w:val="2"/>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6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137" w:leftChars="-30" w:right="-67" w:rightChars="-30" w:hanging="204" w:hangingChars="10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①手話通訳者・要約筆記者派遣事業</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9</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9</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88"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68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②手話通訳者設置事業</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実施箇所数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5103" w:type="dxa"/>
            <w:gridSpan w:val="4"/>
            <w:tcBorders>
              <w:top w:val="single" w:color="auto" w:sz="4" w:space="0"/>
              <w:left w:val="single" w:color="auto" w:sz="4" w:space="0"/>
              <w:bottom w:val="nil"/>
              <w:right w:val="none" w:color="auto" w:sz="0"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４</w:t>
            </w: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日常生活用具給付等事業</w:t>
            </w:r>
          </w:p>
        </w:tc>
        <w:tc>
          <w:tcPr>
            <w:tcW w:w="7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p>
        </w:tc>
        <w:tc>
          <w:tcPr>
            <w:tcW w:w="795"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88" w:type="dxa"/>
            <w:gridSpan w:val="2"/>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681" w:type="dxa"/>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①介護・訓練支援用具</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kern w:val="0"/>
                <w:sz w:val="18"/>
              </w:rPr>
            </w:pPr>
            <w:r>
              <w:rPr>
                <w:rFonts w:hint="eastAsia" w:ascii="ＭＳ ゴシック" w:hAnsi="ＭＳ ゴシック" w:eastAsia="ＭＳ ゴシック"/>
                <w:spacing w:val="-4"/>
                <w:kern w:val="0"/>
                <w:sz w:val="18"/>
              </w:rPr>
              <w:t>実利用件数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88" w:type="dxa"/>
            <w:gridSpan w:val="2"/>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68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②自立生活支援用具</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kern w:val="0"/>
                <w:sz w:val="18"/>
              </w:rPr>
            </w:pPr>
            <w:r>
              <w:rPr>
                <w:rFonts w:hint="eastAsia" w:ascii="ＭＳ ゴシック" w:hAnsi="ＭＳ ゴシック" w:eastAsia="ＭＳ ゴシック"/>
                <w:spacing w:val="-4"/>
                <w:kern w:val="0"/>
                <w:sz w:val="18"/>
              </w:rPr>
              <w:t>実利用件数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8</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7</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88" w:type="dxa"/>
            <w:gridSpan w:val="2"/>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681" w:type="dxa"/>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③在宅療養等支援用具</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kern w:val="0"/>
                <w:sz w:val="18"/>
              </w:rPr>
            </w:pPr>
            <w:r>
              <w:rPr>
                <w:rFonts w:hint="eastAsia" w:ascii="ＭＳ ゴシック" w:hAnsi="ＭＳ ゴシック" w:eastAsia="ＭＳ ゴシック"/>
                <w:spacing w:val="-4"/>
                <w:kern w:val="0"/>
                <w:sz w:val="18"/>
              </w:rPr>
              <w:t>実利用件数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88" w:type="dxa"/>
            <w:gridSpan w:val="2"/>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68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④情報・意思疎通支援用具</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kern w:val="0"/>
                <w:sz w:val="18"/>
              </w:rPr>
            </w:pPr>
            <w:r>
              <w:rPr>
                <w:rFonts w:hint="eastAsia" w:ascii="ＭＳ ゴシック" w:hAnsi="ＭＳ ゴシック" w:eastAsia="ＭＳ ゴシック"/>
                <w:spacing w:val="-4"/>
                <w:kern w:val="0"/>
                <w:sz w:val="18"/>
              </w:rPr>
              <w:t>実利用件数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88" w:type="dxa"/>
            <w:gridSpan w:val="2"/>
            <w:tcBorders>
              <w:top w:val="nil"/>
              <w:left w:val="single" w:color="auto" w:sz="4" w:space="0"/>
              <w:bottom w:val="nil"/>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681" w:type="dxa"/>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⑤排泄管理支援用具</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kern w:val="0"/>
                <w:sz w:val="18"/>
              </w:rPr>
            </w:pPr>
            <w:r>
              <w:rPr>
                <w:rFonts w:hint="eastAsia" w:ascii="ＭＳ ゴシック" w:hAnsi="ＭＳ ゴシック" w:eastAsia="ＭＳ ゴシック"/>
                <w:spacing w:val="-4"/>
                <w:kern w:val="0"/>
                <w:sz w:val="18"/>
              </w:rPr>
              <w:t>実利用件数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517</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504</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502</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549</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c>
          <w:tcPr>
            <w:tcW w:w="288"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368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137" w:leftChars="-30" w:right="-67" w:rightChars="-30" w:hanging="204" w:hangingChars="10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⑥</w:t>
            </w:r>
            <w:r>
              <w:rPr>
                <w:rFonts w:hint="eastAsia" w:ascii="ＭＳ ゴシック" w:hAnsi="ＭＳ ゴシック" w:eastAsia="ＭＳ ゴシック"/>
                <w:spacing w:val="-4"/>
                <w:kern w:val="0"/>
                <w:sz w:val="20"/>
              </w:rPr>
              <w:t>居宅生活動作補助用具</w:t>
            </w:r>
            <w:r>
              <w:rPr>
                <w:rFonts w:hint="eastAsia" w:ascii="ＭＳ ゴシック" w:hAnsi="ＭＳ ゴシック" w:eastAsia="ＭＳ ゴシック"/>
                <w:spacing w:val="-4"/>
                <w:kern w:val="0"/>
                <w:sz w:val="20"/>
              </w:rPr>
              <w:t>(</w:t>
            </w:r>
            <w:r>
              <w:rPr>
                <w:rFonts w:hint="eastAsia" w:ascii="ＭＳ ゴシック" w:hAnsi="ＭＳ ゴシック" w:eastAsia="ＭＳ ゴシック"/>
                <w:spacing w:val="-4"/>
                <w:kern w:val="0"/>
                <w:sz w:val="20"/>
              </w:rPr>
              <w:t>住宅改修費</w:t>
            </w:r>
            <w:r>
              <w:rPr>
                <w:rFonts w:hint="eastAsia" w:ascii="ＭＳ ゴシック" w:hAnsi="ＭＳ ゴシック" w:eastAsia="ＭＳ ゴシック"/>
                <w:spacing w:val="-4"/>
                <w:kern w:val="0"/>
                <w:sz w:val="20"/>
              </w:rPr>
              <w:t>)</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kern w:val="0"/>
                <w:sz w:val="18"/>
              </w:rPr>
            </w:pPr>
            <w:r>
              <w:rPr>
                <w:rFonts w:hint="eastAsia" w:ascii="ＭＳ ゴシック" w:hAnsi="ＭＳ ゴシック" w:eastAsia="ＭＳ ゴシック"/>
                <w:spacing w:val="-4"/>
                <w:kern w:val="0"/>
                <w:sz w:val="18"/>
              </w:rPr>
              <w:t>実利用件数</w:t>
            </w:r>
          </w:p>
        </w:tc>
        <w:tc>
          <w:tcPr>
            <w:tcW w:w="7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9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bl>
    <w:p>
      <w:pPr>
        <w:pStyle w:val="68"/>
        <w:spacing w:before="37" w:beforeLines="0" w:beforeAutospacing="0" w:after="0" w:afterLines="0" w:afterAutospacing="0"/>
        <w:ind w:left="1172"/>
        <w:rPr>
          <w:rFonts w:hint="default"/>
        </w:rPr>
      </w:pPr>
      <w:r>
        <w:rPr>
          <w:rFonts w:hint="eastAsia"/>
        </w:rPr>
        <w:t>資料：保健福祉課</w:t>
      </w: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r>
        <w:rPr>
          <w:rFonts w:hint="default"/>
        </w:rPr>
        <w:br w:type="page"/>
      </w:r>
    </w:p>
    <w:p>
      <w:pPr>
        <w:pStyle w:val="67"/>
        <w:ind w:left="448" w:firstLine="214" w:firstLineChars="100"/>
        <w:rPr>
          <w:rFonts w:hint="default"/>
        </w:rPr>
      </w:pPr>
      <w:r>
        <w:rPr>
          <w:rFonts w:hint="eastAsia"/>
        </w:rPr>
        <w:t>「手話奉仕員養成研修事業」の受講終了者は令和元年度には</w:t>
      </w:r>
      <w:r>
        <w:rPr>
          <w:rFonts w:hint="eastAsia"/>
        </w:rPr>
        <w:t>9</w:t>
      </w:r>
      <w:r>
        <w:rPr>
          <w:rFonts w:hint="eastAsia"/>
        </w:rPr>
        <w:t>人でしたが、令和２年度からは</w:t>
      </w:r>
      <w:r>
        <w:rPr>
          <w:rFonts w:hint="eastAsia"/>
        </w:rPr>
        <w:t>0</w:t>
      </w:r>
      <w:r>
        <w:rPr>
          <w:rFonts w:hint="eastAsia"/>
        </w:rPr>
        <w:t>人となっています。</w:t>
      </w:r>
    </w:p>
    <w:p>
      <w:pPr>
        <w:pStyle w:val="67"/>
        <w:ind w:left="448" w:firstLine="214" w:firstLineChars="100"/>
        <w:rPr>
          <w:rFonts w:hint="default"/>
        </w:rPr>
      </w:pPr>
      <w:r>
        <w:rPr>
          <w:rFonts w:hint="eastAsia"/>
        </w:rPr>
        <w:t>「移動支援事業」の利用者は、平成</w:t>
      </w:r>
      <w:r>
        <w:rPr>
          <w:rFonts w:hint="eastAsia"/>
        </w:rPr>
        <w:t>30</w:t>
      </w:r>
      <w:r>
        <w:rPr>
          <w:rFonts w:hint="eastAsia"/>
        </w:rPr>
        <w:t>年度以降微減で推移しています。</w:t>
      </w:r>
    </w:p>
    <w:p>
      <w:pPr>
        <w:pStyle w:val="67"/>
        <w:ind w:left="448" w:firstLine="214" w:firstLineChars="100"/>
        <w:rPr>
          <w:rFonts w:hint="default"/>
        </w:rPr>
      </w:pPr>
      <w:r>
        <w:rPr>
          <w:rFonts w:hint="eastAsia"/>
        </w:rPr>
        <w:t>「地域活動支援センター機能強化事業」は町内事業所</w:t>
      </w:r>
      <w:r>
        <w:rPr>
          <w:rFonts w:hint="eastAsia"/>
        </w:rPr>
        <w:t>(1</w:t>
      </w:r>
      <w:r>
        <w:rPr>
          <w:rFonts w:hint="eastAsia"/>
        </w:rPr>
        <w:t>ヵ所</w:t>
      </w:r>
      <w:r>
        <w:rPr>
          <w:rFonts w:hint="eastAsia"/>
        </w:rPr>
        <w:t>)</w:t>
      </w:r>
      <w:r>
        <w:rPr>
          <w:rFonts w:hint="eastAsia"/>
        </w:rPr>
        <w:t>に委託しており、利用者は平成</w:t>
      </w:r>
      <w:r>
        <w:rPr>
          <w:rFonts w:hint="eastAsia"/>
        </w:rPr>
        <w:t>30</w:t>
      </w:r>
      <w:r>
        <w:rPr>
          <w:rFonts w:hint="eastAsia"/>
        </w:rPr>
        <w:t>年度の</w:t>
      </w:r>
      <w:r>
        <w:rPr>
          <w:rFonts w:hint="eastAsia"/>
        </w:rPr>
        <w:t>14</w:t>
      </w:r>
      <w:r>
        <w:rPr>
          <w:rFonts w:hint="eastAsia"/>
        </w:rPr>
        <w:t>人から減少傾向にあり、令和４年度では</w:t>
      </w:r>
      <w:r>
        <w:rPr>
          <w:rFonts w:hint="eastAsia"/>
        </w:rPr>
        <w:t>10</w:t>
      </w:r>
      <w:r>
        <w:rPr>
          <w:rFonts w:hint="eastAsia"/>
        </w:rPr>
        <w:t>人となっています。</w:t>
      </w:r>
    </w:p>
    <w:p>
      <w:pPr>
        <w:pStyle w:val="67"/>
        <w:ind w:left="448" w:firstLine="214" w:firstLineChars="100"/>
        <w:rPr>
          <w:rFonts w:hint="default"/>
        </w:rPr>
      </w:pPr>
      <w:r>
        <w:rPr>
          <w:rFonts w:hint="eastAsia"/>
        </w:rPr>
        <w:t>「日中一時支援事業」の委託事業所数は平成</w:t>
      </w:r>
      <w:r>
        <w:rPr>
          <w:rFonts w:hint="eastAsia"/>
        </w:rPr>
        <w:t>30</w:t>
      </w:r>
      <w:r>
        <w:rPr>
          <w:rFonts w:hint="eastAsia"/>
        </w:rPr>
        <w:t>年度以降</w:t>
      </w:r>
      <w:r>
        <w:rPr>
          <w:rFonts w:hint="eastAsia"/>
        </w:rPr>
        <w:t>15</w:t>
      </w:r>
      <w:r>
        <w:rPr>
          <w:rFonts w:hint="eastAsia"/>
        </w:rPr>
        <w:t>～</w:t>
      </w:r>
      <w:r>
        <w:rPr>
          <w:rFonts w:hint="eastAsia"/>
        </w:rPr>
        <w:t>17</w:t>
      </w:r>
      <w:r>
        <w:rPr>
          <w:rFonts w:hint="eastAsia"/>
        </w:rPr>
        <w:t>ヵ所で推移し、利用者は減少傾向で推移し、令和４年度は</w:t>
      </w:r>
      <w:r>
        <w:rPr>
          <w:rFonts w:hint="eastAsia"/>
        </w:rPr>
        <w:t>18</w:t>
      </w:r>
      <w:r>
        <w:rPr>
          <w:rFonts w:hint="eastAsia"/>
        </w:rPr>
        <w:t>人となっています。</w:t>
      </w:r>
    </w:p>
    <w:p>
      <w:pPr>
        <w:pStyle w:val="67"/>
        <w:ind w:left="448" w:firstLine="214" w:firstLineChars="100"/>
        <w:rPr>
          <w:rFonts w:hint="default"/>
        </w:rPr>
      </w:pPr>
      <w:r>
        <w:rPr>
          <w:rFonts w:hint="eastAsia"/>
        </w:rPr>
        <w:t>「レクリエーション活動等支援事業」は平成</w:t>
      </w:r>
      <w:r>
        <w:rPr>
          <w:rFonts w:hint="eastAsia"/>
        </w:rPr>
        <w:t>30</w:t>
      </w:r>
      <w:r>
        <w:rPr>
          <w:rFonts w:hint="eastAsia"/>
        </w:rPr>
        <w:t>年度から委託し、軽スポーツなどを行っており、利用者は令和４年度で</w:t>
      </w:r>
      <w:r>
        <w:rPr>
          <w:rFonts w:hint="eastAsia"/>
        </w:rPr>
        <w:t>9</w:t>
      </w:r>
      <w:r>
        <w:rPr>
          <w:rFonts w:hint="eastAsia"/>
        </w:rPr>
        <w:t>人となっており、横ばい傾向で推移しています。</w:t>
      </w:r>
    </w:p>
    <w:p>
      <w:pPr>
        <w:pStyle w:val="67"/>
        <w:ind w:left="448" w:firstLine="214" w:firstLineChars="100"/>
        <w:rPr>
          <w:rFonts w:hint="default"/>
        </w:rPr>
      </w:pPr>
      <w:r>
        <w:rPr>
          <w:rFonts w:hint="eastAsia"/>
        </w:rPr>
        <w:t>「声の広報等事業」は町社会福祉協議会に委託しており、利用者は平成</w:t>
      </w:r>
      <w:r>
        <w:rPr>
          <w:rFonts w:hint="eastAsia"/>
        </w:rPr>
        <w:t>30</w:t>
      </w:r>
      <w:r>
        <w:rPr>
          <w:rFonts w:hint="eastAsia"/>
        </w:rPr>
        <w:t>年度以降</w:t>
      </w:r>
      <w:r>
        <w:rPr>
          <w:rFonts w:hint="eastAsia"/>
        </w:rPr>
        <w:t>16</w:t>
      </w:r>
      <w:r>
        <w:rPr>
          <w:rFonts w:hint="eastAsia"/>
        </w:rPr>
        <w:t>人の横ばいで推移しています。また、「福祉機器リサイクル事業」も町社会福祉協議会に委託しています。</w:t>
      </w:r>
    </w:p>
    <w:p>
      <w:pPr>
        <w:pStyle w:val="67"/>
        <w:ind w:left="448" w:firstLine="214" w:firstLineChars="100"/>
        <w:rPr>
          <w:rFonts w:hint="default"/>
        </w:rPr>
      </w:pPr>
      <w:r>
        <w:rPr>
          <w:rFonts w:hint="eastAsia"/>
        </w:rPr>
        <w:t>「自動車運転免許取得費・改造費助成事業」は平成</w:t>
      </w:r>
      <w:r>
        <w:rPr>
          <w:rFonts w:hint="eastAsia"/>
        </w:rPr>
        <w:t>29</w:t>
      </w:r>
      <w:r>
        <w:rPr>
          <w:rFonts w:hint="eastAsia"/>
        </w:rPr>
        <w:t>年度以降利用がありませんでしたが、令和２年度に２件、令和３年度、令和４年度は１件助成しました。</w:t>
      </w:r>
    </w:p>
    <w:p>
      <w:pPr>
        <w:pStyle w:val="67"/>
        <w:ind w:left="448" w:firstLine="214" w:firstLineChars="100"/>
        <w:rPr>
          <w:rFonts w:hint="default"/>
        </w:rPr>
      </w:pPr>
      <w:r>
        <w:rPr>
          <w:rFonts w:hint="eastAsia"/>
        </w:rPr>
        <w:t>「医療的ケア児等の協議の場の設置」については、令和元年度に設置しました。</w:t>
      </w:r>
    </w:p>
    <w:p>
      <w:pPr>
        <w:pStyle w:val="67"/>
        <w:spacing w:line="0" w:lineRule="atLeast"/>
        <w:ind w:left="448" w:firstLine="164" w:firstLineChars="100"/>
        <w:rPr>
          <w:rFonts w:hint="default"/>
          <w:sz w:val="16"/>
        </w:rPr>
      </w:pPr>
    </w:p>
    <w:tbl>
      <w:tblPr>
        <w:tblStyle w:val="11"/>
        <w:tblW w:w="0" w:type="auto"/>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4033"/>
        <w:gridCol w:w="1118"/>
        <w:gridCol w:w="787"/>
        <w:gridCol w:w="787"/>
        <w:gridCol w:w="782"/>
        <w:gridCol w:w="782"/>
        <w:gridCol w:w="782"/>
      </w:tblGrid>
      <w:tr>
        <w:trPr/>
        <w:tc>
          <w:tcPr>
            <w:tcW w:w="5151" w:type="dxa"/>
            <w:gridSpan w:val="2"/>
            <w:tcBorders>
              <w:top w:val="nil"/>
              <w:left w:val="nil"/>
              <w:bottom w:val="single" w:color="auto" w:sz="4" w:space="0"/>
              <w:right w:val="nil"/>
              <w:tl2br w:val="none" w:color="auto" w:sz="0" w:space="0"/>
              <w:tr2bl w:val="none" w:color="auto" w:sz="0" w:space="0"/>
            </w:tcBorders>
            <w:shd w:val="clear" w:color="auto" w:fill="auto"/>
            <w:vAlign w:val="bottom"/>
          </w:tcPr>
          <w:p>
            <w:pPr>
              <w:pStyle w:val="51"/>
              <w:snapToGrid w:val="0"/>
              <w:spacing w:line="0" w:lineRule="atLeast"/>
              <w:ind w:left="-221"/>
              <w:rPr>
                <w:rFonts w:hint="default" w:ascii="ＭＳ ゴシック" w:hAnsi="ＭＳ ゴシック" w:eastAsia="ＭＳ ゴシック"/>
              </w:rPr>
            </w:pPr>
            <w:r>
              <w:rPr>
                <w:rFonts w:hint="eastAsia" w:ascii="ＭＳ ゴシック" w:hAnsi="ＭＳ ゴシック" w:eastAsia="ＭＳ ゴシック"/>
              </w:rPr>
              <w:t>【地域生活支援事業の実施状況</w:t>
            </w:r>
            <w:r>
              <w:rPr>
                <w:rFonts w:hint="eastAsia" w:ascii="ＭＳ ゴシック" w:hAnsi="ＭＳ ゴシック" w:eastAsia="ＭＳ ゴシック"/>
              </w:rPr>
              <w:t>-2</w:t>
            </w:r>
            <w:r>
              <w:rPr>
                <w:rFonts w:hint="eastAsia" w:ascii="ＭＳ ゴシック" w:hAnsi="ＭＳ ゴシック" w:eastAsia="ＭＳ ゴシック"/>
              </w:rPr>
              <w:t>】</w:t>
            </w:r>
          </w:p>
        </w:tc>
        <w:tc>
          <w:tcPr>
            <w:tcW w:w="787" w:type="dxa"/>
            <w:tcBorders>
              <w:top w:val="nil"/>
              <w:left w:val="nil"/>
              <w:bottom w:val="single" w:color="auto" w:sz="4" w:space="0"/>
              <w:right w:val="nil"/>
              <w:tl2br w:val="none" w:color="auto" w:sz="0" w:space="0"/>
              <w:tr2bl w:val="none" w:color="auto" w:sz="0" w:space="0"/>
            </w:tcBorders>
            <w:shd w:val="clear" w:color="auto" w:fill="auto"/>
            <w:tcMar>
              <w:top w:w="0" w:type="dxa"/>
              <w:left w:w="85" w:type="dxa"/>
              <w:bottom w:w="0" w:type="dxa"/>
              <w:right w:w="85" w:type="dxa"/>
            </w:tcMar>
            <w:vAlign w:val="bottom"/>
          </w:tcPr>
          <w:p>
            <w:pPr>
              <w:pStyle w:val="0"/>
              <w:snapToGrid w:val="0"/>
              <w:spacing w:line="0" w:lineRule="atLeast"/>
              <w:rPr>
                <w:rFonts w:hint="default" w:ascii="ＭＳ ゴシック" w:hAnsi="ＭＳ ゴシック" w:eastAsia="ＭＳ ゴシック"/>
              </w:rPr>
            </w:pPr>
          </w:p>
        </w:tc>
        <w:tc>
          <w:tcPr>
            <w:tcW w:w="787" w:type="dxa"/>
            <w:tcBorders>
              <w:top w:val="nil"/>
              <w:left w:val="nil"/>
              <w:bottom w:val="single" w:color="auto" w:sz="4" w:space="0"/>
              <w:right w:val="nil"/>
              <w:tl2br w:val="none" w:color="auto" w:sz="0" w:space="0"/>
              <w:tr2bl w:val="none" w:color="auto" w:sz="0" w:space="0"/>
            </w:tcBorders>
            <w:shd w:val="clear" w:color="auto" w:fill="auto"/>
            <w:vAlign w:val="bottom"/>
          </w:tcPr>
          <w:p>
            <w:pPr>
              <w:pStyle w:val="0"/>
              <w:snapToGrid w:val="0"/>
              <w:spacing w:line="0" w:lineRule="atLeast"/>
              <w:rPr>
                <w:rFonts w:hint="default" w:ascii="ＭＳ ゴシック" w:hAnsi="ＭＳ ゴシック" w:eastAsia="ＭＳ ゴシック"/>
              </w:rPr>
            </w:pPr>
          </w:p>
        </w:tc>
        <w:tc>
          <w:tcPr>
            <w:tcW w:w="782" w:type="dxa"/>
            <w:tcBorders>
              <w:top w:val="nil"/>
              <w:left w:val="nil"/>
              <w:bottom w:val="single" w:color="auto" w:sz="4" w:space="0"/>
              <w:right w:val="nil"/>
              <w:tl2br w:val="none" w:color="auto" w:sz="0" w:space="0"/>
              <w:tr2bl w:val="none" w:color="auto" w:sz="0" w:space="0"/>
            </w:tcBorders>
            <w:shd w:val="clear" w:color="auto" w:fill="auto"/>
            <w:vAlign w:val="bottom"/>
          </w:tcPr>
          <w:p>
            <w:pPr>
              <w:pStyle w:val="0"/>
              <w:snapToGrid w:val="0"/>
              <w:spacing w:line="0" w:lineRule="atLeast"/>
              <w:rPr>
                <w:rFonts w:hint="default" w:ascii="ＭＳ ゴシック" w:hAnsi="ＭＳ ゴシック" w:eastAsia="ＭＳ ゴシック"/>
              </w:rPr>
            </w:pPr>
          </w:p>
        </w:tc>
        <w:tc>
          <w:tcPr>
            <w:tcW w:w="782" w:type="dxa"/>
            <w:tcBorders>
              <w:top w:val="nil"/>
              <w:left w:val="nil"/>
              <w:bottom w:val="single" w:color="auto" w:sz="4" w:space="0"/>
              <w:right w:val="nil"/>
              <w:tl2br w:val="none" w:color="auto" w:sz="0" w:space="0"/>
              <w:tr2bl w:val="none" w:color="auto" w:sz="0" w:space="0"/>
            </w:tcBorders>
            <w:vAlign w:val="top"/>
          </w:tcPr>
          <w:p>
            <w:pPr>
              <w:pStyle w:val="0"/>
              <w:snapToGrid w:val="0"/>
              <w:spacing w:line="0" w:lineRule="atLeast"/>
              <w:rPr>
                <w:rFonts w:hint="default" w:ascii="ＭＳ ゴシック" w:hAnsi="ＭＳ ゴシック" w:eastAsia="ＭＳ ゴシック"/>
              </w:rPr>
            </w:pPr>
          </w:p>
        </w:tc>
        <w:tc>
          <w:tcPr>
            <w:tcW w:w="782" w:type="dxa"/>
            <w:tcBorders>
              <w:top w:val="nil"/>
              <w:left w:val="nil"/>
              <w:bottom w:val="single" w:color="auto" w:sz="4" w:space="0"/>
              <w:right w:val="nil"/>
              <w:tl2br w:val="none" w:color="auto" w:sz="0" w:space="0"/>
              <w:tr2bl w:val="none" w:color="auto" w:sz="0" w:space="0"/>
            </w:tcBorders>
            <w:vAlign w:val="top"/>
          </w:tcPr>
          <w:p>
            <w:pPr>
              <w:pStyle w:val="0"/>
              <w:snapToGrid w:val="0"/>
              <w:spacing w:line="0" w:lineRule="atLeast"/>
              <w:rPr>
                <w:rFonts w:hint="default" w:ascii="ＭＳ ゴシック" w:hAnsi="ＭＳ ゴシック" w:eastAsia="ＭＳ ゴシック"/>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333" w:hRule="atLeast"/>
        </w:trPr>
        <w:tc>
          <w:tcPr>
            <w:tcW w:w="5151" w:type="dxa"/>
            <w:gridSpan w:val="2"/>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left"/>
              <w:rPr>
                <w:rFonts w:hint="default" w:ascii="ＭＳ ゴシック" w:hAnsi="ＭＳ ゴシック" w:eastAsia="ＭＳ ゴシック"/>
                <w:kern w:val="0"/>
                <w:sz w:val="20"/>
              </w:rPr>
            </w:pP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平成</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30</w:t>
            </w:r>
            <w:r>
              <w:rPr>
                <w:rFonts w:hint="eastAsia" w:ascii="ＭＳ ゴシック" w:hAnsi="ＭＳ ゴシック" w:eastAsia="ＭＳ ゴシック"/>
                <w:spacing w:val="-4"/>
                <w:kern w:val="0"/>
                <w:sz w:val="20"/>
              </w:rPr>
              <w:t>年度</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元年度</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２年度</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３年度</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令和</w:t>
            </w:r>
          </w:p>
          <w:p>
            <w:pPr>
              <w:pStyle w:val="0"/>
              <w:widowControl w:val="1"/>
              <w:spacing w:line="0" w:lineRule="atLeast"/>
              <w:ind w:left="-67" w:leftChars="-30" w:right="-67" w:rightChars="-30"/>
              <w:jc w:val="center"/>
              <w:rPr>
                <w:rFonts w:hint="default" w:ascii="ＭＳ ゴシック" w:hAnsi="ＭＳ ゴシック" w:eastAsia="ＭＳ ゴシック"/>
                <w:spacing w:val="-4"/>
                <w:kern w:val="0"/>
                <w:sz w:val="20"/>
              </w:rPr>
            </w:pPr>
            <w:r>
              <w:rPr>
                <w:rFonts w:hint="eastAsia" w:ascii="ＭＳ ゴシック" w:hAnsi="ＭＳ ゴシック" w:eastAsia="ＭＳ ゴシック"/>
                <w:spacing w:val="-4"/>
                <w:kern w:val="0"/>
                <w:sz w:val="20"/>
              </w:rPr>
              <w:t>４年度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333" w:hRule="atLeast"/>
        </w:trPr>
        <w:tc>
          <w:tcPr>
            <w:tcW w:w="40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５</w:t>
            </w: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手話奉仕員養成研修事業</w:t>
            </w: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登録者数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2" w:hRule="atLeast"/>
        </w:trPr>
        <w:tc>
          <w:tcPr>
            <w:tcW w:w="403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６</w:t>
            </w: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移動支援事業</w:t>
            </w: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47</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38</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31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1" w:hRule="atLeast"/>
        </w:trPr>
        <w:tc>
          <w:tcPr>
            <w:tcW w:w="403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0"/>
                <w:w w:val="85"/>
                <w:kern w:val="0"/>
                <w:sz w:val="18"/>
                <w:fitText w:val="920" w:id="3"/>
              </w:rPr>
              <w:t>延利用時間</w:t>
            </w:r>
            <w:r>
              <w:rPr>
                <w:rFonts w:hint="eastAsia" w:ascii="ＭＳ ゴシック" w:hAnsi="ＭＳ ゴシック" w:eastAsia="ＭＳ ゴシック"/>
                <w:spacing w:val="4"/>
                <w:w w:val="85"/>
                <w:kern w:val="0"/>
                <w:sz w:val="18"/>
                <w:fitText w:val="920" w:id="3"/>
              </w:rPr>
              <w:t>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2,423</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1,972</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1,404</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1,390</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2" w:hRule="atLeast"/>
        </w:trPr>
        <w:tc>
          <w:tcPr>
            <w:tcW w:w="403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７</w:t>
            </w:r>
            <w:r>
              <w:rPr>
                <w:rFonts w:hint="default" w:ascii="ＭＳ ゴシック" w:hAnsi="ＭＳ ゴシック" w:eastAsia="ＭＳ ゴシック"/>
                <w:kern w:val="0"/>
                <w:sz w:val="20"/>
              </w:rPr>
              <w:t>)</w:t>
            </w:r>
            <w:r>
              <w:rPr>
                <w:rFonts w:hint="eastAsia" w:ascii="ＭＳ ゴシック" w:hAnsi="ＭＳ ゴシック" w:eastAsia="ＭＳ ゴシック"/>
                <w:kern w:val="0"/>
                <w:sz w:val="20"/>
              </w:rPr>
              <w:t>地域活動支援センター機能強化事業</w:t>
            </w: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実施箇所数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1" w:hRule="atLeast"/>
        </w:trPr>
        <w:tc>
          <w:tcPr>
            <w:tcW w:w="403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14</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5</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2" w:hRule="atLeast"/>
        </w:trPr>
        <w:tc>
          <w:tcPr>
            <w:tcW w:w="403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８</w:t>
            </w: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日中一時支援事業</w:t>
            </w: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実施箇所数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15</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1" w:hRule="atLeast"/>
        </w:trPr>
        <w:tc>
          <w:tcPr>
            <w:tcW w:w="403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25</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28</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19</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2" w:hRule="atLeast"/>
        </w:trPr>
        <w:tc>
          <w:tcPr>
            <w:tcW w:w="403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w:t>
            </w:r>
            <w:r>
              <w:rPr>
                <w:rFonts w:hint="default" w:ascii="ＭＳ ゴシック" w:hAnsi="ＭＳ ゴシック" w:eastAsia="ＭＳ ゴシック"/>
                <w:kern w:val="0"/>
                <w:sz w:val="20"/>
              </w:rPr>
              <w:t>９</w:t>
            </w:r>
            <w:r>
              <w:rPr>
                <w:rFonts w:hint="eastAsia" w:ascii="ＭＳ ゴシック" w:hAnsi="ＭＳ ゴシック" w:eastAsia="ＭＳ ゴシック"/>
                <w:kern w:val="0"/>
                <w:sz w:val="20"/>
              </w:rPr>
              <w:t>)</w:t>
            </w:r>
            <w:r>
              <w:rPr>
                <w:rFonts w:hint="eastAsia" w:ascii="ＭＳ ゴシック" w:hAnsi="ＭＳ ゴシック" w:eastAsia="ＭＳ ゴシック"/>
                <w:kern w:val="0"/>
                <w:sz w:val="20"/>
              </w:rPr>
              <w:t>レクリエーション活動等支援</w:t>
            </w:r>
            <w:r>
              <w:rPr>
                <w:rFonts w:hint="default" w:ascii="ＭＳ ゴシック" w:hAnsi="ＭＳ ゴシック" w:eastAsia="ＭＳ ゴシック"/>
                <w:kern w:val="0"/>
                <w:sz w:val="20"/>
              </w:rPr>
              <w:t>事業</w:t>
            </w: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実施箇所数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1" w:hRule="atLeast"/>
        </w:trPr>
        <w:tc>
          <w:tcPr>
            <w:tcW w:w="403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2" w:hRule="atLeast"/>
        </w:trPr>
        <w:tc>
          <w:tcPr>
            <w:tcW w:w="403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(10)</w:t>
            </w:r>
            <w:r>
              <w:rPr>
                <w:rFonts w:hint="eastAsia" w:ascii="ＭＳ ゴシック" w:hAnsi="ＭＳ ゴシック" w:eastAsia="ＭＳ ゴシック"/>
                <w:kern w:val="0"/>
                <w:sz w:val="20"/>
              </w:rPr>
              <w:t>声の広報等事業</w:t>
            </w: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実施箇所数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1" w:hRule="atLeast"/>
        </w:trPr>
        <w:tc>
          <w:tcPr>
            <w:tcW w:w="403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2" w:hRule="atLeast"/>
        </w:trPr>
        <w:tc>
          <w:tcPr>
            <w:tcW w:w="403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(11)</w:t>
            </w:r>
            <w:r>
              <w:rPr>
                <w:rFonts w:hint="eastAsia" w:ascii="ＭＳ ゴシック" w:hAnsi="ＭＳ ゴシック" w:eastAsia="ＭＳ ゴシック"/>
                <w:kern w:val="0"/>
                <w:sz w:val="20"/>
              </w:rPr>
              <w:t>福祉機器リサイクル事業</w:t>
            </w: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実施箇所数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1" w:hRule="atLeast"/>
        </w:trPr>
        <w:tc>
          <w:tcPr>
            <w:tcW w:w="403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112</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120</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121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132</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2" w:hRule="atLeast"/>
        </w:trPr>
        <w:tc>
          <w:tcPr>
            <w:tcW w:w="403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(1</w:t>
            </w:r>
            <w:r>
              <w:rPr>
                <w:rFonts w:hint="default" w:ascii="ＭＳ ゴシック" w:hAnsi="ＭＳ ゴシック" w:eastAsia="ＭＳ ゴシック"/>
                <w:kern w:val="0"/>
                <w:sz w:val="20"/>
              </w:rPr>
              <w:t>2</w:t>
            </w:r>
            <w:r>
              <w:rPr>
                <w:rFonts w:hint="eastAsia" w:ascii="ＭＳ ゴシック" w:hAnsi="ＭＳ ゴシック" w:eastAsia="ＭＳ ゴシック"/>
                <w:kern w:val="0"/>
                <w:sz w:val="20"/>
              </w:rPr>
              <w:t>)</w:t>
            </w:r>
            <w:r>
              <w:rPr>
                <w:rFonts w:hint="eastAsia" w:ascii="ＭＳ ゴシック" w:hAnsi="ＭＳ ゴシック" w:eastAsia="ＭＳ ゴシック"/>
                <w:spacing w:val="10"/>
                <w:w w:val="86"/>
                <w:kern w:val="0"/>
                <w:sz w:val="20"/>
                <w:fitText w:val="3468" w:id="4"/>
              </w:rPr>
              <w:t>自動車運転免許取得費・改造費助成事</w:t>
            </w:r>
            <w:r>
              <w:rPr>
                <w:rFonts w:hint="eastAsia" w:ascii="ＭＳ ゴシック" w:hAnsi="ＭＳ ゴシック" w:eastAsia="ＭＳ ゴシック"/>
                <w:spacing w:val="16"/>
                <w:w w:val="86"/>
                <w:kern w:val="0"/>
                <w:sz w:val="20"/>
                <w:fitText w:val="3468" w:id="4"/>
              </w:rPr>
              <w:t>業</w:t>
            </w: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実施箇所数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91" w:hRule="atLeast"/>
        </w:trPr>
        <w:tc>
          <w:tcPr>
            <w:tcW w:w="403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実利用者数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spacing w:val="-10"/>
                <w:sz w:val="20"/>
              </w:rPr>
            </w:pPr>
            <w:r>
              <w:rPr>
                <w:rFonts w:hint="eastAsia" w:ascii="ＭＳ ゴシック" w:hAnsi="ＭＳ ゴシック" w:eastAsia="ＭＳ ゴシック"/>
                <w:spacing w:val="-10"/>
                <w:sz w:val="20"/>
              </w:rPr>
              <w:t>実績なし</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spacing w:val="-10"/>
                <w:sz w:val="20"/>
              </w:rPr>
            </w:pPr>
            <w:r>
              <w:rPr>
                <w:rFonts w:hint="eastAsia" w:ascii="ＭＳ ゴシック" w:hAnsi="ＭＳ ゴシック" w:eastAsia="ＭＳ ゴシック"/>
                <w:spacing w:val="-10"/>
                <w:sz w:val="20"/>
              </w:rPr>
              <w:t>実績なし</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2</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99" w:type="dxa"/>
            <w:right w:w="99" w:type="dxa"/>
          </w:tblCellMar>
        </w:tblPrEx>
        <w:trPr>
          <w:trHeight w:val="335" w:hRule="atLeast"/>
        </w:trPr>
        <w:tc>
          <w:tcPr>
            <w:tcW w:w="40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ind w:left="-67" w:leftChars="-30" w:right="-67" w:rightChars="-30"/>
              <w:rPr>
                <w:rFonts w:hint="default" w:ascii="ＭＳ ゴシック" w:hAnsi="ＭＳ ゴシック" w:eastAsia="ＭＳ ゴシック"/>
                <w:kern w:val="0"/>
                <w:sz w:val="20"/>
              </w:rPr>
            </w:pPr>
            <w:r>
              <w:rPr>
                <w:rFonts w:hint="eastAsia" w:ascii="ＭＳ ゴシック" w:hAnsi="ＭＳ ゴシック" w:eastAsia="ＭＳ ゴシック"/>
                <w:kern w:val="0"/>
                <w:sz w:val="20"/>
              </w:rPr>
              <w:t>(13)</w:t>
            </w:r>
            <w:r>
              <w:rPr>
                <w:rFonts w:hint="eastAsia" w:ascii="ＭＳ ゴシック" w:hAnsi="ＭＳ ゴシック" w:eastAsia="ＭＳ ゴシック"/>
                <w:kern w:val="0"/>
                <w:sz w:val="20"/>
              </w:rPr>
              <w:t>医療的ケア児等の協議の場の設置</w:t>
            </w:r>
          </w:p>
        </w:tc>
        <w:tc>
          <w:tcPr>
            <w:tcW w:w="1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pacing w:line="0" w:lineRule="atLeast"/>
              <w:jc w:val="center"/>
              <w:rPr>
                <w:rFonts w:hint="default" w:ascii="ＭＳ ゴシック" w:hAnsi="ＭＳ ゴシック" w:eastAsia="ＭＳ ゴシック"/>
                <w:spacing w:val="-4"/>
                <w:kern w:val="0"/>
                <w:sz w:val="18"/>
              </w:rPr>
            </w:pPr>
            <w:r>
              <w:rPr>
                <w:rFonts w:hint="eastAsia" w:ascii="ＭＳ ゴシック" w:hAnsi="ＭＳ ゴシック" w:eastAsia="ＭＳ ゴシック"/>
                <w:spacing w:val="-4"/>
                <w:kern w:val="0"/>
                <w:sz w:val="18"/>
              </w:rPr>
              <w:t>設置数</w:t>
            </w:r>
          </w:p>
        </w:tc>
        <w:tc>
          <w:tcPr>
            <w:tcW w:w="78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eastAsia" w:ascii="ＭＳ ゴシック" w:hAnsi="ＭＳ ゴシック" w:eastAsia="ＭＳ ゴシック"/>
                <w:w w:val="100"/>
                <w:sz w:val="20"/>
              </w:rPr>
              <w:t>－</w:t>
            </w:r>
          </w:p>
        </w:tc>
        <w:tc>
          <w:tcPr>
            <w:tcW w:w="78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FFFF"/>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1</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c>
          <w:tcPr>
            <w:tcW w:w="78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44"/>
              <w:snapToGrid w:val="0"/>
              <w:spacing w:before="0" w:beforeLines="0" w:beforeAutospacing="0" w:after="0" w:afterLines="0" w:afterAutospacing="0"/>
              <w:jc w:val="right"/>
              <w:rPr>
                <w:rFonts w:hint="default" w:ascii="ＭＳ ゴシック" w:hAnsi="ＭＳ ゴシック" w:eastAsia="ＭＳ ゴシック"/>
                <w:w w:val="100"/>
                <w:sz w:val="20"/>
              </w:rPr>
            </w:pPr>
            <w:r>
              <w:rPr>
                <w:rFonts w:hint="default" w:ascii="ＭＳ ゴシック" w:hAnsi="ＭＳ ゴシック" w:eastAsia="ＭＳ ゴシック"/>
                <w:w w:val="100"/>
                <w:sz w:val="20"/>
              </w:rPr>
              <w:t>0</w:t>
            </w:r>
          </w:p>
        </w:tc>
      </w:tr>
    </w:tbl>
    <w:p>
      <w:pPr>
        <w:pStyle w:val="68"/>
        <w:spacing w:before="37" w:beforeLines="0" w:beforeAutospacing="0" w:after="0" w:afterLines="0" w:afterAutospacing="0"/>
        <w:ind w:left="1172"/>
        <w:rPr>
          <w:rFonts w:hint="default"/>
        </w:rPr>
      </w:pPr>
      <w:r>
        <w:rPr>
          <w:rFonts w:hint="eastAsia"/>
        </w:rPr>
        <w:t>資料：保健福祉課</w:t>
      </w:r>
    </w:p>
    <w:p>
      <w:pPr>
        <w:pStyle w:val="67"/>
        <w:ind w:left="448" w:firstLine="214" w:firstLineChars="100"/>
        <w:rPr>
          <w:rFonts w:hint="default"/>
        </w:rPr>
      </w:pPr>
    </w:p>
    <w:p>
      <w:pPr>
        <w:pStyle w:val="67"/>
        <w:ind w:left="448" w:firstLine="214" w:firstLineChars="100"/>
        <w:rPr>
          <w:rFonts w:hint="default"/>
        </w:rPr>
      </w:pPr>
    </w:p>
    <w:p>
      <w:pPr>
        <w:pStyle w:val="67"/>
        <w:ind w:left="448" w:firstLine="214" w:firstLineChars="100"/>
        <w:rPr>
          <w:rFonts w:hint="default"/>
        </w:rPr>
      </w:pPr>
    </w:p>
    <w:p>
      <w:pPr>
        <w:pStyle w:val="0"/>
        <w:widowControl w:val="1"/>
        <w:jc w:val="left"/>
        <w:rPr>
          <w:rFonts w:hint="default" w:ascii="ＭＳ ゴシック" w:hAnsi="ＭＳ ゴシック" w:eastAsia="ＭＳ ゴシック"/>
          <w:sz w:val="36"/>
        </w:rPr>
      </w:pPr>
      <w:r>
        <w:rPr>
          <w:rFonts w:hint="default"/>
        </w:rPr>
        <w:br w:type="page"/>
      </w:r>
    </w:p>
    <w:p>
      <w:pPr>
        <w:pStyle w:val="24"/>
        <w:rPr>
          <w:rFonts w:hint="default"/>
        </w:rPr>
      </w:pPr>
      <w:bookmarkEnd w:id="17"/>
      <w:bookmarkStart w:id="23" w:name="_Toc158300404"/>
      <w:bookmarkStart w:id="24" w:name="_Toc505592283"/>
      <w:r>
        <w:rPr>
          <w:rFonts w:hint="default"/>
        </w:rPr>
        <w:t>第</w:t>
      </w:r>
      <w:r>
        <w:rPr>
          <w:rFonts w:hint="eastAsia"/>
        </w:rPr>
        <w:t>３</w:t>
      </w:r>
      <w:r>
        <w:rPr>
          <w:rFonts w:hint="default"/>
        </w:rPr>
        <w:t>章　</w:t>
      </w:r>
      <w:r>
        <w:rPr>
          <w:rFonts w:hint="eastAsia"/>
        </w:rPr>
        <w:t>計画の基本的な考え方</w:t>
      </w:r>
      <w:bookmarkEnd w:id="23"/>
      <w:bookmarkEnd w:id="24"/>
    </w:p>
    <w:p>
      <w:pPr>
        <w:pStyle w:val="23"/>
        <w:rPr>
          <w:rFonts w:hint="default"/>
        </w:rPr>
      </w:pPr>
      <w:bookmarkStart w:id="25" w:name="_Toc158300405"/>
      <w:bookmarkStart w:id="26" w:name="_Toc505592284"/>
      <w:r>
        <w:rPr>
          <w:rFonts w:hint="eastAsia"/>
        </w:rPr>
        <w:t>１．基本理念</w:t>
      </w:r>
      <w:bookmarkEnd w:id="25"/>
      <w:bookmarkEnd w:id="26"/>
    </w:p>
    <w:p>
      <w:pPr>
        <w:pStyle w:val="0"/>
        <w:ind w:left="224" w:leftChars="100" w:firstLine="214" w:firstLineChars="100"/>
        <w:rPr>
          <w:rFonts w:hint="default"/>
          <w:sz w:val="21"/>
        </w:rPr>
      </w:pPr>
      <w:r>
        <w:rPr>
          <w:rFonts w:hint="eastAsia"/>
          <w:sz w:val="21"/>
        </w:rPr>
        <w:t>本計画の基本理念は、前計画の理念を継承し、障がいの有無にかかわらず、すべての人がともに支え合い、社会参加しながら、地域社会の中でその人らしく暮らしていくことができる「地域共生社会」が実現されるように、次の理念を掲げます。</w:t>
      </w:r>
    </w:p>
    <w:p>
      <w:pPr>
        <w:pStyle w:val="19"/>
        <w:spacing w:line="0" w:lineRule="atLeast"/>
        <w:rPr>
          <w:rFonts w:hint="default"/>
        </w:rPr>
      </w:pPr>
    </w:p>
    <w:p>
      <w:pPr>
        <w:pStyle w:val="19"/>
        <w:spacing w:line="0" w:lineRule="atLeast"/>
        <w:ind w:firstLine="164"/>
        <w:rPr>
          <w:rFonts w:hint="default"/>
          <w:sz w:val="16"/>
        </w:rPr>
      </w:pPr>
      <w:r>
        <w:rPr>
          <w:rFonts w:hint="eastAsia"/>
          <w:sz w:val="16"/>
        </w:rPr>
        <mc:AlternateContent>
          <mc:Choice Requires="wps">
            <w:drawing>
              <wp:anchor distT="0" distB="0" distL="114300" distR="114300" simplePos="0" relativeHeight="259" behindDoc="1" locked="1" layoutInCell="1" hidden="0" allowOverlap="1">
                <wp:simplePos x="0" y="0"/>
                <wp:positionH relativeFrom="column">
                  <wp:posOffset>222885</wp:posOffset>
                </wp:positionH>
                <wp:positionV relativeFrom="paragraph">
                  <wp:posOffset>8255</wp:posOffset>
                </wp:positionV>
                <wp:extent cx="5857875" cy="790575"/>
                <wp:effectExtent l="9525" t="10795" r="101600" b="100330"/>
                <wp:wrapNone/>
                <wp:docPr id="1131" name="角丸四角形 1063"/>
                <a:graphic xmlns:a="http://schemas.openxmlformats.org/drawingml/2006/main">
                  <a:graphicData uri="http://schemas.microsoft.com/office/word/2010/wordprocessingShape">
                    <wps:wsp>
                      <wps:cNvPr id="1131" name="角丸四角形 1063"/>
                      <wps:cNvSpPr>
                        <a:spLocks noChangeArrowheads="1"/>
                      </wps:cNvSpPr>
                      <wps:spPr>
                        <a:xfrm>
                          <a:off x="0" y="0"/>
                          <a:ext cx="5857875" cy="790575"/>
                        </a:xfrm>
                        <a:prstGeom prst="roundRect">
                          <a:avLst>
                            <a:gd name="adj" fmla="val 16667"/>
                          </a:avLst>
                        </a:prstGeom>
                        <a:solidFill>
                          <a:schemeClr val="bg1">
                            <a:lumMod val="85000"/>
                          </a:schemeClr>
                        </a:solidFill>
                        <a:ln w="9525">
                          <a:solidFill>
                            <a:srgbClr val="000000"/>
                          </a:solidFill>
                          <a:round/>
                          <a:headEnd/>
                          <a:tailEnd/>
                        </a:ln>
                        <a:effectLst>
                          <a:outerShdw dist="89803" dir="2700000" algn="ctr" rotWithShape="0">
                            <a:srgbClr val="333333"/>
                          </a:outerShdw>
                        </a:effectLst>
                      </wps:spPr>
                      <wps:bodyPr/>
                    </wps:wsp>
                  </a:graphicData>
                </a:graphic>
              </wp:anchor>
            </w:drawing>
          </mc:Choice>
          <mc:Fallback>
            <w:pict>
              <v:roundrect id="角丸四角形 1063" style="mso-wrap-distance-right:9pt;mso-wrap-distance-bottom:0pt;margin-top:0.65pt;mso-position-vertical-relative:text;mso-position-horizontal-relative:text;position:absolute;height:62.25pt;mso-wrap-distance-top:0pt;width:461.25pt;mso-wrap-distance-left:9pt;margin-left:17.55pt;z-index:-503316221;" o:spid="_x0000_s1131" o:allowincell="t" o:allowoverlap="t" filled="t" fillcolor="#d9d9d9 [2732]" stroked="t" strokecolor="#000000" strokeweight="0.75pt" o:spt="2" arcsize="10923f">
                <v:fill/>
                <v:stroke filltype="solid"/>
                <v:shadow on="t" color="#333333" offset="5pt,5pt" matrix="65536f,,,65536f,,"/>
                <v:textbox style="layout-flow:horizontal;"/>
                <v:imagedata o:title=""/>
                <w10:wrap type="none" anchorx="text" anchory="text"/>
                <w10:anchorlock/>
              </v:roundrect>
            </w:pict>
          </mc:Fallback>
        </mc:AlternateContent>
      </w:r>
    </w:p>
    <w:p>
      <w:pPr>
        <w:pStyle w:val="19"/>
        <w:spacing w:after="70" w:afterLines="20" w:afterAutospacing="0"/>
        <w:ind w:firstLine="0" w:firstLineChars="0"/>
        <w:jc w:val="center"/>
        <w:rPr>
          <w:rFonts w:hint="default" w:ascii="ＭＳ ゴシック" w:hAnsi="ＭＳ ゴシック" w:eastAsia="ＭＳ ゴシック"/>
          <w:sz w:val="27"/>
        </w:rPr>
      </w:pPr>
      <w:r>
        <w:rPr>
          <w:rFonts w:hint="eastAsia" w:ascii="ＭＳ ゴシック" w:hAnsi="ＭＳ ゴシック" w:eastAsia="ＭＳ ゴシック"/>
          <w:sz w:val="27"/>
        </w:rPr>
        <w:t>『“ちむぐくるの支えあい”』</w:t>
      </w:r>
    </w:p>
    <w:p>
      <w:pPr>
        <w:pStyle w:val="19"/>
        <w:spacing w:after="70" w:afterLines="20" w:afterAutospacing="0"/>
        <w:ind w:firstLine="0" w:firstLineChars="0"/>
        <w:jc w:val="center"/>
        <w:rPr>
          <w:rFonts w:hint="default" w:ascii="ＭＳ ゴシック" w:hAnsi="ＭＳ ゴシック" w:eastAsia="ＭＳ ゴシック"/>
          <w:sz w:val="27"/>
        </w:rPr>
      </w:pPr>
      <w:r>
        <w:rPr>
          <w:rFonts w:hint="eastAsia" w:ascii="ＭＳ ゴシック" w:hAnsi="ＭＳ ゴシック" w:eastAsia="ＭＳ ゴシック"/>
          <w:sz w:val="27"/>
        </w:rPr>
        <w:t>～</w:t>
      </w:r>
      <w:r>
        <w:rPr>
          <w:rFonts w:hint="eastAsia" w:ascii="ＭＳ ゴシック" w:hAnsi="ＭＳ ゴシック" w:eastAsia="ＭＳ ゴシック"/>
          <w:sz w:val="27"/>
        </w:rPr>
        <w:t xml:space="preserve"> </w:t>
      </w:r>
      <w:r>
        <w:rPr>
          <w:rFonts w:hint="eastAsia" w:ascii="ＭＳ ゴシック" w:hAnsi="ＭＳ ゴシック" w:eastAsia="ＭＳ ゴシック"/>
          <w:sz w:val="27"/>
        </w:rPr>
        <w:t>ともにつくり、ともにあゆむ、自立と社会参加のまち　南風原</w:t>
      </w:r>
      <w:r>
        <w:rPr>
          <w:rFonts w:hint="eastAsia" w:ascii="ＭＳ ゴシック" w:hAnsi="ＭＳ ゴシック" w:eastAsia="ＭＳ ゴシック"/>
          <w:sz w:val="27"/>
        </w:rPr>
        <w:t xml:space="preserve"> </w:t>
      </w:r>
      <w:r>
        <w:rPr>
          <w:rFonts w:hint="eastAsia" w:ascii="ＭＳ ゴシック" w:hAnsi="ＭＳ ゴシック" w:eastAsia="ＭＳ ゴシック"/>
          <w:sz w:val="27"/>
        </w:rPr>
        <w:t>～</w:t>
      </w:r>
    </w:p>
    <w:p>
      <w:pPr>
        <w:pStyle w:val="19"/>
        <w:spacing w:line="0" w:lineRule="atLeast"/>
        <w:rPr>
          <w:rFonts w:hint="default"/>
        </w:rPr>
      </w:pPr>
    </w:p>
    <w:p>
      <w:pPr>
        <w:pStyle w:val="19"/>
        <w:spacing w:line="0" w:lineRule="atLeast"/>
        <w:ind w:firstLine="164"/>
        <w:rPr>
          <w:rFonts w:hint="default"/>
          <w:sz w:val="16"/>
        </w:rPr>
      </w:pPr>
    </w:p>
    <w:p>
      <w:pPr>
        <w:pStyle w:val="19"/>
        <w:spacing w:line="0" w:lineRule="atLeast"/>
        <w:ind w:firstLine="164"/>
        <w:rPr>
          <w:rFonts w:hint="default"/>
          <w:sz w:val="16"/>
        </w:rPr>
      </w:pPr>
    </w:p>
    <w:p>
      <w:pPr>
        <w:pStyle w:val="0"/>
        <w:ind w:left="224" w:leftChars="100" w:firstLine="214" w:firstLineChars="100"/>
        <w:rPr>
          <w:rFonts w:hint="default"/>
          <w:sz w:val="21"/>
        </w:rPr>
      </w:pPr>
      <w:r>
        <w:rPr>
          <w:rFonts w:hint="eastAsia"/>
          <w:sz w:val="21"/>
        </w:rPr>
        <w:t>障がい者の自立と社会参加を促進するために、地域社会の誰もが｢必要かつ、合理的な配慮｣について考えるとともに、互いに支えあうことで、障がいの有無にかかわらず、誰もが誇りと尊厳を持って、共に暮らせる地域社会の実現を目指すことが重要となります。</w:t>
      </w:r>
    </w:p>
    <w:p>
      <w:pPr>
        <w:pStyle w:val="0"/>
        <w:ind w:left="224" w:leftChars="100" w:firstLine="214" w:firstLineChars="100"/>
        <w:rPr>
          <w:rFonts w:hint="default"/>
          <w:sz w:val="21"/>
        </w:rPr>
      </w:pPr>
      <w:r>
        <w:rPr>
          <w:rFonts w:hint="eastAsia"/>
          <w:sz w:val="21"/>
        </w:rPr>
        <w:t>その観点から、本計画では共生社会、自立支援を基底とした、本町の目指すべき姿を｢“ちむぐくるの支えあい”～ともにつくり、ともにあゆむ、自立と社会参加のまち　南風原～｣とします。</w:t>
      </w:r>
    </w:p>
    <w:p>
      <w:pPr>
        <w:pStyle w:val="19"/>
        <w:spacing w:line="0" w:lineRule="atLeast"/>
        <w:ind w:firstLine="164"/>
        <w:rPr>
          <w:rFonts w:hint="default"/>
          <w:sz w:val="16"/>
        </w:rPr>
      </w:pPr>
    </w:p>
    <w:p>
      <w:pPr>
        <w:pStyle w:val="19"/>
        <w:ind w:left="560" w:leftChars="250"/>
        <w:rPr>
          <w:rFonts w:hint="default"/>
        </w:rPr>
      </w:pPr>
      <w:r>
        <w:rPr>
          <w:rFonts w:hint="default"/>
        </w:rPr>
        <mc:AlternateContent>
          <mc:Choice Requires="wpg">
            <w:drawing>
              <wp:anchor distT="0" distB="0" distL="114300" distR="114300" simplePos="0" relativeHeight="123" behindDoc="0" locked="0" layoutInCell="1" hidden="0" allowOverlap="1">
                <wp:simplePos x="0" y="0"/>
                <wp:positionH relativeFrom="column">
                  <wp:posOffset>318135</wp:posOffset>
                </wp:positionH>
                <wp:positionV relativeFrom="paragraph">
                  <wp:posOffset>10160</wp:posOffset>
                </wp:positionV>
                <wp:extent cx="5829300" cy="1000125"/>
                <wp:effectExtent l="635" t="0" r="29845" b="10795"/>
                <wp:wrapNone/>
                <wp:docPr id="1132" name="グループ化 405"/>
                <a:graphic xmlns:a="http://schemas.openxmlformats.org/drawingml/2006/main">
                  <a:graphicData uri="http://schemas.microsoft.com/office/word/2010/wordprocessingGroup">
                    <wpg:wgp>
                      <wpg:cNvGrpSpPr/>
                      <wpg:grpSpPr>
                        <a:xfrm>
                          <a:off x="0" y="0"/>
                          <a:ext cx="5829300" cy="1000125"/>
                          <a:chOff x="0" y="0"/>
                          <a:chExt cx="5829300" cy="1085850"/>
                        </a:xfrm>
                      </wpg:grpSpPr>
                      <wps:wsp>
                        <wps:cNvPr id="1133" name="テキスト ボックス 404"/>
                        <wps:cNvSpPr txBox="1"/>
                        <wps:spPr>
                          <a:xfrm>
                            <a:off x="0" y="133350"/>
                            <a:ext cx="5829300" cy="952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19"/>
                                <w:spacing w:before="175" w:beforeLines="50" w:beforeAutospacing="0" w:line="340" w:lineRule="exact"/>
                                <w:ind w:left="112" w:leftChars="50" w:firstLine="97" w:firstLineChars="50"/>
                                <w:rPr>
                                  <w:rFonts w:hint="default" w:ascii="ＭＳ ゴシック" w:hAnsi="ＭＳ ゴシック" w:eastAsia="ＭＳ ゴシック"/>
                                  <w:sz w:val="19"/>
                                </w:rPr>
                              </w:pPr>
                              <w:r>
                                <w:rPr>
                                  <w:rFonts w:hint="eastAsia" w:ascii="ＭＳ ゴシック" w:hAnsi="ＭＳ ゴシック" w:eastAsia="ＭＳ ゴシック"/>
                                  <w:sz w:val="19"/>
                                </w:rPr>
                                <w:t>“ちむぐくる”とは、沖縄の方言で｢人の心に宿る、より深い思い｣を指すと言われていますが、人によって解釈が多少異なります。本計画では、｢思いやり、優しさ、助け合いの精神、他者の苦しみを共有することのできる心｣などを表す言葉として使います。</w:t>
                              </w:r>
                            </w:p>
                            <w:p>
                              <w:pPr>
                                <w:pStyle w:val="0"/>
                                <w:spacing w:before="175" w:beforeLines="50" w:beforeAutospacing="0"/>
                                <w:rPr>
                                  <w:rFonts w:hint="default"/>
                                </w:rPr>
                              </w:pPr>
                            </w:p>
                          </w:txbxContent>
                        </wps:txbx>
                        <wps:bodyPr rot="0" vertOverflow="overflow" horzOverflow="overflow" wrap="square" numCol="1" spcCol="0" rtlCol="0" fromWordArt="0" anchor="t" anchorCtr="0" forceAA="0" compatLnSpc="1"/>
                      </wps:wsp>
                      <wps:wsp>
                        <wps:cNvPr id="1134" name="テキスト ボックス 402"/>
                        <wps:cNvSpPr txBox="1"/>
                        <wps:spPr>
                          <a:xfrm>
                            <a:off x="38100" y="0"/>
                            <a:ext cx="1562100" cy="295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9"/>
                                <w:spacing w:line="0" w:lineRule="atLeast"/>
                                <w:ind w:left="-112" w:leftChars="-50" w:firstLine="0" w:firstLineChars="0"/>
                                <w:rPr>
                                  <w:rFonts w:hint="default" w:ascii="ＭＳ ゴシック" w:hAnsi="ＭＳ ゴシック" w:eastAsia="ＭＳ ゴシック"/>
                                </w:rPr>
                              </w:pPr>
                              <w:r>
                                <w:rPr>
                                  <w:rFonts w:hint="eastAsia" w:ascii="ＭＳ ゴシック" w:hAnsi="ＭＳ ゴシック" w:eastAsia="ＭＳ ゴシック"/>
                                </w:rPr>
                                <w:t>「ちむぐくる」とは</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405" style="mso-wrap-distance-right:9pt;mso-wrap-distance-bottom:0pt;margin-top:0.8pt;mso-position-vertical-relative:text;mso-position-horizontal-relative:text;position:absolute;height:78.75pt;mso-wrap-distance-top:0pt;width:459pt;mso-wrap-distance-left:9pt;margin-left:25.05pt;z-index:123;" coordsize="5829300,1085850" coordorigin="0,0" o:spid="_x0000_s1132" o:allowincell="t" o:allowoverlap="t">
                <v:shapetype id="_x0000_t202" coordsize="21600,21600" o:spt="202" path="m,l,21600r21600,l21600,xe">
                  <v:stroke joinstyle="miter"/>
                  <v:path gradientshapeok="t" o:connecttype="rect"/>
                </v:shapetype>
                <v:shape id="テキスト ボックス 404" style="height:952790;width:5829300;top:133350;left:0;position:absolute;" o:spid="_x0000_s1133" filled="t" fillcolor="#ffffff [3201]" stroked="t" strokecolor="#000000" strokeweight="0.5pt" o:spt="202" type="#_x0000_t202">
                  <v:fill/>
                  <v:stroke filltype="solid"/>
                  <v:textbox style="layout-flow:horizontal;">
                    <w:txbxContent>
                      <w:p>
                        <w:pPr>
                          <w:pStyle w:val="19"/>
                          <w:spacing w:before="175" w:beforeLines="50" w:beforeAutospacing="0" w:line="340" w:lineRule="exact"/>
                          <w:ind w:left="112" w:leftChars="50" w:firstLine="97" w:firstLineChars="50"/>
                          <w:rPr>
                            <w:rFonts w:hint="default" w:ascii="ＭＳ ゴシック" w:hAnsi="ＭＳ ゴシック" w:eastAsia="ＭＳ ゴシック"/>
                            <w:sz w:val="19"/>
                          </w:rPr>
                        </w:pPr>
                        <w:r>
                          <w:rPr>
                            <w:rFonts w:hint="eastAsia" w:ascii="ＭＳ ゴシック" w:hAnsi="ＭＳ ゴシック" w:eastAsia="ＭＳ ゴシック"/>
                            <w:sz w:val="19"/>
                          </w:rPr>
                          <w:t>“ちむぐくる”とは、沖縄の方言で｢人の心に宿る、より深い思い｣を指すと言われていますが、人によって解釈が多少異なります。本計画では、｢思いやり、優しさ、助け合いの精神、他者の苦しみを共有することのできる心｣などを表す言葉として使います。</w:t>
                        </w:r>
                      </w:p>
                      <w:p>
                        <w:pPr>
                          <w:pStyle w:val="0"/>
                          <w:spacing w:before="175" w:beforeLines="50" w:beforeAutospacing="0"/>
                          <w:rPr>
                            <w:rFonts w:hint="default"/>
                          </w:rPr>
                        </w:pPr>
                      </w:p>
                    </w:txbxContent>
                  </v:textbox>
                  <v:imagedata o:title=""/>
                  <w10:wrap type="none" anchorx="text" anchory="text"/>
                </v:shape>
                <v:shape id="テキスト ボックス 402" style="height:295075;width:1562100;top:0;left:38100;v-text-anchor:middle;position:absolute;" o:spid="_x0000_s1134" filled="t" fillcolor="#ffffff [3201]" stroked="f" strokeweight="0.5pt" o:spt="202" type="#_x0000_t202">
                  <v:fill/>
                  <v:textbox style="layout-flow:horizontal;">
                    <w:txbxContent>
                      <w:p>
                        <w:pPr>
                          <w:pStyle w:val="19"/>
                          <w:spacing w:line="0" w:lineRule="atLeast"/>
                          <w:ind w:left="-112" w:leftChars="-50" w:firstLine="0" w:firstLineChars="0"/>
                          <w:rPr>
                            <w:rFonts w:hint="default" w:ascii="ＭＳ ゴシック" w:hAnsi="ＭＳ ゴシック" w:eastAsia="ＭＳ ゴシック"/>
                          </w:rPr>
                        </w:pPr>
                        <w:r>
                          <w:rPr>
                            <w:rFonts w:hint="eastAsia" w:ascii="ＭＳ ゴシック" w:hAnsi="ＭＳ ゴシック" w:eastAsia="ＭＳ ゴシック"/>
                          </w:rPr>
                          <w:t>「ちむぐくる」とは</w:t>
                        </w:r>
                      </w:p>
                    </w:txbxContent>
                  </v:textbox>
                  <v:imagedata o:title=""/>
                  <w10:wrap type="none" anchorx="text" anchory="text"/>
                </v:shape>
                <w10:wrap type="none" anchorx="text" anchory="text"/>
              </v:group>
            </w:pict>
          </mc:Fallback>
        </mc:AlternateContent>
      </w:r>
    </w:p>
    <w:p>
      <w:pPr>
        <w:pStyle w:val="19"/>
        <w:spacing w:line="0" w:lineRule="atLeast"/>
        <w:ind w:firstLine="164"/>
        <w:rPr>
          <w:rFonts w:hint="default"/>
          <w:sz w:val="16"/>
        </w:rPr>
      </w:pPr>
    </w:p>
    <w:p>
      <w:pPr>
        <w:pStyle w:val="19"/>
        <w:spacing w:line="0" w:lineRule="atLeast"/>
        <w:rPr>
          <w:rFonts w:hint="default"/>
        </w:rPr>
      </w:pPr>
    </w:p>
    <w:p>
      <w:pPr>
        <w:pStyle w:val="19"/>
        <w:spacing w:line="0" w:lineRule="atLeast"/>
        <w:rPr>
          <w:rFonts w:hint="default"/>
        </w:rPr>
      </w:pPr>
    </w:p>
    <w:p>
      <w:pPr>
        <w:pStyle w:val="19"/>
        <w:spacing w:line="0" w:lineRule="atLeast"/>
        <w:rPr>
          <w:rFonts w:hint="default"/>
        </w:rPr>
      </w:pPr>
    </w:p>
    <w:p>
      <w:pPr>
        <w:pStyle w:val="19"/>
        <w:spacing w:line="0" w:lineRule="atLeast"/>
        <w:rPr>
          <w:rFonts w:hint="default"/>
        </w:rPr>
      </w:pPr>
    </w:p>
    <w:p>
      <w:pPr>
        <w:pStyle w:val="19"/>
        <w:spacing w:line="0" w:lineRule="atLeast"/>
        <w:ind w:firstLine="184"/>
        <w:rPr>
          <w:rFonts w:hint="default"/>
          <w:sz w:val="18"/>
        </w:rPr>
      </w:pPr>
    </w:p>
    <w:p>
      <w:pPr>
        <w:pStyle w:val="19"/>
        <w:ind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&gt;&gt;</w:t>
      </w:r>
      <w:r>
        <w:rPr>
          <w:rFonts w:hint="eastAsia" w:ascii="ＭＳ ゴシック" w:hAnsi="ＭＳ ゴシック" w:eastAsia="ＭＳ ゴシック"/>
          <w:sz w:val="24"/>
        </w:rPr>
        <w:t>　支えあい　</w:t>
      </w:r>
      <w:r>
        <w:rPr>
          <w:rFonts w:hint="eastAsia" w:ascii="ＭＳ ゴシック" w:hAnsi="ＭＳ ゴシック" w:eastAsia="ＭＳ ゴシック"/>
          <w:sz w:val="24"/>
        </w:rPr>
        <w:t>&lt;&lt;</w:t>
      </w:r>
    </w:p>
    <w:p>
      <w:pPr>
        <w:pStyle w:val="19"/>
        <w:spacing w:line="340" w:lineRule="exact"/>
        <w:ind w:left="560" w:leftChars="250"/>
        <w:rPr>
          <w:rFonts w:hint="default"/>
        </w:rPr>
      </w:pPr>
      <w:r>
        <w:rPr>
          <w:rFonts w:hint="eastAsia"/>
        </w:rPr>
        <w:t>地域住民が、障がいをもつことは誰にでも起こり得ることであると受け止め、地域のみんなで支え合い、障がい者が暮らしやすい社会の実現を目指します。また、障がいの有無にかかわらず、互いに支え合うことにより、誰もが心豊かに暮らせるまちづくりを推進します。</w:t>
      </w:r>
    </w:p>
    <w:p>
      <w:pPr>
        <w:pStyle w:val="19"/>
        <w:spacing w:line="0" w:lineRule="atLeast"/>
        <w:ind w:firstLine="184"/>
        <w:rPr>
          <w:rFonts w:hint="default"/>
          <w:sz w:val="18"/>
        </w:rPr>
      </w:pPr>
    </w:p>
    <w:p>
      <w:pPr>
        <w:pStyle w:val="19"/>
        <w:ind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&gt;&gt;</w:t>
      </w:r>
      <w:r>
        <w:rPr>
          <w:rFonts w:hint="eastAsia" w:ascii="ＭＳ ゴシック" w:hAnsi="ＭＳ ゴシック" w:eastAsia="ＭＳ ゴシック"/>
          <w:sz w:val="24"/>
        </w:rPr>
        <w:t>　自立と社会参加　</w:t>
      </w:r>
      <w:r>
        <w:rPr>
          <w:rFonts w:hint="eastAsia" w:ascii="ＭＳ ゴシック" w:hAnsi="ＭＳ ゴシック" w:eastAsia="ＭＳ ゴシック"/>
          <w:sz w:val="24"/>
        </w:rPr>
        <w:t>&lt;&lt;</w:t>
      </w:r>
    </w:p>
    <w:p>
      <w:pPr>
        <w:pStyle w:val="0"/>
        <w:ind w:left="448" w:leftChars="200" w:firstLine="224" w:firstLineChars="100"/>
        <w:rPr>
          <w:rFonts w:hint="default"/>
        </w:rPr>
      </w:pPr>
      <w:r>
        <w:rPr>
          <w:rFonts w:hint="eastAsia"/>
        </w:rPr>
        <w:t>障がい者の自己選択と自己決定に基づく主体的な生き方を尊重し、基本的な人権が守られ、等しく社会活動に参加できるまちづくりを推進します。</w:t>
      </w:r>
      <w:r>
        <w:rPr>
          <w:rFonts w:hint="default"/>
        </w:rPr>
        <w:br w:type="page"/>
      </w:r>
    </w:p>
    <w:p>
      <w:pPr>
        <w:pStyle w:val="23"/>
        <w:rPr>
          <w:rFonts w:hint="default"/>
        </w:rPr>
      </w:pPr>
      <w:bookmarkStart w:id="27" w:name="_Toc158300406"/>
      <w:bookmarkStart w:id="28" w:name="_Toc416340554"/>
      <w:bookmarkStart w:id="29" w:name="_Toc505592285"/>
      <w:r>
        <w:rPr>
          <w:rFonts w:hint="eastAsia"/>
        </w:rPr>
        <w:t>２．基本目標</w:t>
      </w:r>
      <w:bookmarkEnd w:id="27"/>
      <w:bookmarkEnd w:id="28"/>
      <w:bookmarkEnd w:id="29"/>
    </w:p>
    <w:p>
      <w:pPr>
        <w:pStyle w:val="0"/>
        <w:ind w:left="224" w:leftChars="100" w:firstLine="210" w:firstLineChars="100"/>
        <w:rPr>
          <w:rFonts w:hint="default"/>
          <w:spacing w:val="-2"/>
          <w:sz w:val="21"/>
        </w:rPr>
      </w:pPr>
      <w:r>
        <w:rPr>
          <w:rFonts w:hint="eastAsia"/>
          <w:spacing w:val="-2"/>
          <w:sz w:val="21"/>
        </w:rPr>
        <w:t>基本理念に基づき、次の３つの基本目標を定め、基本目標に沿って施策・事業を推進していきます。</w:t>
      </w:r>
    </w:p>
    <w:p>
      <w:pPr>
        <w:pStyle w:val="0"/>
        <w:ind w:left="448" w:leftChars="200" w:firstLine="214" w:firstLineChars="100"/>
        <w:rPr>
          <w:rFonts w:hint="default"/>
          <w:sz w:val="21"/>
        </w:rPr>
      </w:pPr>
    </w:p>
    <w:p>
      <w:pPr>
        <w:pStyle w:val="19"/>
        <w:spacing w:after="87" w:afterLines="25" w:afterAutospacing="0"/>
        <w:ind w:left="224" w:leftChars="10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１）安心して共に暮らせるまち</w:t>
      </w:r>
    </w:p>
    <w:p>
      <w:pPr>
        <w:pStyle w:val="19"/>
        <w:ind w:left="448" w:leftChars="200"/>
        <w:rPr>
          <w:rFonts w:hint="default"/>
          <w:spacing w:val="-2"/>
        </w:rPr>
      </w:pPr>
      <w:r>
        <w:rPr>
          <w:rFonts w:hint="eastAsia"/>
        </w:rPr>
        <w:t>障がいの有無にかかわらず共に暮らせる「地域共生社会の実現」に向けて、障がい者が安心して暮らせる地域づくりを進めるために、障がいや障がい者への地域理解を深めるとともに、障がい者差別解消法に基づき、障がい者への差別をなくすための法の主旨や</w:t>
      </w:r>
      <w:r>
        <w:rPr>
          <w:rFonts w:hint="eastAsia"/>
          <w:vertAlign w:val="superscript"/>
        </w:rPr>
        <w:t>※</w:t>
      </w:r>
      <w:r>
        <w:rPr>
          <w:rFonts w:hint="eastAsia"/>
        </w:rPr>
        <w:t>合理的配慮の提供について、普及啓発を図ります。また、障がい者の権利擁護・虐待の防止に取り組むほか、情報提供、意思疎通支援の充実及び、世帯が抱えている困りごとに対して包括的に支援する相談支援体制づくりを図ります。</w:t>
      </w:r>
    </w:p>
    <w:p>
      <w:pPr>
        <w:pStyle w:val="19"/>
        <w:ind w:left="448" w:leftChars="200"/>
        <w:rPr>
          <w:rFonts w:hint="default"/>
          <w:u w:val="single" w:color="auto"/>
        </w:rPr>
      </w:pPr>
      <w:r>
        <w:rPr>
          <w:rFonts w:hint="eastAsia"/>
        </w:rPr>
        <w:t>保育や教育分野においては、障がいのある子や発達の気になる子、一人ひとりが自らの能力に応じて自分らしく安心して保育・教育が受けられるよう、子どもの個性を理解し、適切な支援を行う事ができるように特別支援保育、特別支援教育を推進します。また、保育・教育にかかわる人の資質向上を図るとともに、関係機関の連携を強化し、正しい理解のもと適切な支援が行えるよう取り組みます。</w:t>
      </w:r>
    </w:p>
    <w:p>
      <w:pPr>
        <w:pStyle w:val="19"/>
        <w:ind w:left="448" w:leftChars="200"/>
        <w:rPr>
          <w:rFonts w:hint="default"/>
        </w:rPr>
      </w:pPr>
      <w:r>
        <w:rPr>
          <w:rFonts w:hint="eastAsia"/>
        </w:rPr>
        <w:t>さらに、犯罪被害や災害時に対する障がい者の不安軽減を図るために、防犯対策や防災対策の充実及び感染症拡大防止対策を徹底します。</w:t>
      </w:r>
    </w:p>
    <w:p>
      <w:pPr>
        <w:pStyle w:val="19"/>
        <w:ind w:left="448" w:leftChars="200"/>
        <w:rPr>
          <w:rFonts w:hint="default"/>
        </w:rPr>
      </w:pPr>
    </w:p>
    <w:p>
      <w:pPr>
        <w:pStyle w:val="19"/>
        <w:spacing w:after="87" w:afterLines="25" w:afterAutospacing="0"/>
        <w:ind w:left="224" w:leftChars="10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２）健やかで自立を支えるまち</w:t>
      </w:r>
    </w:p>
    <w:p>
      <w:pPr>
        <w:pStyle w:val="19"/>
        <w:ind w:left="448" w:leftChars="200"/>
        <w:rPr>
          <w:rFonts w:hint="default"/>
        </w:rPr>
      </w:pPr>
      <w:r>
        <w:rPr>
          <w:rFonts w:hint="eastAsia"/>
        </w:rPr>
        <w:t>乳幼児の障がいや発達の遅れなどを早期に発見し、早期療育を行うことは大切であり、児童発達支援と療育体制づくり及び疾病予防を図るなど、保健・医療対策の充実を図る必要があります。そのため、一人ひとりのライフステージを通して、疾病等による障がいの発生を予防することや早期の治療・療育等につないでいくために、関係機関等との連携を深め、母子保健事業や生活習慣病等の疾病予防対策及び精神保健福祉の充実を図ります。</w:t>
      </w:r>
    </w:p>
    <w:p>
      <w:pPr>
        <w:pStyle w:val="19"/>
        <w:ind w:left="448" w:leftChars="200"/>
        <w:rPr>
          <w:rFonts w:hint="default"/>
          <w:spacing w:val="-2"/>
        </w:rPr>
      </w:pPr>
      <w:r>
        <w:rPr>
          <w:rFonts w:hint="default"/>
        </w:rPr>
        <w:t>また、</w:t>
      </w:r>
      <w:r>
        <w:rPr>
          <w:rFonts w:hint="eastAsia"/>
        </w:rPr>
        <w:t>日常生活において、</w:t>
      </w:r>
      <w:r>
        <w:rPr>
          <w:rFonts w:hint="default"/>
        </w:rPr>
        <w:t>自立し</w:t>
      </w:r>
      <w:r>
        <w:rPr>
          <w:rFonts w:hint="eastAsia"/>
        </w:rPr>
        <w:t>ていくために、</w:t>
      </w:r>
      <w:r>
        <w:rPr>
          <w:rFonts w:hint="default"/>
        </w:rPr>
        <w:t>障害福祉サービスや地域生活支援事業及び障害児通所支援等の</w:t>
      </w:r>
      <w:r>
        <w:rPr>
          <w:rFonts w:hint="eastAsia"/>
        </w:rPr>
        <w:t>サービス提供の</w:t>
      </w:r>
      <w:r>
        <w:rPr>
          <w:rFonts w:hint="default"/>
        </w:rPr>
        <w:t>充実に取り組みます。さらに、</w:t>
      </w:r>
      <w:r>
        <w:rPr>
          <w:rFonts w:hint="eastAsia"/>
          <w:spacing w:val="-2"/>
        </w:rPr>
        <w:t>医療費助成や手当等の支給により、経済的な負担を軽減するほか、その他の生活支援を提供します。</w:t>
      </w:r>
    </w:p>
    <w:p>
      <w:pPr>
        <w:pStyle w:val="19"/>
        <w:ind w:left="448" w:leftChars="200"/>
        <w:rPr>
          <w:rFonts w:hint="default"/>
        </w:rPr>
      </w:pPr>
    </w:p>
    <w:p>
      <w:pPr>
        <w:pStyle w:val="19"/>
        <w:spacing w:after="87" w:afterLines="25" w:afterAutospacing="0"/>
        <w:ind w:left="224" w:leftChars="10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３）住み良い環境と生きがいの持てるまち</w:t>
      </w:r>
    </w:p>
    <w:p>
      <w:pPr>
        <w:pStyle w:val="19"/>
        <w:ind w:left="448" w:leftChars="200" w:firstLine="210"/>
        <w:rPr>
          <w:rFonts w:hint="default"/>
        </w:rPr>
      </w:pPr>
      <w:r>
        <w:rPr>
          <w:rFonts w:hint="eastAsia"/>
          <w:spacing w:val="-2"/>
        </w:rPr>
        <w:t>障がい者が自由に外出し社会参加が進むよう、円滑な移動や外出しやすい環境づくり及び外出・移動に対する支援を提供します。また、</w:t>
      </w:r>
      <w:r>
        <w:rPr>
          <w:rFonts w:hint="eastAsia"/>
        </w:rPr>
        <w:t>障がい者が生きがいを持ち充実した生活が送れるよう、生活を豊かにするスポーツやサークル活動及び文化活動等の振興を図るほか、働く意欲のある障がい者の適性と能力に応じた就労支援を行います。</w:t>
      </w:r>
    </w:p>
    <w:p>
      <w:pPr>
        <w:pStyle w:val="0"/>
        <w:spacing w:line="0" w:lineRule="atLeast"/>
        <w:rPr>
          <w:rFonts w:hint="default"/>
          <w:sz w:val="20"/>
        </w:rPr>
      </w:pPr>
    </w:p>
    <w:p>
      <w:pPr>
        <w:pStyle w:val="0"/>
        <w:spacing w:line="0" w:lineRule="atLeast"/>
        <w:rPr>
          <w:rFonts w:hint="default"/>
          <w:sz w:val="14"/>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86"/>
              <w:spacing w:before="74" w:beforeLines="0" w:beforeAutospacing="0"/>
              <w:rPr>
                <w:rFonts w:hint="default"/>
                <w:color w:val="auto"/>
              </w:rPr>
            </w:pPr>
            <w:r>
              <w:rPr>
                <w:rFonts w:hint="eastAsia"/>
                <w:color w:val="auto"/>
              </w:rPr>
              <w:t>※</w:t>
            </w:r>
            <w:r>
              <w:rPr>
                <w:rFonts w:hint="eastAsia"/>
                <w:color w:val="auto"/>
              </w:rPr>
              <w:t xml:space="preserve"> </w:t>
            </w:r>
            <w:r>
              <w:rPr>
                <w:rFonts w:hint="eastAsia"/>
                <w:color w:val="auto"/>
              </w:rPr>
              <w:t>合理的配慮</w:t>
            </w:r>
          </w:p>
          <w:p>
            <w:pPr>
              <w:pStyle w:val="85"/>
              <w:ind w:left="448" w:firstLine="204"/>
              <w:rPr>
                <w:rFonts w:hint="default"/>
                <w:color w:val="auto"/>
              </w:rPr>
            </w:pPr>
            <w:r>
              <w:rPr>
                <w:rFonts w:hint="eastAsia"/>
                <w:color w:val="auto"/>
              </w:rPr>
              <w:t>障がいのある人が日常生活や社会生活を送る上で妨げとなる社会的障壁を取り除くために、状況に応じて行われる配慮。筆談や読み上げによる意志の疎通、車いすでの移動の手助け、学校・公共施設等のバリアフリーなど、過度の負担にならない範囲で提供されるべきものをいいます。</w:t>
            </w:r>
          </w:p>
        </w:tc>
      </w:tr>
    </w:tbl>
    <w:p>
      <w:pPr>
        <w:pStyle w:val="23"/>
        <w:rPr>
          <w:rFonts w:hint="default"/>
        </w:rPr>
      </w:pPr>
      <w:bookmarkStart w:id="30" w:name="_Toc158300407"/>
      <w:bookmarkStart w:id="31" w:name="_Toc505592286"/>
      <w:r>
        <w:rPr>
          <w:rFonts w:hint="eastAsia"/>
        </w:rPr>
        <w:t>３．計画の基本的視点</w:t>
      </w:r>
      <w:bookmarkEnd w:id="30"/>
      <w:bookmarkEnd w:id="31"/>
    </w:p>
    <w:p>
      <w:pPr>
        <w:pStyle w:val="0"/>
        <w:ind w:left="224" w:leftChars="100" w:firstLine="210" w:firstLineChars="100"/>
        <w:rPr>
          <w:rFonts w:hint="default"/>
          <w:spacing w:val="-2"/>
          <w:sz w:val="21"/>
        </w:rPr>
      </w:pPr>
      <w:r>
        <w:rPr>
          <w:rFonts w:hint="eastAsia"/>
          <w:spacing w:val="-2"/>
          <w:sz w:val="21"/>
        </w:rPr>
        <w:t>本計画の策定並びに実施にあたっては、次の視点を基本とします。</w:t>
      </w:r>
    </w:p>
    <w:p>
      <w:pPr>
        <w:pStyle w:val="0"/>
        <w:ind w:left="448" w:leftChars="200" w:firstLine="214" w:firstLineChars="100"/>
        <w:rPr>
          <w:rFonts w:hint="default"/>
          <w:sz w:val="21"/>
        </w:rPr>
      </w:pPr>
    </w:p>
    <w:p>
      <w:pPr>
        <w:pStyle w:val="19"/>
        <w:spacing w:after="87" w:afterLines="25" w:afterAutospacing="0"/>
        <w:ind w:left="224" w:leftChars="10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１）障がい者の自己決定の尊重及び意思決定の支援</w:t>
      </w:r>
    </w:p>
    <w:p>
      <w:pPr>
        <w:pStyle w:val="19"/>
        <w:ind w:left="662" w:leftChars="200" w:hanging="214" w:hangingChars="100"/>
        <w:rPr>
          <w:rFonts w:hint="default"/>
        </w:rPr>
      </w:pPr>
      <w:r>
        <w:rPr>
          <w:rFonts w:hint="eastAsia"/>
        </w:rPr>
        <w:t>◯「</w:t>
      </w:r>
      <w:r>
        <w:rPr>
          <w:rFonts w:hint="eastAsia"/>
          <w:vertAlign w:val="superscript"/>
        </w:rPr>
        <w:t>※</w:t>
      </w:r>
      <w:r>
        <w:rPr>
          <w:rFonts w:hint="eastAsia"/>
        </w:rPr>
        <w:t>障害者の権利に関する条約」は「私たちのことを、私たち抜きに決めないで」の考え方のもとで作成され、我が国では平成</w:t>
      </w:r>
      <w:r>
        <w:rPr>
          <w:rFonts w:hint="default"/>
        </w:rPr>
        <w:t>29</w:t>
      </w:r>
      <w:r>
        <w:rPr>
          <w:rFonts w:hint="eastAsia"/>
        </w:rPr>
        <w:t>年３月に、意思決定支援の定義や意義、標準的なプロセス、留意点をまとめた「意思決定支援ガイドライン」が厚生労働省から公表されました。沖縄県では、令和２年２月に「現場職員のための意思決定支援対応例」が策定されています。</w:t>
      </w:r>
    </w:p>
    <w:p>
      <w:pPr>
        <w:pStyle w:val="19"/>
        <w:ind w:left="662" w:leftChars="200" w:hanging="214" w:hangingChars="100"/>
        <w:rPr>
          <w:rFonts w:hint="default"/>
        </w:rPr>
      </w:pPr>
      <w:r>
        <w:rPr>
          <w:rFonts w:hint="eastAsia"/>
        </w:rPr>
        <w:t>○こうしたことを踏まえ</w:t>
      </w:r>
      <w:r>
        <w:rPr>
          <w:rFonts w:hint="eastAsia" w:ascii="ＭＳ明朝" w:hAnsi="ＭＳ明朝" w:eastAsia="ＭＳ明朝"/>
          <w:kern w:val="0"/>
        </w:rPr>
        <w:t>、</w:t>
      </w:r>
      <w:r>
        <w:rPr>
          <w:rFonts w:hint="eastAsia"/>
        </w:rPr>
        <w:t>障がい者の自立や社会参加は、障がい者自らが決定することを尊重し、そのための必要な支援が受けられる地域づくりを進めるために、障がい者施策の策定及び実施に当たっては、障がい者及び障がい者の家族等の関係者の意見を聴き、その意見を尊重します。</w:t>
      </w:r>
    </w:p>
    <w:p>
      <w:pPr>
        <w:pStyle w:val="19"/>
        <w:ind w:left="662" w:leftChars="200" w:hanging="214" w:hangingChars="100"/>
        <w:rPr>
          <w:rFonts w:hint="default"/>
        </w:rPr>
      </w:pPr>
      <w:r>
        <w:rPr>
          <w:rFonts w:hint="eastAsia"/>
        </w:rPr>
        <w:t>◯また、自ら意思を決定・表明することが困難な障がい者が、意思決定できるよう、意思疎通支援やわかりやすい情報提供、本人の自己決定が尊重される相談支援体制の構築を進めます。</w:t>
      </w:r>
    </w:p>
    <w:p>
      <w:pPr>
        <w:pStyle w:val="19"/>
        <w:ind w:left="662" w:leftChars="200" w:hanging="214" w:hangingChars="100"/>
        <w:rPr>
          <w:rFonts w:hint="default"/>
        </w:rPr>
      </w:pPr>
    </w:p>
    <w:p>
      <w:pPr>
        <w:pStyle w:val="19"/>
        <w:spacing w:after="87" w:afterLines="25" w:afterAutospacing="0"/>
        <w:ind w:left="224" w:leftChars="10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２）当事者本位の総合的かつ分野横断的な支援</w:t>
      </w:r>
    </w:p>
    <w:p>
      <w:pPr>
        <w:pStyle w:val="19"/>
        <w:ind w:left="662" w:leftChars="200" w:hanging="214" w:hangingChars="100"/>
        <w:rPr>
          <w:rFonts w:hint="default"/>
          <w:spacing w:val="-2"/>
        </w:rPr>
      </w:pPr>
      <w:r>
        <w:rPr>
          <w:rFonts w:hint="eastAsia"/>
        </w:rPr>
        <w:t>◯</w:t>
      </w:r>
      <w:r>
        <w:rPr>
          <w:rFonts w:hint="eastAsia"/>
          <w:spacing w:val="-2"/>
        </w:rPr>
        <w:t>障がい者が人生における全段階</w:t>
      </w:r>
      <w:r>
        <w:rPr>
          <w:rFonts w:hint="eastAsia"/>
          <w:spacing w:val="-2"/>
        </w:rPr>
        <w:t>(</w:t>
      </w:r>
      <w:r>
        <w:rPr>
          <w:rFonts w:hint="eastAsia"/>
          <w:spacing w:val="-2"/>
        </w:rPr>
        <w:t>ライフステージ</w:t>
      </w:r>
      <w:r>
        <w:rPr>
          <w:rFonts w:hint="eastAsia"/>
          <w:spacing w:val="-2"/>
        </w:rPr>
        <w:t>)</w:t>
      </w:r>
      <w:r>
        <w:rPr>
          <w:rFonts w:hint="eastAsia"/>
          <w:spacing w:val="-2"/>
        </w:rPr>
        <w:t>を通じて適切な支援を受けられるよう、保健・福祉・医療のほか、教育、文化芸術、スポーツ、就労、生活環境等の各分野の有機的な連携を図るとともに、各分野の枠にとらわれない分野横断的な対応による障がい者施策を総合的に展開し、切れ目のない支援を行います。</w:t>
      </w:r>
    </w:p>
    <w:p>
      <w:pPr>
        <w:pStyle w:val="19"/>
        <w:ind w:left="662" w:leftChars="200" w:hanging="214" w:hangingChars="100"/>
        <w:rPr>
          <w:rFonts w:hint="default"/>
        </w:rPr>
      </w:pPr>
      <w:r>
        <w:rPr>
          <w:rFonts w:hint="eastAsia"/>
        </w:rPr>
        <w:t>◯支援にあたっては、障がい者が日常生活又は社会生活で直面する困難に着目して講じられる必要があるとする一方で、障がい者の支援は障がい者が直面するその時々の困難の解消だけに着目するのではなく、障がい者の自立と社会参加の支援という観点に立って行われる必要があることに留意します。</w:t>
      </w:r>
    </w:p>
    <w:p>
      <w:pPr>
        <w:pStyle w:val="19"/>
        <w:ind w:left="662" w:leftChars="200" w:hanging="214" w:hangingChars="100"/>
        <w:rPr>
          <w:rFonts w:hint="default"/>
        </w:rPr>
      </w:pPr>
    </w:p>
    <w:p>
      <w:pPr>
        <w:pStyle w:val="19"/>
        <w:spacing w:after="87" w:afterLines="25" w:afterAutospacing="0"/>
        <w:ind w:left="224" w:leftChars="10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３）障がい特性等に配慮したきめ細かい支援</w:t>
      </w:r>
    </w:p>
    <w:p>
      <w:pPr>
        <w:pStyle w:val="19"/>
        <w:ind w:left="662" w:leftChars="200" w:hanging="214" w:hangingChars="100"/>
        <w:rPr>
          <w:rFonts w:hint="default"/>
        </w:rPr>
      </w:pPr>
      <w:r>
        <w:rPr>
          <w:rFonts w:hint="eastAsia"/>
        </w:rPr>
        <w:t>◯障がい者施策は、障がい者の性別、年齢、障がいの特性及び生活の実態等に応じた個別的な支援の必要性を踏まえて実施することに留意します。また、支援に向けては発達障がい、難病、高次脳機能障がい、盲ろう等について、住民の更なる理解の促進に向けた広報・啓発活動を行うとともに、症状が多様化しがちで、障がいの程度を適切に把握することが難しい障がいがあることに留意します。さらに、県やその他の関係機関、団体、事業所等との連携・適切な役割分担の下、地域の実情に即した支援を行います。</w:t>
      </w: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0"/>
        <w:spacing w:line="0" w:lineRule="atLeast"/>
        <w:rPr>
          <w:rFonts w:hint="default"/>
          <w:sz w:val="24"/>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86"/>
              <w:spacing w:before="74" w:beforeLines="0" w:beforeAutospacing="0"/>
              <w:rPr>
                <w:rFonts w:hint="default"/>
                <w:color w:val="auto"/>
              </w:rPr>
            </w:pPr>
            <w:r>
              <w:rPr>
                <w:rFonts w:hint="eastAsia"/>
                <w:color w:val="auto"/>
              </w:rPr>
              <w:t>※</w:t>
            </w:r>
            <w:r>
              <w:rPr>
                <w:rFonts w:hint="eastAsia"/>
                <w:color w:val="auto"/>
              </w:rPr>
              <w:t xml:space="preserve"> </w:t>
            </w:r>
            <w:r>
              <w:rPr>
                <w:rFonts w:hint="eastAsia"/>
                <w:color w:val="auto"/>
              </w:rPr>
              <w:t>障害者の権利に関する条約</w:t>
            </w:r>
          </w:p>
          <w:p>
            <w:pPr>
              <w:pStyle w:val="85"/>
              <w:ind w:left="448" w:firstLine="204"/>
              <w:rPr>
                <w:rFonts w:hint="default"/>
                <w:color w:val="auto"/>
              </w:rPr>
            </w:pPr>
            <w:r>
              <w:rPr>
                <w:rFonts w:hint="eastAsia"/>
                <w:color w:val="auto"/>
              </w:rPr>
              <w:t>国際人権法に基づく人権条約であり、</w:t>
            </w:r>
            <w:r>
              <w:rPr>
                <w:rFonts w:hint="eastAsia"/>
                <w:color w:val="auto"/>
              </w:rPr>
              <w:t>2006</w:t>
            </w:r>
            <w:r>
              <w:rPr>
                <w:rFonts w:hint="eastAsia"/>
                <w:color w:val="auto"/>
              </w:rPr>
              <w:t>年</w:t>
            </w:r>
            <w:r>
              <w:rPr>
                <w:rFonts w:hint="eastAsia"/>
                <w:color w:val="auto"/>
              </w:rPr>
              <w:t>12</w:t>
            </w:r>
            <w:r>
              <w:rPr>
                <w:rFonts w:hint="eastAsia"/>
                <w:color w:val="auto"/>
              </w:rPr>
              <w:t>月の国連総会において採択された条約です。我が国は</w:t>
            </w:r>
            <w:r>
              <w:rPr>
                <w:rFonts w:hint="eastAsia"/>
                <w:color w:val="auto"/>
              </w:rPr>
              <w:t>2014</w:t>
            </w:r>
            <w:r>
              <w:rPr>
                <w:rFonts w:hint="eastAsia"/>
                <w:color w:val="auto"/>
              </w:rPr>
              <w:t>年</w:t>
            </w:r>
            <w:r>
              <w:rPr>
                <w:rFonts w:hint="eastAsia"/>
                <w:color w:val="auto"/>
              </w:rPr>
              <w:t>1</w:t>
            </w:r>
            <w:r>
              <w:rPr>
                <w:rFonts w:hint="eastAsia"/>
                <w:color w:val="auto"/>
              </w:rPr>
              <w:t>月にこの条約に批准しました。</w:t>
            </w:r>
          </w:p>
        </w:tc>
      </w:tr>
    </w:tbl>
    <w:p>
      <w:pPr>
        <w:pStyle w:val="19"/>
        <w:spacing w:after="87" w:afterLines="25" w:afterAutospacing="0"/>
        <w:ind w:left="224" w:leftChars="10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４）</w:t>
      </w:r>
      <w:r>
        <w:rPr>
          <w:rFonts w:hint="eastAsia" w:ascii="ＭＳ ゴシック" w:hAnsi="ＭＳ ゴシック" w:eastAsia="ＭＳ ゴシック"/>
          <w:sz w:val="24"/>
          <w:vertAlign w:val="superscript"/>
        </w:rPr>
        <w:t>※１</w:t>
      </w:r>
      <w:r>
        <w:rPr>
          <w:rFonts w:hint="eastAsia" w:ascii="ＭＳ ゴシック" w:hAnsi="ＭＳ ゴシック" w:eastAsia="ＭＳ ゴシック"/>
          <w:sz w:val="24"/>
        </w:rPr>
        <w:t>アクセシビリティの向上</w:t>
      </w:r>
    </w:p>
    <w:p>
      <w:pPr>
        <w:pStyle w:val="19"/>
        <w:ind w:left="662" w:leftChars="200" w:hanging="214" w:hangingChars="100"/>
        <w:rPr>
          <w:rFonts w:hint="default"/>
        </w:rPr>
      </w:pPr>
      <w:r>
        <w:rPr>
          <w:rFonts w:hint="eastAsia"/>
        </w:rPr>
        <w:t>◯</w:t>
      </w:r>
      <w:r>
        <w:rPr>
          <w:rFonts w:hint="eastAsia"/>
          <w:spacing w:val="-2"/>
        </w:rPr>
        <w:t>障がいの有無にかかわらず、誰もが能力を最大限に発揮しながら、安心して生活できるようにするため、ソフト、ハードの両面にわたる社会のバリアフリーを推進し、障がい者のアクセシビリティの向上を図ります。とりわけ、障がいを理由とする差別の解消に向けた取り組みを積極的に推進します。</w:t>
      </w:r>
    </w:p>
    <w:p>
      <w:pPr>
        <w:pStyle w:val="19"/>
        <w:ind w:left="662" w:leftChars="200" w:hanging="214" w:hangingChars="100"/>
        <w:rPr>
          <w:rFonts w:hint="default"/>
        </w:rPr>
      </w:pPr>
    </w:p>
    <w:p>
      <w:pPr>
        <w:pStyle w:val="19"/>
        <w:spacing w:after="87" w:afterLines="25" w:afterAutospacing="0"/>
        <w:ind w:left="224" w:leftChars="100" w:firstLine="0" w:firstLineChars="0"/>
        <w:rPr>
          <w:rFonts w:hint="default" w:ascii="ＭＳ ゴシック" w:hAnsi="ＭＳ ゴシック" w:eastAsia="ＭＳ ゴシック"/>
          <w:sz w:val="24"/>
        </w:rPr>
      </w:pPr>
      <w:r>
        <w:rPr>
          <w:rFonts w:hint="eastAsia" w:ascii="ＭＳ ゴシック" w:hAnsi="ＭＳ ゴシック" w:eastAsia="ＭＳ ゴシック"/>
          <w:sz w:val="24"/>
        </w:rPr>
        <w:t>５）</w:t>
      </w:r>
      <w:r>
        <w:rPr>
          <w:rFonts w:hint="eastAsia" w:ascii="ＭＳ ゴシック" w:hAnsi="ＭＳ ゴシック" w:eastAsia="ＭＳ ゴシック"/>
          <w:sz w:val="24"/>
          <w:vertAlign w:val="superscript"/>
        </w:rPr>
        <w:t>※２</w:t>
      </w:r>
      <w:r>
        <w:rPr>
          <w:rFonts w:hint="eastAsia" w:ascii="ＭＳ ゴシック" w:hAnsi="ＭＳ ゴシック" w:eastAsia="ＭＳ ゴシック"/>
          <w:sz w:val="24"/>
        </w:rPr>
        <w:t>地域共生社会の実現に向けた包括的な支援の推進</w:t>
      </w:r>
    </w:p>
    <w:p>
      <w:pPr>
        <w:pStyle w:val="19"/>
        <w:ind w:left="662" w:leftChars="200" w:hanging="214" w:hangingChars="100"/>
        <w:rPr>
          <w:rFonts w:hint="default"/>
        </w:rPr>
      </w:pPr>
      <w:r>
        <w:rPr>
          <w:rFonts w:hint="eastAsia"/>
        </w:rPr>
        <w:t>◯国では</w:t>
      </w:r>
      <w:r>
        <w:rPr>
          <w:rFonts w:hint="eastAsia"/>
        </w:rPr>
        <w:t>2017</w:t>
      </w:r>
      <w:r>
        <w:rPr>
          <w:rFonts w:hint="eastAsia"/>
        </w:rPr>
        <w:t>年</w:t>
      </w:r>
      <w:r>
        <w:rPr>
          <w:rFonts w:hint="default"/>
        </w:rPr>
        <w:t>(</w:t>
      </w:r>
      <w:r>
        <w:rPr>
          <w:rFonts w:hint="eastAsia"/>
        </w:rPr>
        <w:t>平成</w:t>
      </w:r>
      <w:r>
        <w:rPr>
          <w:rFonts w:hint="eastAsia"/>
        </w:rPr>
        <w:t>29</w:t>
      </w:r>
      <w:r>
        <w:rPr>
          <w:rFonts w:hint="eastAsia"/>
        </w:rPr>
        <w:t>年</w:t>
      </w:r>
      <w:r>
        <w:rPr>
          <w:rFonts w:hint="default"/>
        </w:rPr>
        <w:t>)</w:t>
      </w:r>
      <w:r>
        <w:rPr>
          <w:rFonts w:hint="eastAsia"/>
        </w:rPr>
        <w:t>に社会福祉法を改正し、地域共生社会の実現に向けた取り組みを進めています。本町においても、平成</w:t>
      </w:r>
      <w:r>
        <w:rPr>
          <w:rFonts w:hint="eastAsia"/>
        </w:rPr>
        <w:t>31</w:t>
      </w:r>
      <w:r>
        <w:rPr>
          <w:rFonts w:hint="eastAsia"/>
        </w:rPr>
        <w:t>年３月に策定した「第二次南風原町地域福祉推進計画」において、障がいのある人を含めた地域共生社会の実現に向けた包括的支援体制の構築を目指しています。本計画もその方向性を共有します。</w:t>
      </w: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0"/>
        <w:spacing w:line="0" w:lineRule="atLeast"/>
        <w:rPr>
          <w:rFonts w:hint="default"/>
          <w:sz w:val="14"/>
        </w:rPr>
      </w:pPr>
    </w:p>
    <w:p>
      <w:pPr>
        <w:pStyle w:val="0"/>
        <w:spacing w:line="0" w:lineRule="atLeast"/>
        <w:rPr>
          <w:rFonts w:hint="default"/>
          <w:sz w:val="16"/>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86"/>
              <w:spacing w:before="74" w:beforeLines="0" w:beforeAutospacing="0"/>
              <w:rPr>
                <w:rFonts w:hint="default"/>
                <w:color w:val="auto"/>
              </w:rPr>
            </w:pPr>
            <w:r>
              <w:rPr>
                <w:rFonts w:hint="eastAsia"/>
                <w:color w:val="auto"/>
              </w:rPr>
              <w:t>※</w:t>
            </w:r>
            <w:r>
              <w:rPr>
                <w:rFonts w:hint="eastAsia"/>
                <w:color w:val="auto"/>
              </w:rPr>
              <w:t>1</w:t>
            </w:r>
            <w:r>
              <w:rPr>
                <w:rFonts w:hint="default"/>
                <w:color w:val="auto"/>
              </w:rPr>
              <w:t xml:space="preserve"> </w:t>
            </w:r>
            <w:r>
              <w:rPr>
                <w:rFonts w:hint="eastAsia"/>
                <w:color w:val="auto"/>
              </w:rPr>
              <w:t>アクセシビリティ</w:t>
            </w:r>
          </w:p>
          <w:p>
            <w:pPr>
              <w:pStyle w:val="85"/>
              <w:ind w:left="448" w:firstLine="204"/>
              <w:rPr>
                <w:rFonts w:hint="default"/>
                <w:color w:val="auto"/>
              </w:rPr>
            </w:pPr>
            <w:r>
              <w:rPr>
                <w:rFonts w:hint="eastAsia"/>
                <w:color w:val="auto"/>
              </w:rPr>
              <w:t>施設・設備、サービス、情報、制度等の利用のしやすさのこと。</w:t>
            </w:r>
          </w:p>
          <w:p>
            <w:pPr>
              <w:pStyle w:val="86"/>
              <w:spacing w:before="74" w:beforeLines="0" w:beforeAutospacing="0"/>
              <w:rPr>
                <w:rFonts w:hint="default"/>
                <w:color w:val="auto"/>
              </w:rPr>
            </w:pPr>
            <w:r>
              <w:rPr>
                <w:rFonts w:hint="eastAsia"/>
                <w:color w:val="auto"/>
              </w:rPr>
              <w:t>※</w:t>
            </w:r>
            <w:r>
              <w:rPr>
                <w:rFonts w:hint="eastAsia"/>
                <w:color w:val="auto"/>
              </w:rPr>
              <w:t>2</w:t>
            </w:r>
            <w:r>
              <w:rPr>
                <w:rFonts w:hint="default"/>
                <w:color w:val="auto"/>
              </w:rPr>
              <w:t xml:space="preserve"> </w:t>
            </w:r>
            <w:r>
              <w:rPr>
                <w:rFonts w:hint="eastAsia"/>
                <w:color w:val="auto"/>
              </w:rPr>
              <w:t>地域共生社会</w:t>
            </w:r>
          </w:p>
          <w:p>
            <w:pPr>
              <w:pStyle w:val="85"/>
              <w:ind w:left="448" w:firstLine="204"/>
              <w:rPr>
                <w:rFonts w:hint="default"/>
                <w:color w:val="auto"/>
              </w:rPr>
            </w:pPr>
            <w:r>
              <w:rPr>
                <w:rFonts w:hint="eastAsia"/>
                <w:color w:val="auto"/>
              </w:rPr>
              <w:t>制度・分野ごとの『縦割り』や「支え手」「受け手」という関係を超えて、地域住民や地域の多様な主体が『我が事』として参画し、人と人、人と資源が世代や分野を超えて『丸ごと』つながることで、住民一人ひとりの暮らしと生きがい、地域をともに創っていく社会（平成</w:t>
            </w:r>
            <w:r>
              <w:rPr>
                <w:rFonts w:hint="eastAsia"/>
                <w:color w:val="auto"/>
              </w:rPr>
              <w:t>29</w:t>
            </w:r>
            <w:r>
              <w:rPr>
                <w:rFonts w:hint="eastAsia"/>
                <w:color w:val="auto"/>
              </w:rPr>
              <w:t>年</w:t>
            </w:r>
            <w:r>
              <w:rPr>
                <w:rFonts w:hint="eastAsia"/>
                <w:color w:val="auto"/>
              </w:rPr>
              <w:t>2</w:t>
            </w:r>
            <w:r>
              <w:rPr>
                <w:rFonts w:hint="eastAsia"/>
                <w:color w:val="auto"/>
              </w:rPr>
              <w:t>月</w:t>
            </w:r>
            <w:r>
              <w:rPr>
                <w:rFonts w:hint="eastAsia"/>
                <w:color w:val="auto"/>
              </w:rPr>
              <w:t>7</w:t>
            </w:r>
            <w:r>
              <w:rPr>
                <w:rFonts w:hint="eastAsia"/>
                <w:color w:val="auto"/>
              </w:rPr>
              <w:t>日厚生労働省「我が事・丸ごと」地域共生社会実現本部決定）</w:t>
            </w:r>
          </w:p>
        </w:tc>
      </w:tr>
    </w:tbl>
    <w:p>
      <w:pPr>
        <w:pStyle w:val="19"/>
        <w:spacing w:line="20" w:lineRule="exact"/>
        <w:ind w:left="662" w:leftChars="200" w:hanging="214" w:hangingChars="100"/>
        <w:rPr>
          <w:rFonts w:hint="default" w:ascii="HGｺﾞｼｯｸM" w:hAnsi="HGｺﾞｼｯｸM" w:eastAsia="ＭＳ ゴシック"/>
          <w:sz w:val="26"/>
        </w:rPr>
      </w:pPr>
      <w:r>
        <w:rPr>
          <w:rFonts w:hint="default"/>
        </w:rPr>
        <w:br w:type="page"/>
      </w:r>
    </w:p>
    <w:p>
      <w:pPr>
        <w:pStyle w:val="23"/>
        <w:rPr>
          <w:rFonts w:hint="default"/>
        </w:rPr>
      </w:pPr>
      <w:bookmarkStart w:id="32" w:name="_Toc158300408"/>
      <w:bookmarkStart w:id="33" w:name="_Toc505592287"/>
      <w:r>
        <w:rPr>
          <w:rFonts w:hint="eastAsia"/>
        </w:rPr>
        <w:t>４．施策の体系</w:t>
      </w:r>
      <w:bookmarkEnd w:id="32"/>
      <w:bookmarkEnd w:id="33"/>
    </w:p>
    <w:p>
      <w:pPr>
        <w:pStyle w:val="0"/>
        <w:spacing w:line="180" w:lineRule="exact"/>
        <w:ind w:left="488" w:hanging="488" w:hangingChars="200"/>
        <w:rPr>
          <w:rFonts w:hint="default" w:ascii="ＭＳ ゴシック" w:hAnsi="ＭＳ ゴシック" w:eastAsia="ＭＳ ゴシック"/>
          <w:sz w:val="24"/>
        </w:rPr>
      </w:pPr>
    </w:p>
    <w:tbl>
      <w:tblPr>
        <w:tblStyle w:val="11"/>
        <w:tblW w:w="9236"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1266"/>
        <w:gridCol w:w="2755"/>
        <w:gridCol w:w="5215"/>
      </w:tblGrid>
      <w:tr>
        <w:trPr>
          <w:trHeight w:val="235" w:hRule="atLeast"/>
        </w:trPr>
        <w:tc>
          <w:tcPr>
            <w:tcW w:w="1266" w:type="dxa"/>
            <w:shd w:val="clear" w:color="auto" w:themeFill="background1" w:themeFillTint="FF" w:themeFillShade="D9"/>
            <w:tcMar>
              <w:top w:w="28" w:type="dxa"/>
              <w:bottom w:w="28" w:type="dxa"/>
            </w:tcMar>
            <w:vAlign w:val="center"/>
          </w:tcPr>
          <w:p>
            <w:pPr>
              <w:pStyle w:val="0"/>
              <w:jc w:val="center"/>
              <w:rPr>
                <w:rFonts w:hint="default" w:ascii="ＭＳ ゴシック" w:hAnsi="ＭＳ ゴシック" w:eastAsia="ＭＳ ゴシック"/>
                <w:sz w:val="24"/>
              </w:rPr>
            </w:pPr>
            <w:r>
              <w:rPr>
                <w:rFonts w:hint="eastAsia" w:ascii="ＭＳ ゴシック" w:hAnsi="ＭＳ ゴシック" w:eastAsia="ＭＳ ゴシック"/>
                <w:sz w:val="24"/>
              </w:rPr>
              <w:t>基本理念</w:t>
            </w:r>
          </w:p>
        </w:tc>
        <w:tc>
          <w:tcPr>
            <w:tcW w:w="2755" w:type="dxa"/>
            <w:shd w:val="clear" w:color="auto" w:themeFill="background1" w:themeFillTint="FF" w:themeFillShade="D9"/>
            <w:tcMar>
              <w:top w:w="28" w:type="dxa"/>
              <w:bottom w:w="28" w:type="dxa"/>
            </w:tcMar>
            <w:vAlign w:val="center"/>
          </w:tcPr>
          <w:p>
            <w:pPr>
              <w:pStyle w:val="0"/>
              <w:jc w:val="center"/>
              <w:rPr>
                <w:rFonts w:hint="default" w:ascii="ＭＳ ゴシック" w:hAnsi="ＭＳ ゴシック" w:eastAsia="ＭＳ ゴシック"/>
                <w:sz w:val="24"/>
              </w:rPr>
            </w:pPr>
            <w:r>
              <w:rPr>
                <w:rFonts w:hint="eastAsia" w:ascii="ＭＳ ゴシック" w:hAnsi="ＭＳ ゴシック" w:eastAsia="ＭＳ ゴシック"/>
                <w:sz w:val="24"/>
              </w:rPr>
              <w:t>基本目標</w:t>
            </w:r>
          </w:p>
        </w:tc>
        <w:tc>
          <w:tcPr>
            <w:tcW w:w="5215" w:type="dxa"/>
            <w:shd w:val="clear" w:color="auto" w:themeFill="background1" w:themeFillTint="FF" w:themeFillShade="D9"/>
            <w:tcMar>
              <w:top w:w="28" w:type="dxa"/>
              <w:bottom w:w="28" w:type="dxa"/>
            </w:tcMar>
            <w:vAlign w:val="center"/>
          </w:tcPr>
          <w:p>
            <w:pPr>
              <w:pStyle w:val="0"/>
              <w:jc w:val="center"/>
              <w:rPr>
                <w:rFonts w:hint="default" w:ascii="ＭＳ ゴシック" w:hAnsi="ＭＳ ゴシック" w:eastAsia="ＭＳ ゴシック"/>
                <w:sz w:val="24"/>
              </w:rPr>
            </w:pPr>
            <w:r>
              <w:rPr>
                <w:rFonts w:hint="eastAsia" w:ascii="ＭＳ ゴシック" w:hAnsi="ＭＳ ゴシック" w:eastAsia="ＭＳ ゴシック"/>
                <w:sz w:val="24"/>
              </w:rPr>
              <w:t>施策の方向性</w:t>
            </w:r>
          </w:p>
        </w:tc>
      </w:tr>
      <w:tr>
        <w:trPr/>
        <w:tc>
          <w:tcPr>
            <w:tcW w:w="1266" w:type="dxa"/>
            <w:vMerge w:val="restart"/>
            <w:shd w:val="clear" w:color="auto" w:fill="auto"/>
            <w:tcMar>
              <w:top w:w="85" w:type="dxa"/>
              <w:bottom w:w="85" w:type="dxa"/>
            </w:tcMar>
            <w:textDirection w:val="tbRlV"/>
            <w:vAlign w:val="center"/>
          </w:tcPr>
          <w:p>
            <w:pPr>
              <w:pStyle w:val="0"/>
              <w:spacing w:line="0" w:lineRule="atLeast"/>
              <w:ind w:left="113" w:right="113"/>
              <w:rPr>
                <w:rFonts w:hint="default" w:ascii="ＭＳ ゴシック" w:hAnsi="ＭＳ ゴシック" w:eastAsia="ＭＳ ゴシック"/>
                <w:sz w:val="27"/>
              </w:rPr>
            </w:pPr>
            <w:r>
              <w:rPr>
                <w:rFonts w:hint="eastAsia" w:ascii="ＭＳ ゴシック" w:hAnsi="ＭＳ ゴシック" w:eastAsia="ＭＳ ゴシック"/>
                <w:sz w:val="27"/>
              </w:rPr>
              <w:t>『ちむぐくるの支えあい』</w:t>
            </w:r>
          </w:p>
          <w:p>
            <w:pPr>
              <w:pStyle w:val="0"/>
              <w:spacing w:line="0" w:lineRule="atLeast"/>
              <w:ind w:left="113" w:right="113"/>
              <w:rPr>
                <w:rFonts w:hint="default" w:ascii="ＭＳ ゴシック" w:hAnsi="ＭＳ ゴシック" w:eastAsia="ＭＳ ゴシック"/>
                <w:sz w:val="10"/>
              </w:rPr>
            </w:pPr>
          </w:p>
          <w:p>
            <w:pPr>
              <w:pStyle w:val="0"/>
              <w:spacing w:line="0" w:lineRule="atLeast"/>
              <w:ind w:left="113" w:right="113"/>
              <w:rPr>
                <w:rFonts w:hint="default" w:ascii="ＭＳ ゴシック" w:hAnsi="ＭＳ ゴシック" w:eastAsia="ＭＳ ゴシック"/>
                <w:sz w:val="27"/>
              </w:rPr>
            </w:pPr>
            <w:r>
              <w:rPr>
                <w:rFonts w:hint="eastAsia" w:ascii="ＭＳ ゴシック" w:hAnsi="ＭＳ ゴシック" w:eastAsia="ＭＳ ゴシック"/>
                <w:sz w:val="27"/>
              </w:rPr>
              <w:t>　　　　　　～</w:t>
            </w:r>
            <w:r>
              <w:rPr>
                <w:rFonts w:hint="eastAsia" w:ascii="ＭＳ ゴシック" w:hAnsi="ＭＳ ゴシック" w:eastAsia="ＭＳ ゴシック"/>
                <w:sz w:val="27"/>
              </w:rPr>
              <w:t xml:space="preserve"> </w:t>
            </w:r>
            <w:r>
              <w:rPr>
                <w:rFonts w:hint="eastAsia" w:ascii="ＭＳ ゴシック" w:hAnsi="ＭＳ ゴシック" w:eastAsia="ＭＳ ゴシック"/>
                <w:sz w:val="27"/>
              </w:rPr>
              <w:t>ともにつくり、ともにあゆむ、自立と社会参加のまち　南風原</w:t>
            </w:r>
            <w:r>
              <w:rPr>
                <w:rFonts w:hint="eastAsia" w:ascii="ＭＳ ゴシック" w:hAnsi="ＭＳ ゴシック" w:eastAsia="ＭＳ ゴシック"/>
                <w:sz w:val="27"/>
              </w:rPr>
              <w:t xml:space="preserve"> </w:t>
            </w:r>
            <w:r>
              <w:rPr>
                <w:rFonts w:hint="eastAsia" w:ascii="ＭＳ ゴシック" w:hAnsi="ＭＳ ゴシック" w:eastAsia="ＭＳ ゴシック"/>
                <w:sz w:val="27"/>
              </w:rPr>
              <w:t>～</w:t>
            </w:r>
          </w:p>
        </w:tc>
        <w:tc>
          <w:tcPr>
            <w:tcW w:w="2755" w:type="dxa"/>
            <w:shd w:val="clear" w:color="auto" w:fill="auto"/>
            <w:tcMar>
              <w:top w:w="85" w:type="dxa"/>
              <w:bottom w:w="85" w:type="dxa"/>
            </w:tcMar>
            <w:vAlign w:val="center"/>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安心して</w:t>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共に暮らせるまち</w:t>
            </w:r>
          </w:p>
        </w:tc>
        <w:tc>
          <w:tcPr>
            <w:tcW w:w="5215" w:type="dxa"/>
            <w:shd w:val="clear" w:color="auto" w:fill="auto"/>
            <w:tcMar>
              <w:top w:w="85" w:type="dxa"/>
              <w:bottom w:w="85" w:type="dxa"/>
            </w:tcMar>
            <w:vAlign w:val="center"/>
          </w:tcPr>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１．理解啓発・差別解消の推進</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（１）理解啓発活動の充実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（２）差別解消・合理的配慮の普及啓発</w:t>
            </w:r>
          </w:p>
          <w:p>
            <w:pPr>
              <w:pStyle w:val="0"/>
              <w:spacing w:line="0" w:lineRule="atLeast"/>
              <w:ind w:left="648" w:leftChars="150" w:hanging="312" w:hangingChars="300"/>
              <w:rPr>
                <w:rFonts w:hint="default" w:ascii="ＭＳ ゴシック" w:hAnsi="ＭＳ ゴシック" w:eastAsia="ＭＳ ゴシック"/>
                <w:sz w:val="10"/>
              </w:rPr>
            </w:pPr>
          </w:p>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２．相談支援の充実・権利擁護の推進</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（１）相談支援体制の充実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（２）権利擁護・虐待防止の推進</w:t>
            </w:r>
          </w:p>
          <w:p>
            <w:pPr>
              <w:pStyle w:val="0"/>
              <w:spacing w:line="0" w:lineRule="atLeast"/>
              <w:ind w:left="648" w:leftChars="150" w:hanging="312" w:hangingChars="300"/>
              <w:rPr>
                <w:rFonts w:hint="default" w:ascii="ＭＳ ゴシック" w:hAnsi="ＭＳ ゴシック" w:eastAsia="ＭＳ ゴシック"/>
                <w:sz w:val="10"/>
              </w:rPr>
            </w:pPr>
          </w:p>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３．情報提供・意思疎通支援の充実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（１）情報提供の充実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（２）意思疎通支援の充実</w:t>
            </w:r>
          </w:p>
          <w:p>
            <w:pPr>
              <w:pStyle w:val="0"/>
              <w:spacing w:line="0" w:lineRule="atLeast"/>
              <w:ind w:left="648" w:leftChars="150" w:hanging="312" w:hangingChars="300"/>
              <w:rPr>
                <w:rFonts w:hint="default" w:ascii="ＭＳ ゴシック" w:hAnsi="ＭＳ ゴシック" w:eastAsia="ＭＳ ゴシック"/>
                <w:sz w:val="10"/>
              </w:rPr>
            </w:pPr>
          </w:p>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４．保育・教育等の充実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（１）発達支援保育等の充実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（２）特別支援教育の充実</w:t>
            </w:r>
          </w:p>
          <w:p>
            <w:pPr>
              <w:pStyle w:val="0"/>
              <w:spacing w:line="0" w:lineRule="atLeast"/>
              <w:ind w:left="648" w:leftChars="150" w:hanging="312" w:hangingChars="300"/>
              <w:rPr>
                <w:rFonts w:hint="default" w:ascii="ＭＳ ゴシック" w:hAnsi="ＭＳ ゴシック" w:eastAsia="ＭＳ ゴシック"/>
                <w:sz w:val="10"/>
              </w:rPr>
            </w:pPr>
          </w:p>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５．防災・防犯対策の充実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（１）防災対策の充実</w:t>
            </w:r>
          </w:p>
          <w:p>
            <w:pPr>
              <w:pStyle w:val="0"/>
              <w:ind w:left="978" w:leftChars="150" w:hanging="642" w:hangingChars="300"/>
              <w:rPr>
                <w:rFonts w:hint="default" w:ascii="ＭＳ ゴシック" w:hAnsi="ＭＳ ゴシック" w:eastAsia="ＭＳ ゴシック"/>
                <w:sz w:val="24"/>
              </w:rPr>
            </w:pPr>
            <w:r>
              <w:rPr>
                <w:rFonts w:hint="eastAsia" w:ascii="ＭＳ ゴシック" w:hAnsi="ＭＳ ゴシック" w:eastAsia="ＭＳ ゴシック"/>
                <w:sz w:val="21"/>
              </w:rPr>
              <w:t>（２）防犯対策の充実</w:t>
            </w:r>
          </w:p>
        </w:tc>
      </w:tr>
      <w:tr>
        <w:trPr/>
        <w:tc>
          <w:tcPr>
            <w:tcW w:w="1266" w:type="dxa"/>
            <w:vMerge w:val="continue"/>
            <w:shd w:val="clear" w:color="auto" w:fill="auto"/>
            <w:tcMar>
              <w:top w:w="85" w:type="dxa"/>
              <w:bottom w:w="85" w:type="dxa"/>
            </w:tcMar>
            <w:vAlign w:val="center"/>
          </w:tcPr>
          <w:p>
            <w:pPr>
              <w:pStyle w:val="0"/>
              <w:rPr>
                <w:rFonts w:hint="default" w:ascii="ＭＳ ゴシック" w:hAnsi="ＭＳ ゴシック" w:eastAsia="ＭＳ ゴシック"/>
                <w:sz w:val="24"/>
              </w:rPr>
            </w:pPr>
          </w:p>
        </w:tc>
        <w:tc>
          <w:tcPr>
            <w:tcW w:w="2755" w:type="dxa"/>
            <w:shd w:val="clear" w:color="auto" w:fill="auto"/>
            <w:tcMar>
              <w:top w:w="85" w:type="dxa"/>
              <w:bottom w:w="85" w:type="dxa"/>
            </w:tcMar>
            <w:vAlign w:val="center"/>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健やかで</w:t>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自立を支えるまち</w:t>
            </w:r>
          </w:p>
        </w:tc>
        <w:tc>
          <w:tcPr>
            <w:tcW w:w="5215" w:type="dxa"/>
            <w:shd w:val="clear" w:color="auto" w:fill="auto"/>
            <w:tcMar>
              <w:top w:w="85" w:type="dxa"/>
              <w:bottom w:w="85" w:type="dxa"/>
            </w:tcMar>
            <w:vAlign w:val="center"/>
          </w:tcPr>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１．保健・医療の充実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（１）乳幼児期における障がいの発生予防・</w:t>
            </w:r>
            <w:r>
              <w:rPr>
                <w:rFonts w:hint="default" w:ascii="ＭＳ ゴシック" w:hAnsi="ＭＳ ゴシック" w:eastAsia="ＭＳ ゴシック"/>
                <w:sz w:val="21"/>
              </w:rPr>
              <w:br w:type="textWrapping" w:clear="none"/>
            </w:r>
            <w:r>
              <w:rPr>
                <w:rFonts w:hint="eastAsia" w:ascii="ＭＳ ゴシック" w:hAnsi="ＭＳ ゴシック" w:eastAsia="ＭＳ ゴシック"/>
                <w:sz w:val="21"/>
              </w:rPr>
              <w:t>早期支援の充実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（２）障がいの原因となる疾病予防対策の充実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（３）精神保健福祉の充実</w:t>
            </w:r>
          </w:p>
          <w:p>
            <w:pPr>
              <w:pStyle w:val="0"/>
              <w:spacing w:line="0" w:lineRule="atLeast"/>
              <w:ind w:left="648" w:leftChars="150" w:hanging="312" w:hangingChars="300"/>
              <w:rPr>
                <w:rFonts w:hint="default" w:ascii="ＭＳ ゴシック" w:hAnsi="ＭＳ ゴシック" w:eastAsia="ＭＳ ゴシック"/>
                <w:sz w:val="10"/>
              </w:rPr>
            </w:pPr>
          </w:p>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２．自立生活支援の充実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（１）障害福祉サービス等の推進</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（２）障がい児支援の充実</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（３）医療費等経済的支援の推進</w:t>
            </w:r>
          </w:p>
          <w:p>
            <w:pPr>
              <w:pStyle w:val="0"/>
              <w:ind w:left="978" w:leftChars="150" w:hanging="642" w:hangingChars="300"/>
              <w:rPr>
                <w:rFonts w:hint="default" w:ascii="ＭＳ ゴシック" w:hAnsi="ＭＳ ゴシック" w:eastAsia="ＭＳ ゴシック"/>
              </w:rPr>
            </w:pPr>
            <w:r>
              <w:rPr>
                <w:rFonts w:hint="eastAsia" w:ascii="ＭＳ ゴシック" w:hAnsi="ＭＳ ゴシック" w:eastAsia="ＭＳ ゴシック"/>
                <w:sz w:val="21"/>
              </w:rPr>
              <w:t>（４）その他の生活支援の推進</w:t>
            </w:r>
          </w:p>
        </w:tc>
      </w:tr>
      <w:tr>
        <w:trPr/>
        <w:tc>
          <w:tcPr>
            <w:tcW w:w="1266" w:type="dxa"/>
            <w:vMerge w:val="continue"/>
            <w:shd w:val="clear" w:color="auto" w:fill="auto"/>
            <w:tcMar>
              <w:top w:w="85" w:type="dxa"/>
              <w:bottom w:w="85" w:type="dxa"/>
            </w:tcMar>
            <w:vAlign w:val="center"/>
          </w:tcPr>
          <w:p>
            <w:pPr>
              <w:pStyle w:val="0"/>
              <w:rPr>
                <w:rFonts w:hint="default" w:ascii="ＭＳ ゴシック" w:hAnsi="ＭＳ ゴシック" w:eastAsia="ＭＳ ゴシック"/>
                <w:sz w:val="24"/>
              </w:rPr>
            </w:pPr>
          </w:p>
        </w:tc>
        <w:tc>
          <w:tcPr>
            <w:tcW w:w="2755" w:type="dxa"/>
            <w:shd w:val="clear" w:color="auto" w:fill="auto"/>
            <w:tcMar>
              <w:top w:w="85" w:type="dxa"/>
              <w:bottom w:w="85" w:type="dxa"/>
            </w:tcMar>
            <w:vAlign w:val="center"/>
          </w:tcPr>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住み良い環境と</w:t>
            </w:r>
          </w:p>
          <w:p>
            <w:pPr>
              <w:pStyle w:val="0"/>
              <w:rPr>
                <w:rFonts w:hint="default" w:ascii="ＭＳ ゴシック" w:hAnsi="ＭＳ ゴシック" w:eastAsia="ＭＳ ゴシック"/>
                <w:sz w:val="24"/>
              </w:rPr>
            </w:pPr>
            <w:r>
              <w:rPr>
                <w:rFonts w:hint="eastAsia" w:ascii="ＭＳ ゴシック" w:hAnsi="ＭＳ ゴシック" w:eastAsia="ＭＳ ゴシック"/>
                <w:sz w:val="24"/>
              </w:rPr>
              <w:t>生きがいの持てるまち</w:t>
            </w:r>
          </w:p>
        </w:tc>
        <w:tc>
          <w:tcPr>
            <w:tcW w:w="5215" w:type="dxa"/>
            <w:shd w:val="clear" w:color="auto" w:fill="auto"/>
            <w:tcMar>
              <w:top w:w="85" w:type="dxa"/>
              <w:bottom w:w="85" w:type="dxa"/>
            </w:tcMar>
            <w:vAlign w:val="center"/>
          </w:tcPr>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１．生活環境の整備推進</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（１）外出・移動支援の推進</w:t>
            </w:r>
          </w:p>
          <w:p>
            <w:pPr>
              <w:pStyle w:val="0"/>
              <w:ind w:left="978" w:leftChars="150" w:hanging="642" w:hangingChars="300"/>
              <w:rPr>
                <w:rFonts w:hint="default" w:ascii="ＭＳ ゴシック" w:hAnsi="ＭＳ ゴシック" w:eastAsia="ＭＳ ゴシック"/>
                <w:sz w:val="21"/>
              </w:rPr>
            </w:pPr>
            <w:r>
              <w:rPr>
                <w:rFonts w:hint="eastAsia" w:ascii="ＭＳ ゴシック" w:hAnsi="ＭＳ ゴシック" w:eastAsia="ＭＳ ゴシック"/>
                <w:sz w:val="21"/>
              </w:rPr>
              <w:t>（２）住環境の整備推進</w:t>
            </w:r>
          </w:p>
          <w:p>
            <w:pPr>
              <w:pStyle w:val="0"/>
              <w:spacing w:line="0" w:lineRule="atLeast"/>
              <w:ind w:left="648" w:leftChars="150" w:hanging="312" w:hangingChars="300"/>
              <w:rPr>
                <w:rFonts w:hint="default" w:ascii="ＭＳ ゴシック" w:hAnsi="ＭＳ ゴシック" w:eastAsia="ＭＳ ゴシック"/>
                <w:sz w:val="10"/>
              </w:rPr>
            </w:pPr>
          </w:p>
          <w:p>
            <w:pPr>
              <w:pStyle w:val="0"/>
              <w:rPr>
                <w:rFonts w:hint="default" w:ascii="ＭＳ ゴシック" w:hAnsi="ＭＳ ゴシック" w:eastAsia="ＭＳ ゴシック"/>
                <w:sz w:val="21"/>
              </w:rPr>
            </w:pPr>
            <w:r>
              <w:rPr>
                <w:rFonts w:hint="eastAsia" w:ascii="ＭＳ ゴシック" w:hAnsi="ＭＳ ゴシック" w:eastAsia="ＭＳ ゴシック"/>
                <w:sz w:val="21"/>
              </w:rPr>
              <w:t>２．社会参加・生きがい活動の推進</w:t>
            </w:r>
          </w:p>
          <w:p>
            <w:pPr>
              <w:pStyle w:val="0"/>
              <w:ind w:left="978" w:leftChars="150" w:hanging="642" w:hangingChars="300"/>
              <w:rPr>
                <w:rFonts w:hint="default" w:ascii="ＭＳ ゴシック" w:hAnsi="ＭＳ ゴシック" w:eastAsia="ＭＳ ゴシック"/>
                <w:w w:val="85"/>
                <w:sz w:val="21"/>
              </w:rPr>
            </w:pPr>
            <w:r>
              <w:rPr>
                <w:rFonts w:hint="eastAsia" w:ascii="ＭＳ ゴシック" w:hAnsi="ＭＳ ゴシック" w:eastAsia="ＭＳ ゴシック"/>
                <w:sz w:val="21"/>
              </w:rPr>
              <w:t>（１）</w:t>
            </w:r>
            <w:r>
              <w:rPr>
                <w:rFonts w:hint="eastAsia" w:ascii="ＭＳ ゴシック" w:hAnsi="ＭＳ ゴシック" w:eastAsia="ＭＳ ゴシック"/>
                <w:spacing w:val="-6"/>
                <w:w w:val="85"/>
                <w:sz w:val="21"/>
              </w:rPr>
              <w:t>スポーツ・レクリエーション</w:t>
            </w:r>
            <w:r>
              <w:rPr>
                <w:rFonts w:hint="eastAsia" w:ascii="ＭＳ ゴシック" w:hAnsi="ＭＳ ゴシック" w:eastAsia="ＭＳ ゴシック"/>
                <w:w w:val="95"/>
                <w:sz w:val="21"/>
              </w:rPr>
              <w:t>及び文化活動の推進</w:t>
            </w:r>
          </w:p>
          <w:p>
            <w:pPr>
              <w:pStyle w:val="0"/>
              <w:ind w:left="978" w:leftChars="150" w:hanging="642" w:hangingChars="300"/>
              <w:rPr>
                <w:rFonts w:hint="default" w:ascii="ＭＳ ゴシック" w:hAnsi="ＭＳ ゴシック" w:eastAsia="ＭＳ ゴシック"/>
              </w:rPr>
            </w:pPr>
            <w:r>
              <w:rPr>
                <w:rFonts w:hint="eastAsia" w:ascii="ＭＳ ゴシック" w:hAnsi="ＭＳ ゴシック" w:eastAsia="ＭＳ ゴシック"/>
                <w:sz w:val="21"/>
              </w:rPr>
              <w:t>（２）就労支援</w:t>
            </w:r>
          </w:p>
        </w:tc>
      </w:tr>
    </w:tbl>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19"/>
        <w:ind w:left="662" w:leftChars="200" w:hanging="214" w:hangingChars="100"/>
        <w:rPr>
          <w:rFonts w:hint="default"/>
        </w:rPr>
      </w:pPr>
    </w:p>
    <w:p>
      <w:pPr>
        <w:pStyle w:val="0"/>
        <w:widowControl w:val="1"/>
        <w:jc w:val="left"/>
        <w:rPr>
          <w:rFonts w:hint="default"/>
          <w:sz w:val="21"/>
        </w:rPr>
      </w:pPr>
    </w:p>
    <w:p>
      <w:pPr>
        <w:pStyle w:val="0"/>
        <w:widowControl w:val="1"/>
        <w:jc w:val="left"/>
        <w:rPr>
          <w:rFonts w:hint="default"/>
          <w:sz w:val="21"/>
        </w:rPr>
      </w:pPr>
      <w:r>
        <w:rPr>
          <w:rFonts w:hint="default"/>
        </w:rPr>
        <mc:AlternateContent>
          <mc:Choice Requires="wps">
            <w:drawing>
              <wp:anchor distT="0" distB="0" distL="114300" distR="114300" simplePos="0" relativeHeight="126" behindDoc="0" locked="1" layoutInCell="1" hidden="0" allowOverlap="1">
                <wp:simplePos x="0" y="0"/>
                <wp:positionH relativeFrom="column">
                  <wp:posOffset>1724660</wp:posOffset>
                </wp:positionH>
                <wp:positionV relativeFrom="page">
                  <wp:posOffset>7933055</wp:posOffset>
                </wp:positionV>
                <wp:extent cx="2359660" cy="2870200"/>
                <wp:effectExtent l="635" t="635" r="29845" b="10795"/>
                <wp:wrapNone/>
                <wp:docPr id="1135" name="正方形/長方形 42"/>
                <a:graphic xmlns:a="http://schemas.openxmlformats.org/drawingml/2006/main">
                  <a:graphicData uri="http://schemas.microsoft.com/office/word/2010/wordprocessingShape">
                    <wps:wsp>
                      <wps:cNvPr id="1135" name="正方形/長方形 42"/>
                      <wps:cNvSpPr/>
                      <wps:spPr>
                        <a:xfrm>
                          <a:off x="0" y="0"/>
                          <a:ext cx="2359660" cy="2870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2" style="mso-wrap-distance-right:9pt;mso-wrap-distance-bottom:0pt;margin-top:624.65pt;mso-position-vertical-relative:page;mso-position-horizontal-relative:text;position:absolute;height:226pt;mso-wrap-distance-top:0pt;width:185.8pt;mso-wrap-distance-left:9pt;margin-left:135.80000000000001pt;z-index:126;" o:spid="_x0000_s1135"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page"/>
                <w10:anchorlock/>
              </v:rect>
            </w:pict>
          </mc:Fallback>
        </mc:AlternateContent>
      </w:r>
      <w:r>
        <w:rPr>
          <w:rFonts w:hint="default"/>
        </w:rPr>
        <w:br w:type="page"/>
      </w:r>
    </w:p>
    <w:p>
      <w:pPr>
        <w:pStyle w:val="24"/>
        <w:rPr>
          <w:rFonts w:hint="default"/>
        </w:rPr>
      </w:pPr>
      <w:bookmarkEnd w:id="4"/>
      <w:bookmarkStart w:id="34" w:name="_Toc154411461"/>
      <w:bookmarkStart w:id="35" w:name="_Toc158300409"/>
      <w:bookmarkStart w:id="36" w:name="_Toc505592298"/>
      <w:r>
        <w:rPr>
          <w:rFonts w:hint="eastAsia"/>
        </w:rPr>
        <w:t>第４章　第６次南風原町障がい者計画</w:t>
      </w:r>
      <w:bookmarkEnd w:id="34"/>
      <w:bookmarkEnd w:id="35"/>
    </w:p>
    <w:p>
      <w:pPr>
        <w:pStyle w:val="79"/>
        <w:spacing w:before="111" w:beforeLines="0" w:beforeAutospacing="0"/>
        <w:ind w:left="1121"/>
        <w:rPr>
          <w:rFonts w:hint="default"/>
        </w:rPr>
      </w:pPr>
      <w:bookmarkStart w:id="37" w:name="_Toc154411462"/>
      <w:bookmarkStart w:id="38" w:name="_Toc158300410"/>
      <w:bookmarkStart w:id="39" w:name="_Toc62831665"/>
      <w:r>
        <w:rPr>
          <w:rFonts w:hint="eastAsia"/>
        </w:rPr>
        <w:t>基本目標１　安心して共に暮らせるまち</w:t>
      </w:r>
      <w:bookmarkEnd w:id="37"/>
      <w:bookmarkEnd w:id="38"/>
      <w:bookmarkEnd w:id="39"/>
    </w:p>
    <w:p>
      <w:pPr>
        <w:pStyle w:val="0"/>
        <w:spacing w:line="160" w:lineRule="exact"/>
        <w:rPr>
          <w:rFonts w:hint="default"/>
        </w:rPr>
      </w:pPr>
      <w:r>
        <w:rPr>
          <w:rFonts w:hint="eastAsia" w:ascii="ＭＳ ゴシック" w:hAnsi="ＭＳ ゴシック" w:eastAsia="ＭＳ ゴシック"/>
          <w:sz w:val="32"/>
        </w:rPr>
        <mc:AlternateContent>
          <mc:Choice Requires="wpg">
            <w:drawing>
              <wp:anchor distT="0" distB="0" distL="114300" distR="114300" simplePos="0" relativeHeight="164" behindDoc="1" locked="1" layoutInCell="1" hidden="0" allowOverlap="1">
                <wp:simplePos x="0" y="0"/>
                <wp:positionH relativeFrom="column">
                  <wp:posOffset>619760</wp:posOffset>
                </wp:positionH>
                <wp:positionV relativeFrom="paragraph">
                  <wp:posOffset>-289560</wp:posOffset>
                </wp:positionV>
                <wp:extent cx="5379085" cy="367665"/>
                <wp:effectExtent l="635" t="635" r="5080" b="635"/>
                <wp:wrapNone/>
                <wp:docPr id="1136" name="節の飾り（テキストの背景）"/>
                <a:graphic xmlns:a="http://schemas.openxmlformats.org/drawingml/2006/main">
                  <a:graphicData uri="http://schemas.microsoft.com/office/word/2010/wordprocessingGroup">
                    <wpg:wgp>
                      <wpg:cNvGrpSpPr/>
                      <wpg:grpSpPr>
                        <a:xfrm>
                          <a:off x="0" y="0"/>
                          <a:ext cx="5379085" cy="367665"/>
                          <a:chOff x="-1" y="0"/>
                          <a:chExt cx="5383414" cy="368807"/>
                        </a:xfrm>
                      </wpg:grpSpPr>
                      <wps:wsp>
                        <wps:cNvPr id="1137" name="節（項目）の影"/>
                        <wps:cNvSpPr/>
                        <wps:spPr>
                          <a:xfrm>
                            <a:off x="1276491" y="19050"/>
                            <a:ext cx="4106922" cy="349757"/>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38" name="節（数値）の影"/>
                        <wps:cNvSpPr/>
                        <wps:spPr>
                          <a:xfrm>
                            <a:off x="38099" y="19050"/>
                            <a:ext cx="1152820" cy="349757"/>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39" name="節（項目）"/>
                        <wps:cNvSpPr/>
                        <wps:spPr>
                          <a:xfrm>
                            <a:off x="1238390" y="0"/>
                            <a:ext cx="4120167" cy="32670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40" name="節（数値）"/>
                        <wps:cNvSpPr/>
                        <wps:spPr>
                          <a:xfrm>
                            <a:off x="-1" y="0"/>
                            <a:ext cx="1152820" cy="32630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節の飾り（テキストの背景）" style="mso-wrap-distance-right:9pt;mso-wrap-distance-bottom:0pt;margin-top:-22.8pt;mso-position-vertical-relative:text;mso-position-horizontal-relative:text;position:absolute;height:28.95pt;mso-wrap-distance-top:0pt;width:423.55pt;mso-wrap-distance-left:9pt;margin-left:48.8pt;z-index:-503316316;" coordsize="5383414,368807" coordorigin="-1,0" o:spid="_x0000_s1136" o:allowincell="t" o:allowoverlap="t">
                <v:roundrect id="節（項目）の影" style="height:349757;width:4106922;top:19050;left:1276491;position:absolute;" o:spid="_x0000_s1137" filled="t" fillcolor="#a6a6a6 [2092]" stroked="f" strokecolor="#42709c" strokeweight="1pt" o:spt="2" arcsize="10923f">
                  <v:fill/>
                  <v:stroke linestyle="single" miterlimit="8" endcap="flat" dashstyle="solid"/>
                  <v:textbox style="layout-flow:horizontal;"/>
                  <v:imagedata o:title=""/>
                  <w10:wrap type="none" anchorx="text" anchory="text"/>
                  <w10:anchorlock/>
                </v:roundrect>
                <v:roundrect id="節（数値）の影" style="height:349757;width:1152820;top:19050;left:38099;position:absolute;" o:spid="_x0000_s1138" filled="t" fillcolor="#a6a6a6 [2092]" stroked="f" strokecolor="#42709c" strokeweight="1pt" o:spt="2" arcsize="10923f">
                  <v:fill/>
                  <v:stroke linestyle="single" miterlimit="8" endcap="flat" dashstyle="solid"/>
                  <v:textbox style="layout-flow:horizontal;"/>
                  <v:imagedata o:title=""/>
                  <w10:wrap type="none" anchorx="text" anchory="text"/>
                  <w10:anchorlock/>
                </v:roundrect>
                <v:roundrect id="節（項目）" style="height:326708;width:4120167;top:0;left:1238390;position:absolute;" o:spid="_x0000_s1139" filled="t" fillcolor="#ffffff [3212]" stroked="t" strokecolor="#000000 [3213]" strokeweight="1pt" o:spt="2" arcsize="10923f">
                  <v:fill/>
                  <v:stroke linestyle="single" miterlimit="8" endcap="flat" dashstyle="solid" filltype="solid"/>
                  <v:textbox style="layout-flow:horizontal;"/>
                  <v:imagedata o:title=""/>
                  <w10:wrap type="none" anchorx="text" anchory="text"/>
                  <w10:anchorlock/>
                </v:roundrect>
                <v:roundrect id="節（数値）" style="height:326307;width:1152820;top:0;left:-1;position:absolute;" o:spid="_x0000_s1140" filled="t" fillcolor="#ffffff [3212]" stroked="t" strokecolor="#000000 [3213]" strokeweight="1pt" o:spt="2" arcsize="10923f">
                  <v:fill/>
                  <v:stroke linestyle="single" miterlimit="8" endcap="flat" dashstyle="solid" filltype="solid"/>
                  <v:textbox style="layout-flow:horizontal;"/>
                  <v:imagedata o:title=""/>
                  <w10:wrap type="none" anchorx="text" anchory="text"/>
                  <w10:anchorlock/>
                </v:roundrect>
                <w10:wrap type="none" anchorx="text" anchory="text"/>
                <w10:anchorlock/>
              </v:group>
            </w:pict>
          </mc:Fallback>
        </mc:AlternateContent>
      </w:r>
    </w:p>
    <w:p>
      <w:pPr>
        <w:pStyle w:val="0"/>
        <w:spacing w:line="0" w:lineRule="atLeast"/>
        <w:ind w:left="662" w:leftChars="200" w:hanging="214" w:hangingChars="100"/>
        <w:rPr>
          <w:rFonts w:hint="default"/>
          <w:sz w:val="21"/>
        </w:rPr>
      </w:pPr>
      <w:bookmarkStart w:id="40" w:name="_Toc154411463"/>
      <w:bookmarkStart w:id="41" w:name="_Toc505592289"/>
      <w:bookmarkStart w:id="42" w:name="_Toc62831666"/>
    </w:p>
    <w:p>
      <w:pPr>
        <w:pStyle w:val="23"/>
        <w:rPr>
          <w:rFonts w:hint="default"/>
        </w:rPr>
      </w:pPr>
      <w:bookmarkStart w:id="43" w:name="_Toc158300411"/>
      <w:r>
        <w:rPr>
          <w:rFonts w:hint="default"/>
        </w:rPr>
        <w:t>１．理解</w:t>
      </w:r>
      <w:r>
        <w:rPr>
          <w:rFonts w:hint="eastAsia"/>
        </w:rPr>
        <w:t>啓発・差別解消の推進</w:t>
      </w:r>
      <w:bookmarkEnd w:id="40"/>
      <w:bookmarkEnd w:id="43"/>
      <w:bookmarkEnd w:id="41"/>
      <w:bookmarkEnd w:id="42"/>
      <w:r>
        <w:rPr>
          <w:rFonts w:hint="eastAsia"/>
        </w:rPr>
        <w:t>　</w:t>
      </w:r>
    </w:p>
    <w:p>
      <w:pPr>
        <w:pStyle w:val="22"/>
        <w:spacing w:after="111" w:afterLines="0" w:afterAutospacing="0"/>
        <w:rPr>
          <w:rFonts w:hint="default"/>
        </w:rPr>
      </w:pPr>
      <w:bookmarkStart w:id="44" w:name="_Toc154411464"/>
      <w:r>
        <w:rPr>
          <w:rFonts w:hint="eastAsia"/>
        </w:rPr>
        <w:t>（１）理解啓発活動の充実</w:t>
      </w:r>
      <w:bookmarkEnd w:id="44"/>
    </w:p>
    <w:p>
      <w:pPr>
        <w:pStyle w:val="82"/>
        <w:rPr>
          <w:rFonts w:hint="default"/>
        </w:rPr>
      </w:pPr>
      <w:r>
        <w:rPr>
          <w:rFonts w:hint="eastAsia"/>
        </w:rPr>
        <w:t>【現状と課題】</w:t>
      </w:r>
    </w:p>
    <w:p>
      <w:pPr>
        <w:pStyle w:val="0"/>
        <w:ind w:left="662" w:leftChars="200" w:hanging="214" w:hangingChars="100"/>
        <w:rPr>
          <w:rFonts w:hint="default"/>
          <w:sz w:val="21"/>
        </w:rPr>
      </w:pPr>
      <w:r>
        <w:rPr>
          <w:rFonts w:hint="eastAsia"/>
          <w:sz w:val="21"/>
        </w:rPr>
        <w:t>○障がいの理解及び啓発については、障害者週間や世界自閉症啓発デー、手話言語国際デー等の啓発期間に合わせて、役場庁舎等において、関係する資料の展示を行っているほか、広報紙や町ホームページへの掲載、社協だよりを活用しての周知を行っています。住民の障がいへの理解啓発に向けた継続的な取り組みが必要です。</w:t>
      </w:r>
    </w:p>
    <w:p>
      <w:pPr>
        <w:pStyle w:val="0"/>
        <w:ind w:left="662" w:leftChars="200" w:hanging="214" w:hangingChars="100"/>
        <w:rPr>
          <w:rFonts w:hint="default"/>
          <w:sz w:val="21"/>
        </w:rPr>
      </w:pPr>
      <w:r>
        <w:rPr>
          <w:rFonts w:hint="eastAsia"/>
          <w:sz w:val="21"/>
        </w:rPr>
        <w:t>○沖縄県が作成した「ヘルプマーク」や「ちゅらパーキング制度」の周知広報、窓口での配布などに努めています。</w:t>
      </w:r>
    </w:p>
    <w:p>
      <w:pPr>
        <w:pStyle w:val="0"/>
        <w:ind w:left="662" w:leftChars="200" w:hanging="214" w:hangingChars="100"/>
        <w:rPr>
          <w:rFonts w:hint="default"/>
          <w:sz w:val="21"/>
        </w:rPr>
      </w:pPr>
      <w:r>
        <w:rPr>
          <w:rFonts w:hint="eastAsia"/>
          <w:sz w:val="21"/>
        </w:rPr>
        <w:t>○町民生委員・児童委員に対し、障害福祉制度に関する勉強会を開催しました。</w:t>
      </w:r>
    </w:p>
    <w:p>
      <w:pPr>
        <w:pStyle w:val="0"/>
        <w:ind w:left="662" w:leftChars="200" w:hanging="214" w:hangingChars="100"/>
        <w:rPr>
          <w:rFonts w:hint="default"/>
          <w:sz w:val="21"/>
        </w:rPr>
      </w:pPr>
      <w:r>
        <w:rPr>
          <w:rFonts w:hint="eastAsia"/>
          <w:sz w:val="21"/>
        </w:rPr>
        <w:t>○町内小学４年生を対象に、当事者による講話を通して手話を学ぶ機会を設けたり、南風原高校３年生に障がいへの理解啓発に関する出前講座を実施しました。</w:t>
      </w:r>
    </w:p>
    <w:p>
      <w:pPr>
        <w:pStyle w:val="0"/>
        <w:ind w:left="662" w:leftChars="200" w:hanging="214" w:hangingChars="100"/>
        <w:rPr>
          <w:rFonts w:hint="default"/>
          <w:sz w:val="21"/>
        </w:rPr>
      </w:pPr>
      <w:r>
        <w:rPr>
          <w:rFonts w:hint="eastAsia"/>
          <w:sz w:val="21"/>
        </w:rPr>
        <w:t>○地域組織や団体等に対する理解啓発をさらに実施するため、町社会福祉協議会との連携が必要です。</w:t>
      </w:r>
    </w:p>
    <w:p>
      <w:pPr>
        <w:pStyle w:val="0"/>
        <w:ind w:left="662" w:leftChars="200" w:hanging="214" w:hangingChars="100"/>
        <w:rPr>
          <w:rFonts w:hint="default"/>
          <w:sz w:val="21"/>
        </w:rPr>
      </w:pPr>
      <w:r>
        <w:rPr>
          <w:rFonts w:hint="eastAsia"/>
          <w:sz w:val="21"/>
        </w:rPr>
        <w:t>○障害者週間の啓発活動の一環として、町内障害福祉事業所が製作した商品の販売活動を町内スーパーでの実施や、南風原町オリジナルルールの「か・ボッチャ」を障害福祉事業所に通う利用者参加型で実施する等、啓発活動と合わせた交流事業を行いました。今後も、体験・交流の場づくりを継続的に続けるための仕組みづくりが必要です。</w:t>
      </w:r>
    </w:p>
    <w:p>
      <w:pPr>
        <w:pStyle w:val="0"/>
        <w:ind w:left="662" w:leftChars="200" w:hanging="214" w:hangingChars="100"/>
        <w:rPr>
          <w:rFonts w:hint="default"/>
          <w:sz w:val="21"/>
        </w:rPr>
      </w:pPr>
    </w:p>
    <w:p>
      <w:pPr>
        <w:pStyle w:val="0"/>
        <w:ind w:left="224" w:leftChars="100"/>
        <w:rPr>
          <w:rFonts w:hint="default" w:ascii="ＭＳ ゴシック" w:hAnsi="ＭＳ ゴシック" w:eastAsia="ＭＳ ゴシック"/>
        </w:rPr>
      </w:pPr>
      <w:r>
        <w:rPr>
          <w:rFonts w:hint="eastAsia" w:ascii="ＭＳ ゴシック" w:hAnsi="ＭＳ ゴシック" w:eastAsia="ＭＳ ゴシック"/>
        </w:rPr>
        <w:t>（アンケート調査より）</w:t>
      </w:r>
    </w:p>
    <w:p>
      <w:pPr>
        <w:pStyle w:val="0"/>
        <w:ind w:left="662" w:leftChars="200" w:hanging="214" w:hangingChars="100"/>
        <w:rPr>
          <w:rFonts w:hint="default"/>
          <w:sz w:val="21"/>
        </w:rPr>
      </w:pPr>
      <w:r>
        <w:rPr>
          <w:rFonts w:hint="eastAsia"/>
          <w:sz w:val="21"/>
        </w:rPr>
        <w:t>◯５年前と比べて障がい者に対する地域の理解・認識について、「何も変わらない」が</w:t>
      </w:r>
      <w:r>
        <w:rPr>
          <w:rFonts w:hint="default"/>
          <w:sz w:val="21"/>
        </w:rPr>
        <w:t>48.6</w:t>
      </w:r>
      <w:r>
        <w:rPr>
          <w:rFonts w:hint="eastAsia"/>
          <w:sz w:val="21"/>
        </w:rPr>
        <w:t>％</w:t>
      </w:r>
      <w:r>
        <w:rPr>
          <w:rFonts w:hint="eastAsia"/>
          <w:sz w:val="21"/>
        </w:rPr>
        <w:t>(</w:t>
      </w:r>
      <w:r>
        <w:rPr>
          <w:rFonts w:hint="eastAsia"/>
          <w:sz w:val="21"/>
        </w:rPr>
        <w:t>前回</w:t>
      </w:r>
      <w:r>
        <w:rPr>
          <w:rFonts w:hint="default"/>
          <w:sz w:val="21"/>
        </w:rPr>
        <w:t>47.3</w:t>
      </w:r>
      <w:r>
        <w:rPr>
          <w:rFonts w:hint="default"/>
          <w:sz w:val="21"/>
        </w:rPr>
        <w:t>％</w:t>
      </w:r>
      <w:r>
        <w:rPr>
          <w:rFonts w:hint="eastAsia"/>
          <w:sz w:val="21"/>
        </w:rPr>
        <w:t>)</w:t>
      </w:r>
      <w:r>
        <w:rPr>
          <w:rFonts w:hint="eastAsia"/>
          <w:sz w:val="21"/>
        </w:rPr>
        <w:t>と最も高く、次に「深まっていると思う」が</w:t>
      </w:r>
      <w:r>
        <w:rPr>
          <w:rFonts w:hint="eastAsia"/>
          <w:sz w:val="21"/>
        </w:rPr>
        <w:t>28.9</w:t>
      </w:r>
      <w:r>
        <w:rPr>
          <w:rFonts w:hint="eastAsia"/>
          <w:sz w:val="21"/>
        </w:rPr>
        <w:t>％</w:t>
      </w:r>
      <w:r>
        <w:rPr>
          <w:rFonts w:hint="eastAsia"/>
          <w:sz w:val="21"/>
        </w:rPr>
        <w:t>(</w:t>
      </w:r>
      <w:r>
        <w:rPr>
          <w:rFonts w:hint="eastAsia"/>
          <w:sz w:val="21"/>
        </w:rPr>
        <w:t>前回</w:t>
      </w:r>
      <w:r>
        <w:rPr>
          <w:rFonts w:hint="eastAsia"/>
          <w:sz w:val="21"/>
        </w:rPr>
        <w:t>28.5</w:t>
      </w:r>
      <w:r>
        <w:rPr>
          <w:rFonts w:hint="eastAsia"/>
          <w:sz w:val="21"/>
        </w:rPr>
        <w:t>％</w:t>
      </w:r>
      <w:r>
        <w:rPr>
          <w:rFonts w:hint="eastAsia"/>
          <w:sz w:val="21"/>
        </w:rPr>
        <w:t>)</w:t>
      </w:r>
      <w:r>
        <w:rPr>
          <w:rFonts w:hint="eastAsia"/>
          <w:sz w:val="21"/>
        </w:rPr>
        <w:t>となっています。一方、日常生活で困っていることでの「社会の障がいへの理解が十分ではなく、誤解や偏見がある」は</w:t>
      </w:r>
      <w:r>
        <w:rPr>
          <w:rFonts w:hint="eastAsia"/>
          <w:sz w:val="21"/>
        </w:rPr>
        <w:t>13.2</w:t>
      </w:r>
      <w:r>
        <w:rPr>
          <w:rFonts w:hint="eastAsia"/>
          <w:sz w:val="21"/>
        </w:rPr>
        <w:t>％</w:t>
      </w:r>
      <w:r>
        <w:rPr>
          <w:rFonts w:hint="eastAsia"/>
          <w:sz w:val="21"/>
        </w:rPr>
        <w:t>(</w:t>
      </w:r>
      <w:r>
        <w:rPr>
          <w:rFonts w:hint="eastAsia"/>
          <w:sz w:val="21"/>
        </w:rPr>
        <w:t>前回</w:t>
      </w:r>
      <w:r>
        <w:rPr>
          <w:rFonts w:hint="eastAsia"/>
          <w:sz w:val="21"/>
        </w:rPr>
        <w:t>19.1</w:t>
      </w:r>
      <w:r>
        <w:rPr>
          <w:rFonts w:hint="eastAsia"/>
          <w:sz w:val="21"/>
        </w:rPr>
        <w:t>％</w:t>
      </w:r>
      <w:r>
        <w:rPr>
          <w:rFonts w:hint="eastAsia"/>
          <w:sz w:val="21"/>
        </w:rPr>
        <w:t>)</w:t>
      </w:r>
      <w:r>
        <w:rPr>
          <w:rFonts w:hint="eastAsia"/>
          <w:sz w:val="21"/>
        </w:rPr>
        <w:t>となっています。</w:t>
      </w:r>
    </w:p>
    <w:p>
      <w:pPr>
        <w:pStyle w:val="0"/>
        <w:ind w:left="662" w:leftChars="200" w:hanging="214" w:hangingChars="100"/>
        <w:rPr>
          <w:rFonts w:hint="default"/>
          <w:sz w:val="21"/>
        </w:rPr>
      </w:pPr>
      <w:r>
        <w:rPr>
          <w:rFonts w:hint="eastAsia"/>
          <w:sz w:val="21"/>
        </w:rPr>
        <w:t>○障がい者に対する誤解や偏見があるの割合は前回に比べて低くなっているものの、理解・認識は十分ではないことがうかがえ、今後も理解啓発の充実に努める必要があります。</w:t>
      </w: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widowControl w:val="1"/>
        <w:jc w:val="left"/>
        <w:rPr>
          <w:rFonts w:hint="default" w:ascii="ＭＳ ゴシック" w:hAnsi="ＭＳ ゴシック" w:eastAsia="ＭＳ ゴシック"/>
        </w:rPr>
      </w:pPr>
      <w:r>
        <w:rPr>
          <w:rFonts w:hint="default"/>
        </w:rPr>
        <w:br w:type="page"/>
      </w:r>
    </w:p>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312"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41"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42"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43"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44"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168;" coordsize="6044565,219710" coordorigin="0,0" o:spid="_x0000_s1141" o:allowincell="t" o:allowoverlap="t">
                <v:roundrect id="今後の取り組み_四角（灰）" style="height:219710;width:6044565;top:0;left:0;position:absolute;" o:spid="_x0000_s1142"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43"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44"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eastAsia"/>
        </w:rPr>
        <w:t>【施策の基本的な考え方】</w:t>
      </w:r>
    </w:p>
    <w:p>
      <w:pPr>
        <w:pStyle w:val="0"/>
        <w:ind w:left="448" w:leftChars="200" w:firstLine="214" w:firstLineChars="100"/>
        <w:rPr>
          <w:rFonts w:hint="default"/>
          <w:sz w:val="21"/>
        </w:rPr>
      </w:pPr>
      <w:r>
        <w:rPr>
          <w:rFonts w:hint="eastAsia"/>
          <w:sz w:val="21"/>
        </w:rPr>
        <w:t>共生社会実現のためには、障がいや障がい者を正しく理解し、互いに認め合うことが大切であり、障がい者の自立支援、社会参加のため、関係機関、関係団体、サービス事業所等と連携し、継続性を持って地域における理解・啓発活動の充実に取り組むことを目指します。</w:t>
      </w:r>
    </w:p>
    <w:p>
      <w:pPr>
        <w:pStyle w:val="0"/>
        <w:ind w:left="560" w:leftChars="250" w:firstLine="214" w:firstLineChars="100"/>
        <w:rPr>
          <w:rFonts w:hint="default"/>
          <w:sz w:val="21"/>
        </w:rPr>
      </w:pPr>
    </w:p>
    <w:p>
      <w:pPr>
        <w:pStyle w:val="83"/>
        <w:ind w:left="448"/>
        <w:rPr>
          <w:rFonts w:hint="default"/>
          <w:color w:val="auto"/>
        </w:rPr>
      </w:pPr>
      <w:r>
        <w:rPr>
          <w:rFonts w:hint="eastAsia"/>
          <w:color w:val="auto"/>
        </w:rPr>
        <w:t>①障がいや障がいのある人に関する理解・啓発の推進</w:t>
      </w:r>
    </w:p>
    <w:p>
      <w:pPr>
        <w:pStyle w:val="0"/>
        <w:ind w:left="886" w:leftChars="300" w:hanging="214" w:hangingChars="100"/>
        <w:rPr>
          <w:rFonts w:hint="default"/>
          <w:sz w:val="21"/>
        </w:rPr>
      </w:pPr>
      <w:r>
        <w:rPr>
          <w:rFonts w:hint="eastAsia"/>
          <w:sz w:val="21"/>
        </w:rPr>
        <w:t>・障がい及び障がいのある人に対する地域住民の正しい知識と理解を深めるために、広報紙やホームページをはじめ、イベントの開催や障害者週間を活用した啓発事業等、様々な機会を通じて、正しい知識の普及・啓発に取り組みます。</w:t>
      </w:r>
    </w:p>
    <w:p>
      <w:pPr>
        <w:pStyle w:val="0"/>
        <w:ind w:left="896" w:leftChars="300" w:hanging="224" w:hangingChars="100"/>
        <w:rPr>
          <w:rFonts w:hint="default" w:ascii="ＭＳ ゴシック" w:hAnsi="ＭＳ ゴシック" w:eastAsia="ＭＳ ゴシック"/>
        </w:rPr>
      </w:pPr>
    </w:p>
    <w:p>
      <w:pPr>
        <w:pStyle w:val="83"/>
        <w:ind w:left="448"/>
        <w:rPr>
          <w:rFonts w:hint="default"/>
          <w:color w:val="auto"/>
        </w:rPr>
      </w:pPr>
      <w:r>
        <w:rPr>
          <w:rFonts w:hint="eastAsia"/>
          <w:color w:val="auto"/>
        </w:rPr>
        <w:t>②地域組織等への理解・啓発の推進</w:t>
      </w:r>
    </w:p>
    <w:p>
      <w:pPr>
        <w:pStyle w:val="0"/>
        <w:ind w:left="886" w:leftChars="300" w:hanging="214" w:hangingChars="100"/>
        <w:rPr>
          <w:rFonts w:hint="default"/>
          <w:sz w:val="21"/>
        </w:rPr>
      </w:pPr>
      <w:r>
        <w:rPr>
          <w:rFonts w:hint="eastAsia"/>
          <w:sz w:val="21"/>
        </w:rPr>
        <w:t>・町社会福祉協議会と連携し、自治会及びその他住民組織・団体等に対する障がい及び障がい者理解促進のための講話や勉強会等の実施に取り組みます。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③体験・交流を通した理解促進</w:t>
      </w:r>
    </w:p>
    <w:p>
      <w:pPr>
        <w:pStyle w:val="0"/>
        <w:ind w:left="886" w:leftChars="300" w:hanging="214" w:hangingChars="100"/>
        <w:rPr>
          <w:rFonts w:hint="default"/>
          <w:sz w:val="21"/>
        </w:rPr>
      </w:pPr>
      <w:r>
        <w:rPr>
          <w:rFonts w:hint="eastAsia"/>
          <w:sz w:val="21"/>
        </w:rPr>
        <w:t>・町のイベントや｢福祉まつり｣等の取り組みにおいて、障がいや障がい者への理解が深まるような企画や障がい者が参加しやすい環境づくりを行い、障がいのある人もない人も共に理解し、交流できるよう、町社会福祉協議会、町民生委員・児童委員連合会、町内の障害福祉事業所等との連携を図り、多様な交流活動を推進します。</w:t>
      </w:r>
    </w:p>
    <w:p>
      <w:pPr>
        <w:pStyle w:val="0"/>
        <w:ind w:left="886" w:leftChars="300" w:hanging="214" w:hangingChars="100"/>
        <w:rPr>
          <w:rFonts w:hint="default"/>
          <w:sz w:val="21"/>
        </w:rPr>
      </w:pPr>
    </w:p>
    <w:p>
      <w:pPr>
        <w:pStyle w:val="0"/>
        <w:widowControl w:val="1"/>
        <w:jc w:val="left"/>
        <w:rPr>
          <w:rFonts w:hint="default"/>
          <w:sz w:val="21"/>
        </w:rPr>
      </w:pPr>
      <w:r>
        <w:rPr>
          <w:rFonts w:hint="default"/>
          <w:sz w:val="21"/>
        </w:rPr>
        <w:br w:type="page"/>
      </w:r>
    </w:p>
    <w:p>
      <w:pPr>
        <w:pStyle w:val="22"/>
        <w:spacing w:after="111" w:afterLines="0" w:afterAutospacing="0"/>
        <w:rPr>
          <w:rFonts w:hint="default"/>
        </w:rPr>
      </w:pPr>
      <w:bookmarkStart w:id="45" w:name="_Toc154411465"/>
      <w:r>
        <w:rPr>
          <w:rFonts w:hint="eastAsia"/>
        </w:rPr>
        <w:t>（２）差別解消・合理的配慮の普及啓発</w:t>
      </w:r>
      <w:bookmarkEnd w:id="45"/>
    </w:p>
    <w:p>
      <w:pPr>
        <w:pStyle w:val="82"/>
        <w:rPr>
          <w:rFonts w:hint="default"/>
        </w:rPr>
      </w:pPr>
      <w:r>
        <w:rPr>
          <w:rFonts w:hint="eastAsia"/>
        </w:rPr>
        <w:t>【現状と課題】</w:t>
      </w:r>
    </w:p>
    <w:p>
      <w:pPr>
        <w:pStyle w:val="0"/>
        <w:ind w:left="662" w:leftChars="200" w:hanging="214" w:hangingChars="100"/>
        <w:rPr>
          <w:rFonts w:hint="default"/>
          <w:sz w:val="21"/>
        </w:rPr>
      </w:pPr>
      <w:r>
        <w:rPr>
          <w:rFonts w:hint="eastAsia"/>
          <w:sz w:val="21"/>
        </w:rPr>
        <w:t>○「障害者差別解消法」では、障がいのある人に対して、正当な理由なく、障がいを理由とした不当な差別的取り扱いを禁止しています。「障害者差別解消法」の改正点である</w:t>
      </w:r>
      <w:r>
        <w:rPr>
          <w:rFonts w:hint="default"/>
          <w:sz w:val="21"/>
        </w:rPr>
        <w:t>事業者による合理的配慮が義務化されること</w:t>
      </w:r>
      <w:r>
        <w:rPr>
          <w:rFonts w:hint="eastAsia"/>
          <w:sz w:val="21"/>
        </w:rPr>
        <w:t>等</w:t>
      </w:r>
      <w:r>
        <w:rPr>
          <w:rFonts w:hint="default"/>
          <w:sz w:val="21"/>
        </w:rPr>
        <w:t>も含めてホームページに掲載してい</w:t>
      </w:r>
      <w:r>
        <w:rPr>
          <w:rFonts w:hint="eastAsia"/>
          <w:sz w:val="21"/>
        </w:rPr>
        <w:t>ます</w:t>
      </w:r>
      <w:r>
        <w:rPr>
          <w:rFonts w:hint="default"/>
          <w:sz w:val="21"/>
        </w:rPr>
        <w:t>。</w:t>
      </w:r>
    </w:p>
    <w:p>
      <w:pPr>
        <w:pStyle w:val="0"/>
        <w:ind w:left="662" w:leftChars="200" w:hanging="214" w:hangingChars="100"/>
        <w:rPr>
          <w:rFonts w:hint="default"/>
          <w:sz w:val="21"/>
        </w:rPr>
      </w:pPr>
      <w:r>
        <w:rPr>
          <w:rFonts w:hint="eastAsia"/>
          <w:sz w:val="21"/>
        </w:rPr>
        <w:t>○障害者週間期間中に障がい特性に応じた配慮に関する掲示を行い障がいを理由とした差別防止や合理的配慮について理解啓発に取り組んでいます。</w:t>
      </w:r>
    </w:p>
    <w:p>
      <w:pPr>
        <w:pStyle w:val="0"/>
        <w:ind w:left="662" w:leftChars="200" w:hanging="214" w:hangingChars="100"/>
        <w:rPr>
          <w:rFonts w:hint="default"/>
          <w:sz w:val="21"/>
        </w:rPr>
      </w:pPr>
      <w:r>
        <w:rPr>
          <w:rFonts w:hint="eastAsia"/>
          <w:sz w:val="21"/>
        </w:rPr>
        <w:t>○差別解消や合理的配慮に対する地域への理解浸透は十分ではなく、今後も、広報・啓発活動を行うとともに、町社会福祉協議会と連携協力し地域組織への勉強会等の開催に取り組む必要があります。</w:t>
      </w:r>
    </w:p>
    <w:p>
      <w:pPr>
        <w:pStyle w:val="0"/>
        <w:ind w:left="662" w:leftChars="200" w:hanging="214" w:hangingChars="100"/>
        <w:rPr>
          <w:rFonts w:hint="default"/>
          <w:sz w:val="21"/>
        </w:rPr>
      </w:pPr>
      <w:r>
        <w:rPr>
          <w:rFonts w:hint="eastAsia"/>
          <w:sz w:val="21"/>
        </w:rPr>
        <w:t>○障がい者の差別解消や合理的配慮の観点から、障がいの特性に応じた適切な窓口対応が提供できるよう、職員一同接遇向上に取り組んでいます。</w:t>
      </w:r>
    </w:p>
    <w:p>
      <w:pPr>
        <w:pStyle w:val="0"/>
        <w:ind w:left="662" w:leftChars="200" w:hanging="214" w:hangingChars="100"/>
        <w:rPr>
          <w:rFonts w:hint="default"/>
          <w:sz w:val="21"/>
        </w:rPr>
      </w:pPr>
      <w:r>
        <w:rPr>
          <w:rFonts w:hint="eastAsia"/>
          <w:sz w:val="21"/>
        </w:rPr>
        <w:t>○投票所のバリアフリーについては、各投票所を段差が少ないフラットな環境になるよう配慮し、障がい者の利用に配慮しています。また、介助が必要な方についても人員を配置し、適宜状況に合った対応を行っています。郵便投票についても申請を受け付けて、投票機会の確保をしています。</w:t>
      </w:r>
    </w:p>
    <w:p>
      <w:pPr>
        <w:pStyle w:val="0"/>
        <w:ind w:left="662" w:leftChars="200" w:hanging="214" w:hangingChars="100"/>
        <w:rPr>
          <w:rFonts w:hint="default"/>
          <w:sz w:val="21"/>
        </w:rPr>
      </w:pPr>
    </w:p>
    <w:p>
      <w:pPr>
        <w:pStyle w:val="0"/>
        <w:ind w:left="224" w:leftChars="100"/>
        <w:rPr>
          <w:rFonts w:hint="default"/>
          <w:sz w:val="21"/>
        </w:rPr>
      </w:pPr>
      <w:r>
        <w:rPr>
          <w:rFonts w:hint="eastAsia" w:ascii="ＭＳ ゴシック" w:hAnsi="ＭＳ ゴシック" w:eastAsia="ＭＳ ゴシック"/>
        </w:rPr>
        <w:t>（アンケート調査より）</w:t>
      </w:r>
    </w:p>
    <w:p>
      <w:pPr>
        <w:pStyle w:val="0"/>
        <w:ind w:left="662" w:leftChars="200" w:hanging="214" w:hangingChars="100"/>
        <w:rPr>
          <w:rFonts w:hint="default"/>
          <w:sz w:val="21"/>
        </w:rPr>
      </w:pPr>
      <w:r>
        <w:rPr>
          <w:rFonts w:hint="eastAsia"/>
          <w:sz w:val="21"/>
        </w:rPr>
        <w:t>○障がいがあることで差別や嫌な思いをしたことについて、</w:t>
      </w:r>
      <w:r>
        <w:rPr>
          <w:rFonts w:hint="eastAsia"/>
          <w:sz w:val="21"/>
        </w:rPr>
        <w:t>35.7</w:t>
      </w:r>
      <w:r>
        <w:rPr>
          <w:rFonts w:hint="eastAsia"/>
          <w:sz w:val="21"/>
        </w:rPr>
        <w:t>％</w:t>
      </w:r>
      <w:r>
        <w:rPr>
          <w:rFonts w:hint="eastAsia"/>
          <w:sz w:val="21"/>
        </w:rPr>
        <w:t>(</w:t>
      </w:r>
      <w:r>
        <w:rPr>
          <w:rFonts w:hint="eastAsia"/>
          <w:sz w:val="21"/>
        </w:rPr>
        <w:t>前回</w:t>
      </w:r>
      <w:r>
        <w:rPr>
          <w:rFonts w:hint="eastAsia"/>
          <w:sz w:val="21"/>
        </w:rPr>
        <w:t>40.0</w:t>
      </w:r>
      <w:r>
        <w:rPr>
          <w:rFonts w:hint="eastAsia"/>
          <w:sz w:val="21"/>
        </w:rPr>
        <w:t>％</w:t>
      </w:r>
      <w:r>
        <w:rPr>
          <w:rFonts w:hint="eastAsia"/>
          <w:sz w:val="21"/>
        </w:rPr>
        <w:t>)</w:t>
      </w:r>
      <w:r>
        <w:rPr>
          <w:rFonts w:hint="eastAsia"/>
          <w:sz w:val="21"/>
        </w:rPr>
        <w:t>の障がい者が「ある」と答えています。また、障がい児の保護者では</w:t>
      </w:r>
      <w:r>
        <w:rPr>
          <w:rFonts w:hint="eastAsia"/>
          <w:sz w:val="21"/>
        </w:rPr>
        <w:t>41.8</w:t>
      </w:r>
      <w:r>
        <w:rPr>
          <w:rFonts w:hint="eastAsia"/>
          <w:sz w:val="21"/>
        </w:rPr>
        <w:t>％</w:t>
      </w:r>
      <w:r>
        <w:rPr>
          <w:rFonts w:hint="eastAsia"/>
          <w:sz w:val="21"/>
        </w:rPr>
        <w:t>(</w:t>
      </w:r>
      <w:r>
        <w:rPr>
          <w:rFonts w:hint="eastAsia"/>
          <w:sz w:val="21"/>
        </w:rPr>
        <w:t>前回</w:t>
      </w:r>
      <w:r>
        <w:rPr>
          <w:rFonts w:hint="eastAsia"/>
          <w:sz w:val="21"/>
        </w:rPr>
        <w:t>39.6</w:t>
      </w:r>
      <w:r>
        <w:rPr>
          <w:rFonts w:hint="eastAsia"/>
          <w:sz w:val="21"/>
        </w:rPr>
        <w:t>％</w:t>
      </w:r>
      <w:r>
        <w:rPr>
          <w:rFonts w:hint="eastAsia"/>
          <w:sz w:val="21"/>
        </w:rPr>
        <w:t>)</w:t>
      </w:r>
      <w:r>
        <w:rPr>
          <w:rFonts w:hint="eastAsia"/>
          <w:sz w:val="21"/>
        </w:rPr>
        <w:t>が「ある」と答えています。差別や嫌な思いをした場所として病院、学校、スーパー・ショッピングセンター、バス・タクシー等の公共交通機関等様々です。</w:t>
      </w:r>
    </w:p>
    <w:p>
      <w:pPr>
        <w:pStyle w:val="0"/>
        <w:ind w:left="662" w:leftChars="200" w:hanging="214" w:hangingChars="100"/>
        <w:rPr>
          <w:rFonts w:hint="default"/>
          <w:sz w:val="21"/>
        </w:rPr>
      </w:pPr>
      <w:r>
        <w:rPr>
          <w:rFonts w:hint="eastAsia"/>
          <w:sz w:val="21"/>
        </w:rPr>
        <w:t>○「障害者差別解消法」や「合理的配慮」について、「名称も内容も知っている」障がい者は前回は</w:t>
      </w:r>
      <w:r>
        <w:rPr>
          <w:rFonts w:hint="eastAsia"/>
          <w:sz w:val="21"/>
        </w:rPr>
        <w:t>7.3</w:t>
      </w:r>
      <w:r>
        <w:rPr>
          <w:rFonts w:hint="eastAsia"/>
          <w:sz w:val="21"/>
        </w:rPr>
        <w:t>％、</w:t>
      </w:r>
      <w:r>
        <w:rPr>
          <w:rFonts w:hint="eastAsia"/>
          <w:sz w:val="21"/>
        </w:rPr>
        <w:t>6.1</w:t>
      </w:r>
      <w:r>
        <w:rPr>
          <w:rFonts w:hint="eastAsia"/>
          <w:sz w:val="21"/>
        </w:rPr>
        <w:t>％となっていますが、今回は障がい児の保護者のみに聞いています。それぞれ</w:t>
      </w:r>
      <w:r>
        <w:rPr>
          <w:rFonts w:hint="eastAsia"/>
          <w:sz w:val="21"/>
        </w:rPr>
        <w:t>9.2</w:t>
      </w:r>
      <w:r>
        <w:rPr>
          <w:rFonts w:hint="eastAsia"/>
          <w:sz w:val="21"/>
        </w:rPr>
        <w:t>％</w:t>
      </w:r>
      <w:r>
        <w:rPr>
          <w:rFonts w:hint="eastAsia"/>
          <w:sz w:val="21"/>
        </w:rPr>
        <w:t>(</w:t>
      </w:r>
      <w:r>
        <w:rPr>
          <w:rFonts w:hint="eastAsia"/>
          <w:sz w:val="21"/>
        </w:rPr>
        <w:t>前回</w:t>
      </w:r>
      <w:r>
        <w:rPr>
          <w:rFonts w:hint="default"/>
          <w:sz w:val="21"/>
        </w:rPr>
        <w:t>7.2</w:t>
      </w:r>
      <w:r>
        <w:rPr>
          <w:rFonts w:hint="eastAsia"/>
          <w:sz w:val="21"/>
        </w:rPr>
        <w:t>％</w:t>
      </w:r>
      <w:r>
        <w:rPr>
          <w:rFonts w:hint="eastAsia"/>
          <w:sz w:val="21"/>
        </w:rPr>
        <w:t>)</w:t>
      </w:r>
      <w:r>
        <w:rPr>
          <w:rFonts w:hint="eastAsia"/>
          <w:sz w:val="21"/>
        </w:rPr>
        <w:t>、</w:t>
      </w:r>
      <w:r>
        <w:rPr>
          <w:rFonts w:hint="eastAsia"/>
          <w:sz w:val="21"/>
        </w:rPr>
        <w:t>22.2</w:t>
      </w:r>
      <w:r>
        <w:rPr>
          <w:rFonts w:hint="eastAsia"/>
          <w:sz w:val="21"/>
        </w:rPr>
        <w:t>％</w:t>
      </w:r>
      <w:r>
        <w:rPr>
          <w:rFonts w:hint="eastAsia"/>
          <w:sz w:val="21"/>
        </w:rPr>
        <w:t>(</w:t>
      </w:r>
      <w:r>
        <w:rPr>
          <w:rFonts w:hint="eastAsia"/>
          <w:sz w:val="21"/>
        </w:rPr>
        <w:t>前回</w:t>
      </w:r>
      <w:r>
        <w:rPr>
          <w:rFonts w:hint="default"/>
          <w:sz w:val="21"/>
        </w:rPr>
        <w:t>18.9</w:t>
      </w:r>
      <w:r>
        <w:rPr>
          <w:rFonts w:hint="eastAsia"/>
          <w:sz w:val="21"/>
        </w:rPr>
        <w:t>％</w:t>
      </w:r>
      <w:r>
        <w:rPr>
          <w:rFonts w:hint="eastAsia"/>
          <w:sz w:val="21"/>
        </w:rPr>
        <w:t>)</w:t>
      </w:r>
      <w:r>
        <w:rPr>
          <w:rFonts w:hint="eastAsia"/>
          <w:sz w:val="21"/>
        </w:rPr>
        <w:t>と前回とほぼ同程度であることから、更なる周知強化に努める必要があります。</w:t>
      </w: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ind w:left="672" w:leftChars="200" w:hanging="224" w:hangingChars="100"/>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r>
        <w:rPr>
          <w:rFonts w:hint="default"/>
        </w:rPr>
        <w:br w:type="page"/>
      </w:r>
    </w:p>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69"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45"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46"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47"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48"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11;" coordsize="6044565,219710" coordorigin="0,0" o:spid="_x0000_s1145" o:allowincell="t" o:allowoverlap="t">
                <v:roundrect id="今後の取り組み_四角（灰）" style="height:219710;width:6044565;top:0;left:0;position:absolute;" o:spid="_x0000_s1146"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47"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48"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default"/>
        </w:rPr>
        <w:t>【</w:t>
      </w:r>
      <w:r>
        <w:rPr>
          <w:rFonts w:hint="eastAsia"/>
        </w:rPr>
        <w:t>施策の基本的な考え方</w:t>
      </w:r>
      <w:r>
        <w:rPr>
          <w:rFonts w:hint="default"/>
        </w:rPr>
        <w:t>】</w:t>
      </w:r>
    </w:p>
    <w:p>
      <w:pPr>
        <w:pStyle w:val="0"/>
        <w:ind w:left="448" w:leftChars="200" w:firstLine="214" w:firstLineChars="100"/>
        <w:rPr>
          <w:rFonts w:hint="default"/>
          <w:sz w:val="21"/>
        </w:rPr>
      </w:pPr>
      <w:r>
        <w:rPr>
          <w:rFonts w:hint="eastAsia"/>
          <w:sz w:val="21"/>
        </w:rPr>
        <w:t>障がいのある人もない人も共に暮らせる社会を目指すには、日常生活や社会生活において障がい者の活動を制限し、社会への参加を制約している社会的障壁を取り除くことが重要となります。このため、障害者差別解消法の趣旨や合理的配慮の普及啓発に取り組み、障がい者も含めた一人ひとりが、それぞれの立場において自発的に差別解消に取り組むことを促していきます。</w:t>
      </w:r>
    </w:p>
    <w:p>
      <w:pPr>
        <w:pStyle w:val="0"/>
        <w:ind w:left="448" w:leftChars="200" w:firstLine="214" w:firstLineChars="100"/>
        <w:rPr>
          <w:rFonts w:hint="default"/>
          <w:sz w:val="21"/>
        </w:rPr>
      </w:pPr>
    </w:p>
    <w:p>
      <w:pPr>
        <w:pStyle w:val="83"/>
        <w:ind w:left="448"/>
        <w:rPr>
          <w:rFonts w:hint="default"/>
          <w:color w:val="auto"/>
        </w:rPr>
      </w:pPr>
      <w:r>
        <w:rPr>
          <w:rFonts w:hint="eastAsia"/>
          <w:color w:val="auto"/>
        </w:rPr>
        <w:t>①障がいを理由とする差別解消や合理的配慮の提供に関する啓発活動</w:t>
      </w:r>
    </w:p>
    <w:p>
      <w:pPr>
        <w:pStyle w:val="65"/>
        <w:widowControl w:val="1"/>
        <w:ind w:left="886" w:leftChars="300" w:hanging="214" w:hangingChars="100"/>
        <w:jc w:val="left"/>
        <w:rPr>
          <w:rFonts w:hint="default"/>
          <w:sz w:val="21"/>
        </w:rPr>
      </w:pPr>
      <w:r>
        <w:rPr>
          <w:rFonts w:hint="eastAsia"/>
          <w:sz w:val="21"/>
        </w:rPr>
        <w:t>・差別解消や合理的配慮に対する地域への理解浸透を図るため、今後も、障害者週間等の啓発週間を活用した広報や啓発活動を行うとともに、町社会福祉協議会と連携協力し、町民生委員・児童委員等の関係団体や地域団体への勉強会等、普及啓発に取り組み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②職員に対する障がい者理解の周知・啓発</w:t>
      </w:r>
    </w:p>
    <w:p>
      <w:pPr>
        <w:pStyle w:val="65"/>
        <w:widowControl w:val="1"/>
        <w:ind w:left="886" w:leftChars="300" w:hanging="214" w:hangingChars="100"/>
        <w:jc w:val="left"/>
        <w:rPr>
          <w:rFonts w:hint="default"/>
          <w:sz w:val="21"/>
        </w:rPr>
      </w:pPr>
      <w:r>
        <w:rPr>
          <w:rFonts w:hint="eastAsia"/>
          <w:sz w:val="21"/>
        </w:rPr>
        <w:t>・障がい特性に応じた適切な対応が提供できるよう障がいを理由とした差別の禁止や合理的配慮について職員への周知徹底を図ります。</w:t>
      </w:r>
    </w:p>
    <w:p>
      <w:pPr>
        <w:pStyle w:val="65"/>
        <w:widowControl w:val="1"/>
        <w:ind w:left="886" w:leftChars="300" w:hanging="214" w:hangingChars="100"/>
        <w:jc w:val="left"/>
        <w:rPr>
          <w:rFonts w:hint="default"/>
          <w:sz w:val="21"/>
        </w:rPr>
      </w:pPr>
    </w:p>
    <w:p>
      <w:pPr>
        <w:pStyle w:val="83"/>
        <w:ind w:left="448"/>
        <w:rPr>
          <w:rFonts w:hint="default"/>
          <w:color w:val="auto"/>
        </w:rPr>
      </w:pPr>
      <w:r>
        <w:rPr>
          <w:rFonts w:hint="eastAsia"/>
          <w:color w:val="auto"/>
        </w:rPr>
        <w:t>③選挙における配慮の推進</w:t>
      </w:r>
    </w:p>
    <w:p>
      <w:pPr>
        <w:pStyle w:val="0"/>
        <w:ind w:left="886" w:leftChars="300" w:hanging="214" w:hangingChars="100"/>
        <w:rPr>
          <w:rFonts w:hint="default"/>
          <w:sz w:val="21"/>
        </w:rPr>
      </w:pPr>
      <w:r>
        <w:rPr>
          <w:rFonts w:hint="eastAsia"/>
          <w:sz w:val="21"/>
        </w:rPr>
        <w:t>・障がい者の参政権を保障し、選挙に参加しやすい環境を整えるために、投票所や投票の在り方等について、必要な合理的配慮を行います。</w:t>
      </w:r>
    </w:p>
    <w:p>
      <w:pPr>
        <w:pStyle w:val="0"/>
        <w:ind w:left="886" w:leftChars="300" w:hanging="214" w:hangingChars="100"/>
        <w:rPr>
          <w:rFonts w:hint="default"/>
          <w:sz w:val="21"/>
        </w:rPr>
      </w:pPr>
      <w:r>
        <w:rPr>
          <w:rFonts w:hint="eastAsia"/>
          <w:sz w:val="21"/>
        </w:rPr>
        <w:t>・投票所での投票が困難な障がい者への配慮として、代理投票や郵便等による不在者投票等を推進します。</w:t>
      </w: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widowControl w:val="1"/>
        <w:jc w:val="left"/>
        <w:rPr>
          <w:rFonts w:hint="default"/>
          <w:sz w:val="21"/>
        </w:rPr>
      </w:pPr>
      <w:r>
        <w:rPr>
          <w:rFonts w:hint="default"/>
          <w:sz w:val="21"/>
        </w:rPr>
        <w:br w:type="page"/>
      </w:r>
    </w:p>
    <w:p>
      <w:pPr>
        <w:pStyle w:val="23"/>
        <w:rPr>
          <w:rFonts w:hint="default"/>
        </w:rPr>
      </w:pPr>
      <w:bookmarkStart w:id="46" w:name="_Toc154411466"/>
      <w:bookmarkStart w:id="47" w:name="_Toc158300412"/>
      <w:bookmarkStart w:id="48" w:name="_Toc346185251"/>
      <w:bookmarkStart w:id="49" w:name="_Toc505592290"/>
      <w:bookmarkStart w:id="50" w:name="_Toc62831667"/>
      <w:r>
        <w:rPr>
          <w:rFonts w:hint="eastAsia"/>
        </w:rPr>
        <w:t>２</w:t>
      </w:r>
      <w:r>
        <w:rPr>
          <w:rFonts w:hint="default"/>
        </w:rPr>
        <w:t>．</w:t>
      </w:r>
      <w:r>
        <w:rPr>
          <w:rFonts w:hint="eastAsia"/>
        </w:rPr>
        <w:t>相談支援の充実・権利擁護の</w:t>
      </w:r>
      <w:bookmarkEnd w:id="49"/>
      <w:r>
        <w:rPr>
          <w:rFonts w:hint="eastAsia"/>
        </w:rPr>
        <w:t>推進</w:t>
      </w:r>
      <w:bookmarkEnd w:id="46"/>
      <w:bookmarkEnd w:id="50"/>
      <w:r>
        <w:rPr>
          <w:rFonts w:hint="eastAsia"/>
        </w:rPr>
        <w:t>　</w:t>
      </w:r>
      <w:bookmarkEnd w:id="47"/>
    </w:p>
    <w:p>
      <w:pPr>
        <w:pStyle w:val="22"/>
        <w:spacing w:after="111" w:afterLines="0" w:afterAutospacing="0"/>
        <w:rPr>
          <w:rFonts w:hint="default"/>
        </w:rPr>
      </w:pPr>
      <w:bookmarkStart w:id="51" w:name="_Toc154411467"/>
      <w:r>
        <w:rPr>
          <w:rFonts w:hint="eastAsia"/>
        </w:rPr>
        <w:t>（１）相談支援体制の充実</w:t>
      </w:r>
      <w:bookmarkEnd w:id="51"/>
    </w:p>
    <w:p>
      <w:pPr>
        <w:pStyle w:val="82"/>
        <w:rPr>
          <w:rFonts w:hint="default"/>
        </w:rPr>
      </w:pPr>
      <w:r>
        <w:rPr>
          <w:rFonts w:hint="eastAsia"/>
        </w:rPr>
        <w:t>【現状と課題】</w:t>
      </w:r>
    </w:p>
    <w:p>
      <w:pPr>
        <w:pStyle w:val="0"/>
        <w:ind w:left="662" w:leftChars="200" w:hanging="214" w:hangingChars="100"/>
        <w:rPr>
          <w:rFonts w:hint="default"/>
          <w:sz w:val="21"/>
        </w:rPr>
      </w:pPr>
    </w:p>
    <w:p>
      <w:pPr>
        <w:pStyle w:val="0"/>
        <w:ind w:left="662" w:leftChars="200" w:hanging="214" w:hangingChars="100"/>
        <w:rPr>
          <w:rFonts w:hint="default"/>
          <w:sz w:val="21"/>
        </w:rPr>
      </w:pPr>
      <w:r>
        <w:rPr>
          <w:rFonts w:hint="eastAsia"/>
          <w:sz w:val="21"/>
        </w:rPr>
        <w:t>○町には、障がい児者やその家族の身近な相談窓口として、町役場保健福祉課が運営している基幹相談支援センターと町社会福祉協議会が障害者相談支援事業を受託し実施している委託相談支援事業所があり、各機関が連携し相談対応を行っています。</w:t>
      </w:r>
    </w:p>
    <w:p>
      <w:pPr>
        <w:pStyle w:val="0"/>
        <w:ind w:left="662" w:leftChars="200" w:hanging="214" w:hangingChars="100"/>
        <w:rPr>
          <w:rFonts w:hint="default"/>
        </w:rPr>
      </w:pPr>
      <w:r>
        <w:rPr>
          <w:rFonts w:hint="eastAsia"/>
          <w:sz w:val="21"/>
        </w:rPr>
        <w:t>○</w:t>
      </w:r>
      <w:r>
        <w:rPr>
          <w:rFonts w:hint="default"/>
        </w:rPr>
        <w:t>基幹相談支援センターは、地域における相談支援の中核的な役割を担う機関として、</w:t>
      </w:r>
      <w:r>
        <w:rPr>
          <w:rFonts w:hint="eastAsia"/>
        </w:rPr>
        <w:t>地域の相談支援体制の強化、委託相談支援事業所や計画相談支援事業所の後方支援、地域移行・地域定着の促進、権利擁護・虐待防止等に関するさまざまな取り組みを行っています。</w:t>
      </w:r>
    </w:p>
    <w:p>
      <w:pPr>
        <w:pStyle w:val="0"/>
        <w:ind w:left="662" w:leftChars="200" w:hanging="214" w:hangingChars="100"/>
        <w:rPr>
          <w:rFonts w:hint="default"/>
          <w:sz w:val="21"/>
        </w:rPr>
      </w:pPr>
      <w:r>
        <w:rPr>
          <w:rFonts w:hint="eastAsia"/>
          <w:sz w:val="21"/>
        </w:rPr>
        <w:t>○委託相談支援事業所は、地域で生活する障がい者やその家族、関係機関等の相談に応じ、必要な情報提供や助言、各種障害福祉サービスへの利用支援等、個別支援に関する取り組みを行っています。町社会福祉協議会のコミュニティーソーシャルワーカーが委託相談支援事業を兼務しています。</w:t>
      </w:r>
    </w:p>
    <w:p>
      <w:pPr>
        <w:pStyle w:val="0"/>
        <w:ind w:left="662" w:leftChars="200" w:hanging="214" w:hangingChars="100"/>
        <w:rPr>
          <w:rFonts w:hint="default"/>
          <w:sz w:val="21"/>
        </w:rPr>
      </w:pPr>
      <w:r>
        <w:rPr>
          <w:rFonts w:hint="eastAsia"/>
          <w:sz w:val="21"/>
        </w:rPr>
        <w:t>○町民に基幹相談支援センターや委託相談支援事業所の相談窓口が知られていないため、相談窓口の周知強化を図る必要があります。</w:t>
      </w:r>
    </w:p>
    <w:p>
      <w:pPr>
        <w:pStyle w:val="0"/>
        <w:ind w:left="662" w:leftChars="200" w:hanging="214" w:hangingChars="100"/>
        <w:rPr>
          <w:rFonts w:hint="default"/>
          <w:sz w:val="21"/>
        </w:rPr>
      </w:pPr>
      <w:r>
        <w:rPr>
          <w:rFonts w:hint="eastAsia"/>
          <w:sz w:val="21"/>
        </w:rPr>
        <w:t>○令和４年度の相談支援部会において、町内計画相談支援事業所、委託相談支援事業所、基幹相談支援センター各機関の役割を検討し、整理・見える化することによって重層的な相談支援体制の構築に向けて取り組みました。障がい児者やその家族等からの相談対応を充実するために、各機関が連携し対応できる相談体制の充実が必要です。</w:t>
      </w:r>
    </w:p>
    <w:p>
      <w:pPr>
        <w:pStyle w:val="0"/>
        <w:ind w:left="662" w:leftChars="200" w:hanging="214" w:hangingChars="100"/>
        <w:rPr>
          <w:rFonts w:hint="default"/>
          <w:sz w:val="21"/>
        </w:rPr>
      </w:pPr>
      <w:r>
        <w:rPr>
          <w:rFonts w:hint="eastAsia"/>
          <w:sz w:val="21"/>
        </w:rPr>
        <w:t>○相談支援では自宅訪問、会議参加等アウトリーチにも力を入れ、自ら相談できない方々や潜在的なニーズへの相談支援を継続的に取り組んでいます。</w:t>
      </w:r>
    </w:p>
    <w:p>
      <w:pPr>
        <w:pStyle w:val="0"/>
        <w:ind w:left="662" w:leftChars="200" w:hanging="214" w:hangingChars="100"/>
        <w:rPr>
          <w:rFonts w:hint="default"/>
          <w:sz w:val="21"/>
        </w:rPr>
      </w:pPr>
      <w:r>
        <w:rPr>
          <w:rFonts w:hint="eastAsia"/>
          <w:sz w:val="21"/>
        </w:rPr>
        <w:t>○令和４年度に町内福祉サービス事業所の情報をまとめた「南風原町障害福祉サービス事業所資源マップ」を作成し、町ホームページに掲載しました。</w:t>
      </w:r>
    </w:p>
    <w:p>
      <w:pPr>
        <w:pStyle w:val="0"/>
        <w:ind w:left="662" w:leftChars="200" w:hanging="214" w:hangingChars="100"/>
        <w:rPr>
          <w:rFonts w:hint="default"/>
          <w:sz w:val="21"/>
        </w:rPr>
      </w:pPr>
      <w:r>
        <w:rPr>
          <w:rFonts w:hint="eastAsia"/>
          <w:sz w:val="21"/>
        </w:rPr>
        <w:t>○複雑化、多様化する相談者のニーズに対して基幹相談支援センターや委託相談支援事業所が適切に対応できるよう、相談員１人１人のケースワーク力の強化が求められています。相談支援に従事する者の資質向上に向けた研修会等の開催及び参加が必要です。</w:t>
      </w:r>
    </w:p>
    <w:p>
      <w:pPr>
        <w:pStyle w:val="0"/>
        <w:ind w:left="662" w:leftChars="200" w:hanging="214" w:hangingChars="100"/>
        <w:rPr>
          <w:rFonts w:hint="default"/>
          <w:sz w:val="21"/>
        </w:rPr>
      </w:pPr>
      <w:r>
        <w:rPr>
          <w:rFonts w:hint="eastAsia"/>
          <w:sz w:val="21"/>
        </w:rPr>
        <w:t>○自立支援協議会の全体会では、障害福祉行政及び各専門部会の報告を行い、各委員から意見や助言を受けています。</w:t>
      </w:r>
    </w:p>
    <w:p>
      <w:pPr>
        <w:pStyle w:val="0"/>
        <w:ind w:left="662" w:leftChars="200" w:hanging="214" w:hangingChars="100"/>
        <w:rPr>
          <w:rFonts w:hint="default"/>
          <w:sz w:val="21"/>
        </w:rPr>
      </w:pPr>
      <w:r>
        <w:rPr>
          <w:rFonts w:hint="eastAsia"/>
          <w:sz w:val="21"/>
        </w:rPr>
        <w:t>○自立支援協議会の専門部会として、相談部会と拠点部会を立ち上げ、課題を共有し、地域課題形成や解決に向けた協議を行っています。新たに就労部会やこども部会等の専門部会が求められており立ち上げに関する検討が必要です。</w:t>
      </w:r>
    </w:p>
    <w:p>
      <w:pPr>
        <w:pStyle w:val="0"/>
        <w:spacing w:line="0" w:lineRule="atLeast"/>
        <w:ind w:left="672" w:leftChars="200" w:hanging="224" w:hangingChars="100"/>
        <w:rPr>
          <w:rFonts w:hint="default" w:ascii="ＭＳ ゴシック" w:hAnsi="ＭＳ ゴシック" w:eastAsia="ＭＳ ゴシック"/>
        </w:rPr>
      </w:pPr>
    </w:p>
    <w:p>
      <w:pPr>
        <w:pStyle w:val="0"/>
        <w:ind w:left="224" w:leftChars="100"/>
        <w:rPr>
          <w:rFonts w:hint="default" w:ascii="ＭＳ ゴシック" w:hAnsi="ＭＳ ゴシック" w:eastAsia="ＭＳ ゴシック"/>
        </w:rPr>
      </w:pPr>
      <w:r>
        <w:rPr>
          <w:rFonts w:hint="eastAsia" w:ascii="ＭＳ ゴシック" w:hAnsi="ＭＳ ゴシック" w:eastAsia="ＭＳ ゴシック"/>
        </w:rPr>
        <w:t>（アンケート調査より）</w:t>
      </w:r>
    </w:p>
    <w:p>
      <w:pPr>
        <w:pStyle w:val="0"/>
        <w:ind w:left="662" w:leftChars="200" w:hanging="214" w:hangingChars="100"/>
        <w:rPr>
          <w:rFonts w:hint="default" w:ascii="ＭＳ ゴシック" w:hAnsi="ＭＳ ゴシック" w:eastAsia="ＭＳ ゴシック"/>
        </w:rPr>
      </w:pPr>
      <w:r>
        <w:rPr>
          <w:rFonts w:hint="eastAsia"/>
          <w:sz w:val="21"/>
        </w:rPr>
        <w:t>○悩みや困りごとの相談相手・相談先として、「家族・親族」が</w:t>
      </w:r>
      <w:r>
        <w:rPr>
          <w:rFonts w:hint="default"/>
          <w:sz w:val="21"/>
        </w:rPr>
        <w:t>65.8</w:t>
      </w:r>
      <w:r>
        <w:rPr>
          <w:rFonts w:hint="eastAsia"/>
          <w:sz w:val="21"/>
        </w:rPr>
        <w:t>％</w:t>
      </w:r>
      <w:r>
        <w:rPr>
          <w:rFonts w:hint="eastAsia"/>
          <w:sz w:val="21"/>
        </w:rPr>
        <w:t>(</w:t>
      </w:r>
      <w:r>
        <w:rPr>
          <w:rFonts w:hint="eastAsia"/>
          <w:sz w:val="21"/>
        </w:rPr>
        <w:t>前回</w:t>
      </w:r>
      <w:r>
        <w:rPr>
          <w:rFonts w:hint="eastAsia"/>
          <w:sz w:val="21"/>
        </w:rPr>
        <w:t>65.9</w:t>
      </w:r>
      <w:r>
        <w:rPr>
          <w:rFonts w:hint="eastAsia"/>
          <w:sz w:val="21"/>
        </w:rPr>
        <w:t>％</w:t>
      </w:r>
      <w:r>
        <w:rPr>
          <w:rFonts w:hint="eastAsia"/>
          <w:sz w:val="21"/>
        </w:rPr>
        <w:t>)</w:t>
      </w:r>
      <w:r>
        <w:rPr>
          <w:rFonts w:hint="eastAsia"/>
          <w:sz w:val="21"/>
        </w:rPr>
        <w:t>と最も高く、次に「友人・知人」が</w:t>
      </w:r>
      <w:r>
        <w:rPr>
          <w:rFonts w:hint="default"/>
          <w:sz w:val="21"/>
        </w:rPr>
        <w:t>30.4</w:t>
      </w:r>
      <w:r>
        <w:rPr>
          <w:rFonts w:hint="eastAsia"/>
          <w:sz w:val="21"/>
        </w:rPr>
        <w:t>％</w:t>
      </w:r>
      <w:r>
        <w:rPr>
          <w:rFonts w:hint="eastAsia"/>
          <w:sz w:val="21"/>
        </w:rPr>
        <w:t>(</w:t>
      </w:r>
      <w:r>
        <w:rPr>
          <w:rFonts w:hint="eastAsia"/>
          <w:sz w:val="21"/>
        </w:rPr>
        <w:t>前回</w:t>
      </w:r>
      <w:r>
        <w:rPr>
          <w:rFonts w:hint="eastAsia"/>
          <w:sz w:val="21"/>
        </w:rPr>
        <w:t>22.5</w:t>
      </w:r>
      <w:r>
        <w:rPr>
          <w:rFonts w:hint="eastAsia"/>
          <w:sz w:val="21"/>
        </w:rPr>
        <w:t>％</w:t>
      </w:r>
      <w:r>
        <w:rPr>
          <w:rFonts w:hint="eastAsia"/>
          <w:sz w:val="21"/>
        </w:rPr>
        <w:t>)</w:t>
      </w:r>
      <w:r>
        <w:rPr>
          <w:rFonts w:hint="eastAsia"/>
          <w:sz w:val="21"/>
        </w:rPr>
        <w:t>、「医療の専門家」が</w:t>
      </w:r>
      <w:r>
        <w:rPr>
          <w:rFonts w:hint="default"/>
          <w:sz w:val="21"/>
        </w:rPr>
        <w:t>22.7</w:t>
      </w:r>
      <w:r>
        <w:rPr>
          <w:rFonts w:hint="eastAsia"/>
          <w:sz w:val="21"/>
        </w:rPr>
        <w:t>％</w:t>
      </w:r>
      <w:r>
        <w:rPr>
          <w:rFonts w:hint="eastAsia"/>
          <w:sz w:val="21"/>
        </w:rPr>
        <w:t>(</w:t>
      </w:r>
      <w:r>
        <w:rPr>
          <w:rFonts w:hint="eastAsia"/>
          <w:sz w:val="21"/>
        </w:rPr>
        <w:t>前回</w:t>
      </w:r>
      <w:r>
        <w:rPr>
          <w:rFonts w:hint="eastAsia"/>
          <w:sz w:val="21"/>
        </w:rPr>
        <w:t>34.1</w:t>
      </w:r>
      <w:r>
        <w:rPr>
          <w:rFonts w:hint="eastAsia"/>
          <w:sz w:val="21"/>
        </w:rPr>
        <w:t>％</w:t>
      </w:r>
      <w:r>
        <w:rPr>
          <w:rFonts w:hint="eastAsia"/>
          <w:sz w:val="21"/>
        </w:rPr>
        <w:t>)</w:t>
      </w:r>
      <w:r>
        <w:rPr>
          <w:rFonts w:hint="eastAsia"/>
          <w:sz w:val="21"/>
        </w:rPr>
        <w:t>となっています。一方、「サービス事業所」が</w:t>
      </w:r>
      <w:r>
        <w:rPr>
          <w:rFonts w:hint="eastAsia"/>
          <w:sz w:val="21"/>
        </w:rPr>
        <w:t>10.5</w:t>
      </w:r>
      <w:r>
        <w:rPr>
          <w:rFonts w:hint="eastAsia"/>
          <w:sz w:val="21"/>
        </w:rPr>
        <w:t>％</w:t>
      </w:r>
      <w:r>
        <w:rPr>
          <w:rFonts w:hint="eastAsia"/>
          <w:sz w:val="21"/>
        </w:rPr>
        <w:t>(</w:t>
      </w:r>
      <w:r>
        <w:rPr>
          <w:rFonts w:hint="eastAsia"/>
          <w:sz w:val="21"/>
        </w:rPr>
        <w:t>前回</w:t>
      </w:r>
      <w:r>
        <w:rPr>
          <w:rFonts w:hint="eastAsia"/>
          <w:sz w:val="21"/>
        </w:rPr>
        <w:t>15.4</w:t>
      </w:r>
      <w:r>
        <w:rPr>
          <w:rFonts w:hint="eastAsia"/>
          <w:sz w:val="21"/>
        </w:rPr>
        <w:t>％</w:t>
      </w:r>
      <w:r>
        <w:rPr>
          <w:rFonts w:hint="eastAsia"/>
          <w:sz w:val="21"/>
        </w:rPr>
        <w:t>)</w:t>
      </w:r>
      <w:r>
        <w:rPr>
          <w:rFonts w:hint="eastAsia"/>
          <w:sz w:val="21"/>
        </w:rPr>
        <w:t>、「町社会福祉協議会」が</w:t>
      </w:r>
      <w:r>
        <w:rPr>
          <w:rFonts w:hint="default"/>
          <w:sz w:val="21"/>
        </w:rPr>
        <w:t>8.0</w:t>
      </w:r>
      <w:r>
        <w:rPr>
          <w:rFonts w:hint="eastAsia"/>
          <w:sz w:val="21"/>
        </w:rPr>
        <w:t>％</w:t>
      </w:r>
      <w:r>
        <w:rPr>
          <w:rFonts w:hint="eastAsia"/>
          <w:sz w:val="21"/>
        </w:rPr>
        <w:t>(</w:t>
      </w:r>
      <w:r>
        <w:rPr>
          <w:rFonts w:hint="eastAsia"/>
          <w:sz w:val="21"/>
        </w:rPr>
        <w:t>前回</w:t>
      </w:r>
      <w:r>
        <w:rPr>
          <w:rFonts w:hint="eastAsia"/>
          <w:sz w:val="21"/>
        </w:rPr>
        <w:t>8.6</w:t>
      </w:r>
      <w:r>
        <w:rPr>
          <w:rFonts w:hint="eastAsia"/>
          <w:sz w:val="21"/>
        </w:rPr>
        <w:t>％</w:t>
      </w:r>
      <w:r>
        <w:rPr>
          <w:rFonts w:hint="eastAsia"/>
          <w:sz w:val="21"/>
        </w:rPr>
        <w:t>)</w:t>
      </w:r>
      <w:r>
        <w:rPr>
          <w:rFonts w:hint="eastAsia"/>
          <w:sz w:val="21"/>
        </w:rPr>
        <w:t>、「町役場」が</w:t>
      </w:r>
      <w:r>
        <w:rPr>
          <w:rFonts w:hint="eastAsia"/>
          <w:sz w:val="21"/>
        </w:rPr>
        <w:t>7.7</w:t>
      </w:r>
      <w:r>
        <w:rPr>
          <w:rFonts w:hint="eastAsia"/>
          <w:sz w:val="21"/>
        </w:rPr>
        <w:t>％</w:t>
      </w:r>
      <w:r>
        <w:rPr>
          <w:rFonts w:hint="eastAsia"/>
          <w:sz w:val="21"/>
        </w:rPr>
        <w:t>(</w:t>
      </w:r>
      <w:r>
        <w:rPr>
          <w:rFonts w:hint="eastAsia"/>
          <w:sz w:val="21"/>
        </w:rPr>
        <w:t>前回</w:t>
      </w:r>
      <w:r>
        <w:rPr>
          <w:rFonts w:hint="eastAsia"/>
          <w:sz w:val="21"/>
        </w:rPr>
        <w:t>8.2</w:t>
      </w:r>
      <w:r>
        <w:rPr>
          <w:rFonts w:hint="eastAsia"/>
          <w:sz w:val="21"/>
        </w:rPr>
        <w:t>％</w:t>
      </w:r>
      <w:r>
        <w:rPr>
          <w:rFonts w:hint="eastAsia"/>
          <w:sz w:val="21"/>
        </w:rPr>
        <w:t>)</w:t>
      </w:r>
      <w:r>
        <w:rPr>
          <w:rFonts w:hint="eastAsia"/>
          <w:sz w:val="21"/>
        </w:rPr>
        <w:t>とそれぞれ１割程度にとどまっています。</w:t>
      </w:r>
    </w:p>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73"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49"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50"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51"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52"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07;" coordsize="6044565,219710" coordorigin="0,0" o:spid="_x0000_s1149" o:allowincell="t" o:allowoverlap="t">
                <v:roundrect id="今後の取り組み_四角（灰）" style="height:219710;width:6044565;top:0;left:0;position:absolute;" o:spid="_x0000_s1150"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51"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52"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default"/>
        </w:rPr>
        <w:t>【</w:t>
      </w:r>
      <w:r>
        <w:rPr>
          <w:rFonts w:hint="eastAsia"/>
        </w:rPr>
        <w:t>施策の基本的な考え方</w:t>
      </w:r>
      <w:r>
        <w:rPr>
          <w:rFonts w:hint="default"/>
        </w:rPr>
        <w:t>】</w:t>
      </w:r>
    </w:p>
    <w:p>
      <w:pPr>
        <w:pStyle w:val="0"/>
        <w:ind w:left="560" w:leftChars="250" w:firstLine="210" w:firstLineChars="100"/>
        <w:rPr>
          <w:rFonts w:hint="default"/>
          <w:spacing w:val="-2"/>
          <w:sz w:val="21"/>
        </w:rPr>
      </w:pPr>
      <w:r>
        <w:rPr>
          <w:rFonts w:hint="eastAsia"/>
          <w:spacing w:val="-2"/>
          <w:sz w:val="21"/>
        </w:rPr>
        <w:t>障がい者やその家族からの相談に対し、町内相談支援事業所間の連携・協力、関係機関・関係団体との連携強化及び地域とのつながりを視野に入れた包括的な支援を進めます。また、相談支援従事者の質的向上や各種協議の場、自立支援協議会等の活性化を図るなど相談支援体制の充実を図るとともに、相談しやすい環境づくりを進めます。</w:t>
      </w:r>
    </w:p>
    <w:p>
      <w:pPr>
        <w:pStyle w:val="0"/>
        <w:ind w:left="560" w:leftChars="250" w:firstLine="210" w:firstLineChars="100"/>
        <w:rPr>
          <w:rFonts w:hint="default"/>
          <w:spacing w:val="-2"/>
          <w:sz w:val="21"/>
        </w:rPr>
      </w:pPr>
    </w:p>
    <w:p>
      <w:pPr>
        <w:pStyle w:val="83"/>
        <w:ind w:left="448"/>
        <w:rPr>
          <w:rFonts w:hint="default"/>
          <w:color w:val="auto"/>
        </w:rPr>
      </w:pPr>
      <w:r>
        <w:rPr>
          <w:rFonts w:hint="eastAsia"/>
          <w:color w:val="auto"/>
        </w:rPr>
        <w:t>①障がい者相談支援体制の充実</w:t>
      </w:r>
    </w:p>
    <w:p>
      <w:pPr>
        <w:pStyle w:val="0"/>
        <w:ind w:left="886" w:leftChars="300" w:hanging="214" w:hangingChars="100"/>
        <w:rPr>
          <w:rFonts w:hint="default"/>
          <w:sz w:val="21"/>
        </w:rPr>
      </w:pPr>
      <w:r>
        <w:rPr>
          <w:rFonts w:hint="eastAsia"/>
          <w:sz w:val="21"/>
        </w:rPr>
        <w:t>・障がい児者やその家族等の相談</w:t>
      </w:r>
      <w:r>
        <w:rPr>
          <w:rFonts w:hint="default"/>
          <w:sz w:val="21"/>
        </w:rPr>
        <w:t>対応</w:t>
      </w:r>
      <w:r>
        <w:rPr>
          <w:rFonts w:hint="eastAsia"/>
          <w:sz w:val="21"/>
        </w:rPr>
        <w:t>を</w:t>
      </w:r>
      <w:r>
        <w:rPr>
          <w:rFonts w:hint="default"/>
          <w:sz w:val="21"/>
        </w:rPr>
        <w:t>充実するため</w:t>
      </w:r>
      <w:r>
        <w:rPr>
          <w:rFonts w:hint="eastAsia"/>
          <w:sz w:val="21"/>
        </w:rPr>
        <w:t>に</w:t>
      </w:r>
      <w:r>
        <w:rPr>
          <w:rFonts w:hint="default"/>
          <w:sz w:val="21"/>
        </w:rPr>
        <w:t>、</w:t>
      </w:r>
      <w:r>
        <w:rPr>
          <w:rFonts w:hint="eastAsia"/>
          <w:sz w:val="21"/>
        </w:rPr>
        <w:t>基幹相談支援センター、委託相談支援事業所、計画相談支援事業所の各相談機関が</w:t>
      </w:r>
      <w:r>
        <w:rPr>
          <w:rFonts w:hint="default"/>
          <w:sz w:val="21"/>
        </w:rPr>
        <w:t>情報共有や連携を一層強化</w:t>
      </w:r>
      <w:r>
        <w:rPr>
          <w:rFonts w:hint="eastAsia"/>
          <w:sz w:val="21"/>
        </w:rPr>
        <w:t>し、重層的な相談支援体制の充実を図り</w:t>
      </w:r>
      <w:r>
        <w:rPr>
          <w:rFonts w:hint="default"/>
          <w:sz w:val="21"/>
        </w:rPr>
        <w:t>ます。</w:t>
      </w:r>
      <w:r>
        <w:rPr>
          <w:rFonts w:hint="eastAsia"/>
          <w:sz w:val="21"/>
        </w:rPr>
        <w:t>また、相談支援部会を継続的に実施し、地域の相談支援のネットワーク形成の強化に取り組みます。</w:t>
      </w:r>
    </w:p>
    <w:p>
      <w:pPr>
        <w:pStyle w:val="0"/>
        <w:ind w:left="886" w:leftChars="300" w:hanging="214" w:hangingChars="100"/>
        <w:rPr>
          <w:rFonts w:hint="default"/>
          <w:sz w:val="21"/>
        </w:rPr>
      </w:pPr>
      <w:r>
        <w:rPr>
          <w:rFonts w:hint="eastAsia"/>
          <w:sz w:val="21"/>
        </w:rPr>
        <w:t>・基幹相談支援センター、委託相談支援事業所、計画相談支援事業所の各相談窓口の周知を強化し、地域の身近な相談窓口として、障がい者やその家族及び関係機関等から相談を受け、地域とのつながりを視野に入れた相談支援の充実に取り組みます。</w:t>
      </w:r>
    </w:p>
    <w:p>
      <w:pPr>
        <w:pStyle w:val="0"/>
        <w:ind w:left="886" w:leftChars="300" w:hanging="214" w:hangingChars="100"/>
        <w:rPr>
          <w:rFonts w:hint="default"/>
          <w:sz w:val="21"/>
        </w:rPr>
      </w:pPr>
      <w:r>
        <w:rPr>
          <w:rFonts w:hint="eastAsia"/>
          <w:sz w:val="21"/>
        </w:rPr>
        <w:t>・自ら相談できない方や来所相談が困難な方に対して、アウトリーチ型の相談対応を行います。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②包括的な相談支援体制の強化</w:t>
      </w:r>
    </w:p>
    <w:p>
      <w:pPr>
        <w:pStyle w:val="0"/>
        <w:ind w:left="886" w:leftChars="300" w:hanging="214" w:hangingChars="100"/>
        <w:rPr>
          <w:rFonts w:hint="default"/>
          <w:sz w:val="21"/>
        </w:rPr>
      </w:pPr>
      <w:r>
        <w:rPr>
          <w:rFonts w:hint="eastAsia"/>
          <w:sz w:val="21"/>
        </w:rPr>
        <w:t>・複雑化・多様化するニーズに対応した適切な支援につながるよう、保健、福祉、医療等の関係機関や町社会福祉協議会、町民生委員・児童委員連合会、地域の関係団体等との連携体制を強化します。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③相談支援従事者の質的向上の推進</w:t>
      </w:r>
    </w:p>
    <w:p>
      <w:pPr>
        <w:pStyle w:val="0"/>
        <w:ind w:left="886" w:leftChars="300" w:hanging="214" w:hangingChars="100"/>
        <w:rPr>
          <w:rFonts w:hint="default"/>
          <w:sz w:val="21"/>
        </w:rPr>
      </w:pPr>
      <w:r>
        <w:rPr>
          <w:rFonts w:hint="eastAsia"/>
          <w:sz w:val="21"/>
        </w:rPr>
        <w:t>・相談支援従事者の質的向上等を図るために、相談支援に関する研修会や勉強会等を企画し、人材育成の支援に取り組みます。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④自立支援協議会等の活性化推進</w:t>
      </w:r>
    </w:p>
    <w:p>
      <w:pPr>
        <w:pStyle w:val="0"/>
        <w:ind w:left="886" w:leftChars="300" w:hanging="214" w:hangingChars="100"/>
        <w:rPr>
          <w:rFonts w:hint="default"/>
          <w:sz w:val="21"/>
        </w:rPr>
      </w:pPr>
      <w:r>
        <w:rPr>
          <w:rFonts w:hint="eastAsia"/>
          <w:sz w:val="21"/>
        </w:rPr>
        <w:t>・自立支援協議会においては、共生社会の実現を目指し、地域課題の共有と課題解決にむけた議論を深めます。そのために、専門部会において個別課題から地域課題を抽出し、課題を見える化する取組に力を入れていきます。</w:t>
      </w:r>
    </w:p>
    <w:p>
      <w:pPr>
        <w:pStyle w:val="0"/>
        <w:ind w:left="886" w:leftChars="300" w:hanging="214" w:hangingChars="100"/>
        <w:rPr>
          <w:rFonts w:hint="default"/>
          <w:sz w:val="21"/>
        </w:rPr>
      </w:pPr>
      <w:r>
        <w:rPr>
          <w:rFonts w:hint="eastAsia"/>
          <w:sz w:val="21"/>
        </w:rPr>
        <w:t>・新たな専門部会の立ち上げについて、町内事業所の意見を聞きながら検討していきます。</w:t>
      </w: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widowControl w:val="1"/>
        <w:jc w:val="left"/>
        <w:rPr>
          <w:rFonts w:hint="default"/>
          <w:sz w:val="21"/>
        </w:rPr>
      </w:pPr>
      <w:r>
        <w:rPr>
          <w:rFonts w:hint="default"/>
          <w:sz w:val="21"/>
        </w:rPr>
        <w:br w:type="page"/>
      </w:r>
    </w:p>
    <w:p>
      <w:pPr>
        <w:pStyle w:val="22"/>
        <w:spacing w:after="111" w:afterLines="0" w:afterAutospacing="0"/>
        <w:rPr>
          <w:rFonts w:hint="default"/>
        </w:rPr>
      </w:pPr>
      <w:bookmarkStart w:id="52" w:name="_Toc154411468"/>
      <w:r>
        <w:rPr>
          <w:rFonts w:hint="eastAsia"/>
        </w:rPr>
        <w:t>（２）権利擁護・虐待防止の推進</w:t>
      </w:r>
      <w:bookmarkEnd w:id="52"/>
    </w:p>
    <w:p>
      <w:pPr>
        <w:pStyle w:val="82"/>
        <w:rPr>
          <w:rFonts w:hint="default"/>
        </w:rPr>
      </w:pPr>
      <w:r>
        <w:rPr>
          <w:rFonts w:hint="eastAsia"/>
        </w:rPr>
        <w:t>【現状と課題】</w:t>
      </w:r>
    </w:p>
    <w:p>
      <w:pPr>
        <w:pStyle w:val="0"/>
        <w:ind w:left="662" w:leftChars="200" w:hanging="214" w:hangingChars="100"/>
        <w:rPr>
          <w:rFonts w:hint="default"/>
          <w:sz w:val="21"/>
        </w:rPr>
      </w:pPr>
      <w:r>
        <w:rPr>
          <w:rFonts w:hint="eastAsia"/>
          <w:sz w:val="21"/>
        </w:rPr>
        <w:t>権利擁護（成年後見制度等）</w:t>
      </w:r>
    </w:p>
    <w:p>
      <w:pPr>
        <w:pStyle w:val="0"/>
        <w:ind w:left="662" w:leftChars="200" w:hanging="214" w:hangingChars="100"/>
        <w:rPr>
          <w:rFonts w:hint="default"/>
          <w:sz w:val="21"/>
        </w:rPr>
      </w:pPr>
      <w:r>
        <w:rPr>
          <w:rFonts w:hint="eastAsia"/>
          <w:sz w:val="21"/>
        </w:rPr>
        <w:t>○基幹相談支援センターにおいては従来から、</w:t>
      </w:r>
      <w:r>
        <w:rPr>
          <w:rFonts w:hint="eastAsia"/>
          <w:sz w:val="21"/>
          <w:vertAlign w:val="superscript"/>
        </w:rPr>
        <w:t>※１</w:t>
      </w:r>
      <w:r>
        <w:rPr>
          <w:rFonts w:hint="eastAsia"/>
          <w:sz w:val="21"/>
        </w:rPr>
        <w:t>成年後見制度や</w:t>
      </w:r>
      <w:r>
        <w:rPr>
          <w:rFonts w:hint="eastAsia"/>
          <w:sz w:val="21"/>
          <w:vertAlign w:val="superscript"/>
        </w:rPr>
        <w:t>※２</w:t>
      </w:r>
      <w:r>
        <w:rPr>
          <w:rFonts w:hint="eastAsia"/>
          <w:sz w:val="21"/>
        </w:rPr>
        <w:t>日常生活自立支援事業の制度利用を案内していましたが、令和５年度から保健福祉課内に「成年後見制度中核機関」を立ち上げ、成年後見制度に関する相談対応および成年後見制度の周知強化に努めています。また、外部の専門職を交えた権利擁護支援会議を開催し、相談受理したケースの支援方針の検討や、権利擁護支援の地域連携ネットワーク構築に向け取り組んでいます。</w:t>
      </w:r>
    </w:p>
    <w:p>
      <w:pPr>
        <w:pStyle w:val="0"/>
        <w:ind w:left="662" w:leftChars="200" w:hanging="214" w:hangingChars="100"/>
        <w:rPr>
          <w:rFonts w:hint="default"/>
          <w:sz w:val="21"/>
        </w:rPr>
      </w:pPr>
      <w:r>
        <w:rPr>
          <w:rFonts w:hint="eastAsia"/>
          <w:sz w:val="21"/>
        </w:rPr>
        <w:t>○成年後見制度の利用が必要ですが、身寄りがない等、申立てを行う親族がいない方に対する市町村長申立て及び成年後見人等に対する報酬支払いが困難な方に対して報酬助成を行う成年後見制度利用支援事業を行っています。</w:t>
      </w:r>
    </w:p>
    <w:p>
      <w:pPr>
        <w:pStyle w:val="0"/>
        <w:ind w:left="662" w:leftChars="200" w:hanging="214" w:hangingChars="100"/>
        <w:rPr>
          <w:rFonts w:hint="default"/>
          <w:sz w:val="21"/>
        </w:rPr>
      </w:pPr>
      <w:r>
        <w:rPr>
          <w:rFonts w:hint="eastAsia"/>
          <w:sz w:val="21"/>
        </w:rPr>
        <w:t>○成年後見制度の利用促進のため、町民が制度を理解するための普及啓発が必要です。また、相談対応の充実を図るために、職員の資質向上が求められます。</w:t>
      </w:r>
    </w:p>
    <w:p>
      <w:pPr>
        <w:pStyle w:val="0"/>
        <w:ind w:left="774" w:leftChars="250" w:hanging="214" w:hangingChars="100"/>
        <w:rPr>
          <w:rFonts w:hint="default"/>
          <w:sz w:val="21"/>
        </w:rPr>
      </w:pPr>
    </w:p>
    <w:p>
      <w:pPr>
        <w:pStyle w:val="0"/>
        <w:ind w:left="662" w:leftChars="200" w:hanging="214" w:hangingChars="100"/>
        <w:rPr>
          <w:rFonts w:hint="default"/>
          <w:sz w:val="21"/>
        </w:rPr>
      </w:pPr>
      <w:r>
        <w:rPr>
          <w:rFonts w:hint="eastAsia"/>
          <w:sz w:val="21"/>
        </w:rPr>
        <w:t>虐待防止</w:t>
      </w:r>
    </w:p>
    <w:p>
      <w:pPr>
        <w:pStyle w:val="0"/>
        <w:ind w:left="662" w:leftChars="200" w:hanging="214" w:hangingChars="100"/>
        <w:rPr>
          <w:rFonts w:hint="default"/>
          <w:sz w:val="21"/>
        </w:rPr>
      </w:pPr>
      <w:r>
        <w:rPr>
          <w:rFonts w:hint="eastAsia"/>
          <w:sz w:val="21"/>
        </w:rPr>
        <w:t>○基幹相談支援センターにおいて、虐待に関する相談受理、事実確認調査の実施、コアメンバー会議を開催して虐待の有無や緊急性の判断を行い、対応方針を決め、関係機関と連携しながら虐待の解消に向け取り組んでいます。</w:t>
      </w:r>
    </w:p>
    <w:p>
      <w:pPr>
        <w:pStyle w:val="0"/>
        <w:ind w:left="662" w:leftChars="200" w:hanging="214" w:hangingChars="100"/>
        <w:rPr>
          <w:rFonts w:hint="default"/>
          <w:sz w:val="21"/>
        </w:rPr>
      </w:pPr>
      <w:r>
        <w:rPr>
          <w:rFonts w:hint="eastAsia"/>
          <w:sz w:val="21"/>
        </w:rPr>
        <w:t>○虐待防止では、早期発見と虐待の予防が重要です。令和５年度に障がい者虐待の相談窓口を記載したパンフレットを作成し、周知強化に努めています。また、困難事例の段階から委託相談支援事業所と基幹相談支援センターが連携して支援を行い、虐待を予防する取り組みを行う必要があります。</w:t>
      </w:r>
    </w:p>
    <w:p>
      <w:pPr>
        <w:pStyle w:val="0"/>
        <w:ind w:left="662" w:leftChars="200" w:hanging="214" w:hangingChars="100"/>
        <w:rPr>
          <w:rFonts w:hint="default"/>
          <w:sz w:val="21"/>
        </w:rPr>
      </w:pPr>
      <w:r>
        <w:rPr>
          <w:rFonts w:hint="eastAsia"/>
          <w:sz w:val="21"/>
        </w:rPr>
        <w:t>○施設従事者による虐待を予防するために、令和４年度から町主催の事業所向け障がい者虐待防止研修会を開催しています。障がいのある方</w:t>
      </w:r>
      <w:bookmarkStart w:id="53" w:name="_GoBack"/>
      <w:bookmarkEnd w:id="53"/>
      <w:r>
        <w:rPr>
          <w:rFonts w:hint="eastAsia"/>
          <w:sz w:val="21"/>
        </w:rPr>
        <w:t>が安心・安全に福祉サービスを利用できる環境整備、サービスの質の向上という視点からも虐待防止研修会の継続実施が必要です。</w:t>
      </w: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spacing w:line="0" w:lineRule="atLeast"/>
        <w:ind w:left="724" w:leftChars="250" w:hanging="164" w:hangingChars="100"/>
        <w:rPr>
          <w:rFonts w:hint="default"/>
          <w:sz w:val="16"/>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86"/>
              <w:spacing w:before="74" w:beforeLines="0" w:beforeAutospacing="0"/>
              <w:rPr>
                <w:rFonts w:hint="default"/>
                <w:color w:val="auto"/>
              </w:rPr>
            </w:pPr>
            <w:r>
              <w:rPr>
                <w:rFonts w:hint="eastAsia"/>
                <w:color w:val="auto"/>
              </w:rPr>
              <w:t>※</w:t>
            </w:r>
            <w:r>
              <w:rPr>
                <w:rFonts w:hint="eastAsia"/>
                <w:color w:val="auto"/>
              </w:rPr>
              <w:t>1</w:t>
            </w:r>
            <w:r>
              <w:rPr>
                <w:rFonts w:hint="default"/>
                <w:color w:val="auto"/>
              </w:rPr>
              <w:t xml:space="preserve"> </w:t>
            </w:r>
            <w:r>
              <w:rPr>
                <w:rFonts w:hint="eastAsia"/>
                <w:color w:val="auto"/>
              </w:rPr>
              <w:t>成年後見制度</w:t>
            </w:r>
          </w:p>
          <w:p>
            <w:pPr>
              <w:pStyle w:val="85"/>
              <w:ind w:left="448" w:firstLine="204"/>
              <w:rPr>
                <w:rFonts w:hint="default"/>
                <w:color w:val="auto"/>
              </w:rPr>
            </w:pPr>
            <w:r>
              <w:rPr>
                <w:rFonts w:hint="eastAsia"/>
                <w:color w:val="auto"/>
              </w:rPr>
              <w:t>成年後見制度は、認知症や知的障がい、精神障がいにより判断能力が不十分なため、不動産や預貯金などの財産管理や介護・福祉サービス等利用の契約行為を行うことが困難な方を、法律的に保護し支援する制度です。成年後見制度には、法定後見制度と任意後見制度があります。</w:t>
            </w:r>
          </w:p>
          <w:p>
            <w:pPr>
              <w:pStyle w:val="86"/>
              <w:spacing w:before="74" w:beforeLines="0" w:beforeAutospacing="0"/>
              <w:rPr>
                <w:rFonts w:hint="default"/>
                <w:color w:val="auto"/>
              </w:rPr>
            </w:pPr>
            <w:r>
              <w:rPr>
                <w:rFonts w:hint="eastAsia"/>
                <w:color w:val="auto"/>
              </w:rPr>
              <w:t>※</w:t>
            </w:r>
            <w:r>
              <w:rPr>
                <w:rFonts w:hint="eastAsia"/>
                <w:color w:val="auto"/>
              </w:rPr>
              <w:t>2</w:t>
            </w:r>
            <w:r>
              <w:rPr>
                <w:rFonts w:hint="default"/>
                <w:color w:val="auto"/>
              </w:rPr>
              <w:t xml:space="preserve"> </w:t>
            </w:r>
            <w:r>
              <w:rPr>
                <w:rFonts w:hint="eastAsia"/>
                <w:color w:val="auto"/>
              </w:rPr>
              <w:t>日常生活自立支援事業</w:t>
            </w:r>
          </w:p>
          <w:p>
            <w:pPr>
              <w:pStyle w:val="85"/>
              <w:ind w:left="448" w:firstLine="204"/>
              <w:rPr>
                <w:rFonts w:hint="default"/>
                <w:color w:val="auto"/>
              </w:rPr>
            </w:pPr>
            <w:r>
              <w:rPr>
                <w:rFonts w:hint="eastAsia"/>
                <w:color w:val="auto"/>
              </w:rPr>
              <w:t>生活に不安のある高齢者</w:t>
            </w:r>
            <w:r>
              <w:rPr>
                <w:rFonts w:hint="eastAsia"/>
                <w:color w:val="auto"/>
              </w:rPr>
              <w:t>(</w:t>
            </w:r>
            <w:r>
              <w:rPr>
                <w:rFonts w:hint="eastAsia"/>
                <w:color w:val="auto"/>
              </w:rPr>
              <w:t>認知症高齢者など</w:t>
            </w:r>
            <w:r>
              <w:rPr>
                <w:rFonts w:hint="eastAsia"/>
                <w:color w:val="auto"/>
              </w:rPr>
              <w:t>)</w:t>
            </w:r>
            <w:r>
              <w:rPr>
                <w:rFonts w:hint="eastAsia"/>
                <w:color w:val="auto"/>
              </w:rPr>
              <w:t>や知的障がい者・精神障がい者等判断能力が十分でない方が安心して地域生活が送れるよう｢生活支援員｣が福祉サービスの利用援助、日常的金銭管理、書類等の預かりサービスを行います。市町村社会福祉協議会が窓口となって提供されるサービスです。</w:t>
            </w:r>
          </w:p>
        </w:tc>
      </w:tr>
    </w:tbl>
    <w:p>
      <w:pPr>
        <w:pStyle w:val="0"/>
        <w:widowControl w:val="1"/>
        <w:jc w:val="left"/>
        <w:rPr>
          <w:rFonts w:hint="default" w:ascii="ＭＳ ゴシック" w:hAnsi="ＭＳ ゴシック" w:eastAsia="ＭＳ ゴシック"/>
        </w:rPr>
      </w:pPr>
      <w:r>
        <w:rPr>
          <w:rFonts w:hint="eastAsia" w:ascii="ＭＳ ゴシック" w:hAnsi="ＭＳ ゴシック" w:eastAsia="ＭＳ ゴシック"/>
        </w:rPr>
        <w:t>（アンケート調査より）</w:t>
      </w:r>
    </w:p>
    <w:p>
      <w:pPr>
        <w:pStyle w:val="0"/>
        <w:ind w:left="662" w:leftChars="200" w:hanging="214" w:hangingChars="100"/>
        <w:rPr>
          <w:rFonts w:hint="default"/>
          <w:sz w:val="21"/>
        </w:rPr>
      </w:pPr>
      <w:r>
        <w:rPr>
          <w:rFonts w:hint="eastAsia"/>
          <w:sz w:val="21"/>
        </w:rPr>
        <w:t>○権利擁護に関する制度等の周知状況について､「名前も内容も知っている」は成年後見制度が</w:t>
      </w:r>
      <w:r>
        <w:rPr>
          <w:rFonts w:hint="default"/>
          <w:sz w:val="21"/>
        </w:rPr>
        <w:t>25.2</w:t>
      </w:r>
      <w:r>
        <w:rPr>
          <w:rFonts w:hint="eastAsia"/>
          <w:sz w:val="21"/>
        </w:rPr>
        <w:t>％</w:t>
      </w:r>
      <w:r>
        <w:rPr>
          <w:rFonts w:hint="eastAsia"/>
          <w:sz w:val="21"/>
        </w:rPr>
        <w:t>(</w:t>
      </w:r>
      <w:r>
        <w:rPr>
          <w:rFonts w:hint="eastAsia"/>
          <w:sz w:val="21"/>
        </w:rPr>
        <w:t>前回</w:t>
      </w:r>
      <w:r>
        <w:rPr>
          <w:rFonts w:hint="eastAsia"/>
          <w:sz w:val="21"/>
        </w:rPr>
        <w:t>20.3</w:t>
      </w:r>
      <w:r>
        <w:rPr>
          <w:rFonts w:hint="eastAsia"/>
          <w:sz w:val="21"/>
        </w:rPr>
        <w:t>％</w:t>
      </w:r>
      <w:r>
        <w:rPr>
          <w:rFonts w:hint="eastAsia"/>
          <w:sz w:val="21"/>
        </w:rPr>
        <w:t>)</w:t>
      </w:r>
      <w:r>
        <w:rPr>
          <w:rFonts w:hint="eastAsia"/>
          <w:sz w:val="21"/>
        </w:rPr>
        <w:t>、日常生活自立支援事業</w:t>
      </w:r>
      <w:r>
        <w:rPr>
          <w:rFonts w:hint="eastAsia"/>
          <w:sz w:val="21"/>
        </w:rPr>
        <w:t>(</w:t>
      </w:r>
      <w:r>
        <w:rPr>
          <w:rFonts w:hint="eastAsia"/>
          <w:sz w:val="21"/>
        </w:rPr>
        <w:t>社協が窓口</w:t>
      </w:r>
      <w:r>
        <w:rPr>
          <w:rFonts w:hint="eastAsia"/>
          <w:sz w:val="21"/>
        </w:rPr>
        <w:t>)</w:t>
      </w:r>
      <w:r>
        <w:rPr>
          <w:rFonts w:hint="eastAsia"/>
          <w:sz w:val="21"/>
        </w:rPr>
        <w:t>が</w:t>
      </w:r>
      <w:r>
        <w:rPr>
          <w:rFonts w:hint="default"/>
          <w:sz w:val="21"/>
        </w:rPr>
        <w:t>13.7</w:t>
      </w:r>
      <w:r>
        <w:rPr>
          <w:rFonts w:hint="eastAsia"/>
          <w:sz w:val="21"/>
        </w:rPr>
        <w:t>％</w:t>
      </w:r>
      <w:r>
        <w:rPr>
          <w:rFonts w:hint="eastAsia"/>
          <w:sz w:val="21"/>
        </w:rPr>
        <w:t>(</w:t>
      </w:r>
      <w:r>
        <w:rPr>
          <w:rFonts w:hint="eastAsia"/>
          <w:sz w:val="21"/>
        </w:rPr>
        <w:t>前回</w:t>
      </w:r>
      <w:r>
        <w:rPr>
          <w:rFonts w:hint="eastAsia"/>
          <w:sz w:val="21"/>
        </w:rPr>
        <w:t>15.8</w:t>
      </w:r>
      <w:r>
        <w:rPr>
          <w:rFonts w:hint="eastAsia"/>
          <w:sz w:val="21"/>
        </w:rPr>
        <w:t>％</w:t>
      </w:r>
      <w:r>
        <w:rPr>
          <w:rFonts w:hint="eastAsia"/>
          <w:sz w:val="21"/>
        </w:rPr>
        <w:t>)</w:t>
      </w:r>
      <w:r>
        <w:rPr>
          <w:rFonts w:hint="eastAsia"/>
          <w:sz w:val="21"/>
        </w:rPr>
        <w:t>で、いずれも十分周知されているとは言えません。</w:t>
      </w:r>
    </w:p>
    <w:p>
      <w:pPr>
        <w:pStyle w:val="0"/>
        <w:ind w:left="662" w:leftChars="200" w:hanging="214" w:hangingChars="100"/>
        <w:rPr>
          <w:rFonts w:hint="default"/>
          <w:sz w:val="21"/>
        </w:rPr>
      </w:pPr>
      <w:r>
        <w:rPr>
          <w:rFonts w:hint="eastAsia"/>
          <w:sz w:val="21"/>
        </w:rPr>
        <w:t>○成年後見制度の相談窓口の周知度について、「知っている」は</w:t>
      </w:r>
      <w:r>
        <w:rPr>
          <w:rFonts w:hint="eastAsia"/>
          <w:sz w:val="21"/>
        </w:rPr>
        <w:t>3</w:t>
      </w:r>
      <w:r>
        <w:rPr>
          <w:rFonts w:hint="default"/>
          <w:sz w:val="21"/>
        </w:rPr>
        <w:t>3.1</w:t>
      </w:r>
      <w:r>
        <w:rPr>
          <w:rFonts w:hint="eastAsia"/>
          <w:sz w:val="21"/>
        </w:rPr>
        <w:t>％で、十分周知されているとは言えないため、相談窓口の周知強化を図る必要があります。</w:t>
      </w:r>
    </w:p>
    <w:p>
      <w:pPr>
        <w:pStyle w:val="0"/>
        <w:ind w:left="662" w:leftChars="200" w:hanging="214" w:hangingChars="100"/>
        <w:rPr>
          <w:rFonts w:hint="default"/>
          <w:sz w:val="21"/>
        </w:rPr>
      </w:pPr>
      <w:r>
        <w:rPr>
          <w:rFonts w:hint="eastAsia"/>
          <w:sz w:val="21"/>
        </w:rPr>
        <w:t>○将来的に家族等支援者がいなくなった時にどのような方法で支援を受けるか、権利を守ってもらえるか周知しておくことが、将来に対する不安感を和らげるとともに、必要な対策を講じておくことができます。そのため、成年後見制度や日常生活自立支援事業等の周知に努める必要があります。</w:t>
      </w: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77"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53"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54"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55"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56"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303;" coordsize="6044565,219710" coordorigin="0,0" o:spid="_x0000_s1153" o:allowincell="t" o:allowoverlap="t">
                <v:roundrect id="今後の取り組み_四角（灰）" style="height:219710;width:6044565;top:0;left:0;position:absolute;" o:spid="_x0000_s1154"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55"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56"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eastAsia"/>
        </w:rPr>
        <w:t>【施策の基本的な考え方】</w:t>
      </w:r>
    </w:p>
    <w:p>
      <w:pPr>
        <w:pStyle w:val="0"/>
        <w:ind w:left="448" w:leftChars="200" w:firstLine="210" w:firstLineChars="100"/>
        <w:rPr>
          <w:rFonts w:hint="default"/>
          <w:spacing w:val="-2"/>
          <w:sz w:val="21"/>
        </w:rPr>
      </w:pPr>
      <w:r>
        <w:rPr>
          <w:rFonts w:hint="eastAsia"/>
          <w:spacing w:val="-2"/>
          <w:sz w:val="21"/>
        </w:rPr>
        <w:t>障がいのある方の権利が守られるよう、障がいのある方やその家族等に対して権利擁護に関する制度周知と制度の適切な利用を支援します。また、虐待の早期発見を行うために、地域への広報啓発を行なうとともに、関係機関等と連携して、虐待防止・解消に向けた対応を行います。</w:t>
      </w:r>
    </w:p>
    <w:p>
      <w:pPr>
        <w:pStyle w:val="0"/>
        <w:ind w:left="448" w:leftChars="200" w:firstLine="210" w:firstLineChars="100"/>
        <w:rPr>
          <w:rFonts w:hint="default"/>
          <w:spacing w:val="-2"/>
          <w:sz w:val="21"/>
        </w:rPr>
      </w:pPr>
    </w:p>
    <w:p>
      <w:pPr>
        <w:pStyle w:val="83"/>
        <w:ind w:left="448"/>
        <w:rPr>
          <w:rFonts w:hint="default"/>
          <w:color w:val="auto"/>
        </w:rPr>
      </w:pPr>
      <w:r>
        <w:rPr>
          <w:rFonts w:hint="eastAsia"/>
          <w:color w:val="auto"/>
        </w:rPr>
        <w:t>①成年後見制度等の周知と利用支援の充実</w:t>
      </w:r>
    </w:p>
    <w:p>
      <w:pPr>
        <w:pStyle w:val="280"/>
        <w:rPr>
          <w:rFonts w:hint="default"/>
          <w:color w:val="auto"/>
        </w:rPr>
      </w:pPr>
      <w:r>
        <w:rPr>
          <w:rFonts w:hint="eastAsia"/>
          <w:color w:val="auto"/>
        </w:rPr>
        <w:t>ｱ</w:t>
      </w:r>
      <w:r>
        <w:rPr>
          <w:rFonts w:hint="eastAsia"/>
          <w:color w:val="auto"/>
        </w:rPr>
        <w:t>)</w:t>
      </w:r>
      <w:r>
        <w:rPr>
          <w:rFonts w:hint="eastAsia"/>
          <w:color w:val="auto"/>
        </w:rPr>
        <w:t>「成年後見制度中核機関」を活用した権利擁護支援</w:t>
      </w:r>
    </w:p>
    <w:p>
      <w:pPr>
        <w:pStyle w:val="0"/>
        <w:ind w:left="886" w:leftChars="300" w:hanging="214" w:hangingChars="100"/>
        <w:rPr>
          <w:rFonts w:hint="default"/>
          <w:sz w:val="21"/>
        </w:rPr>
      </w:pPr>
      <w:r>
        <w:rPr>
          <w:rFonts w:hint="eastAsia"/>
          <w:sz w:val="21"/>
        </w:rPr>
        <w:t>・認知症や知的障がい、精神障がいにより判断能力が不十分な方が、地域において本人らしい生活を継続できるよう、令和５年４月に保健福祉課に設置した「成年後見制度中核機関」</w:t>
      </w:r>
      <w:r>
        <w:rPr>
          <w:rFonts w:hint="default"/>
          <w:sz w:val="21"/>
        </w:rPr>
        <w:t>(</w:t>
      </w:r>
      <w:r>
        <w:rPr>
          <w:rFonts w:hint="default"/>
          <w:sz w:val="21"/>
        </w:rPr>
        <w:t>以下、中核機関という</w:t>
      </w:r>
      <w:r>
        <w:rPr>
          <w:rFonts w:hint="default"/>
          <w:sz w:val="21"/>
        </w:rPr>
        <w:t>)</w:t>
      </w:r>
      <w:r>
        <w:rPr>
          <w:rFonts w:hint="default"/>
          <w:sz w:val="21"/>
        </w:rPr>
        <w:t>を活用し、権利擁護支援のネットワーク及び成年後見制度の利用促進を行います。</w:t>
      </w:r>
    </w:p>
    <w:p>
      <w:pPr>
        <w:pStyle w:val="0"/>
        <w:spacing w:line="0" w:lineRule="atLeast"/>
        <w:ind w:left="724" w:leftChars="250" w:hanging="164" w:hangingChars="100"/>
        <w:rPr>
          <w:rFonts w:hint="default"/>
          <w:sz w:val="16"/>
        </w:rPr>
      </w:pPr>
    </w:p>
    <w:p>
      <w:pPr>
        <w:pStyle w:val="280"/>
        <w:rPr>
          <w:rFonts w:hint="default"/>
          <w:color w:val="auto"/>
        </w:rPr>
      </w:pPr>
      <w:bookmarkStart w:id="54" w:name="_Toc145432247"/>
      <w:bookmarkStart w:id="55" w:name="_Toc145433065"/>
      <w:bookmarkStart w:id="56" w:name="_Toc145433442"/>
      <w:bookmarkStart w:id="57" w:name="_Toc145433674"/>
      <w:bookmarkStart w:id="58" w:name="_Toc145433913"/>
      <w:bookmarkStart w:id="59" w:name="_Toc145434154"/>
      <w:r>
        <w:rPr>
          <w:rFonts w:hint="eastAsia"/>
          <w:color w:val="auto"/>
        </w:rPr>
        <w:t>ｲ</w:t>
      </w:r>
      <w:r>
        <w:rPr>
          <w:rFonts w:hint="eastAsia"/>
          <w:color w:val="auto"/>
        </w:rPr>
        <w:t>)</w:t>
      </w:r>
      <w:r>
        <w:rPr>
          <w:rFonts w:hint="eastAsia"/>
          <w:color w:val="auto"/>
        </w:rPr>
        <w:t>成年後見制度や中核機関の広報・啓発</w:t>
      </w:r>
      <w:bookmarkEnd w:id="54"/>
      <w:bookmarkEnd w:id="55"/>
      <w:bookmarkEnd w:id="56"/>
      <w:bookmarkEnd w:id="57"/>
      <w:bookmarkEnd w:id="58"/>
      <w:bookmarkEnd w:id="59"/>
    </w:p>
    <w:p>
      <w:pPr>
        <w:pStyle w:val="0"/>
        <w:ind w:left="886" w:leftChars="300" w:hanging="214" w:hangingChars="100"/>
        <w:rPr>
          <w:rFonts w:hint="default"/>
          <w:sz w:val="21"/>
        </w:rPr>
      </w:pPr>
      <w:r>
        <w:rPr>
          <w:rFonts w:hint="eastAsia"/>
          <w:sz w:val="21"/>
        </w:rPr>
        <w:t>・成年後見制度について正しい知識を持ち、成年後見制度の利用を必要としている方が適切に制度に結びつくことができるよう、介護・障害福祉サービス事業所等の関係機関や住民を対象に成年後見制度に関する研修会等を開催します。</w:t>
      </w:r>
    </w:p>
    <w:p>
      <w:pPr>
        <w:pStyle w:val="0"/>
        <w:ind w:left="886" w:leftChars="300" w:hanging="214" w:hangingChars="100"/>
        <w:rPr>
          <w:rFonts w:hint="default"/>
          <w:sz w:val="21"/>
        </w:rPr>
      </w:pPr>
      <w:r>
        <w:rPr>
          <w:rFonts w:hint="eastAsia"/>
          <w:sz w:val="21"/>
        </w:rPr>
        <w:t>・成年後見制度の利用支援に関する相談窓口である中核機関について、町ホームページや町広報紙等を活用し幅広く周知します。</w:t>
      </w:r>
    </w:p>
    <w:p>
      <w:pPr>
        <w:pStyle w:val="0"/>
        <w:spacing w:line="0" w:lineRule="atLeast"/>
        <w:ind w:left="724" w:leftChars="250" w:hanging="164" w:hangingChars="100"/>
        <w:rPr>
          <w:rFonts w:hint="default"/>
          <w:sz w:val="16"/>
        </w:rPr>
      </w:pPr>
      <w:bookmarkStart w:id="60" w:name="_Toc145432248"/>
      <w:bookmarkStart w:id="61" w:name="_Toc145433066"/>
      <w:bookmarkStart w:id="62" w:name="_Toc145433443"/>
      <w:bookmarkStart w:id="63" w:name="_Toc145433675"/>
      <w:bookmarkStart w:id="64" w:name="_Toc145433914"/>
      <w:bookmarkStart w:id="65" w:name="_Toc145434155"/>
    </w:p>
    <w:p>
      <w:pPr>
        <w:pStyle w:val="280"/>
        <w:rPr>
          <w:rFonts w:hint="default"/>
          <w:color w:val="auto"/>
        </w:rPr>
      </w:pPr>
      <w:r>
        <w:rPr>
          <w:rFonts w:hint="eastAsia"/>
          <w:color w:val="auto"/>
        </w:rPr>
        <w:t>ｳ</w:t>
      </w:r>
      <w:r>
        <w:rPr>
          <w:rFonts w:hint="eastAsia"/>
          <w:color w:val="auto"/>
        </w:rPr>
        <w:t>)</w:t>
      </w:r>
      <w:r>
        <w:rPr>
          <w:rFonts w:hint="eastAsia"/>
          <w:color w:val="auto"/>
        </w:rPr>
        <w:t>権利擁護支援会議の開催と充実</w:t>
      </w:r>
      <w:bookmarkEnd w:id="60"/>
      <w:bookmarkEnd w:id="61"/>
      <w:bookmarkEnd w:id="62"/>
      <w:bookmarkEnd w:id="63"/>
      <w:bookmarkEnd w:id="64"/>
      <w:bookmarkEnd w:id="65"/>
    </w:p>
    <w:p>
      <w:pPr>
        <w:pStyle w:val="0"/>
        <w:ind w:left="886" w:leftChars="300" w:hanging="214" w:hangingChars="100"/>
        <w:rPr>
          <w:rFonts w:hint="default"/>
          <w:sz w:val="21"/>
        </w:rPr>
      </w:pPr>
      <w:r>
        <w:rPr>
          <w:rFonts w:hint="eastAsia"/>
          <w:sz w:val="21"/>
        </w:rPr>
        <w:t>・中核機関で受理した権利擁護支援に関する相談について、専門的な判断に基づいて支援方針を検討するため、弁護士・司法書士・社会福祉士等の権利擁護に関する専門職をアドバイザーに招き</w:t>
      </w:r>
      <w:r>
        <w:rPr>
          <w:rFonts w:hint="default"/>
          <w:sz w:val="21"/>
        </w:rPr>
        <w:t>｢</w:t>
      </w:r>
      <w:r>
        <w:rPr>
          <w:rFonts w:hint="eastAsia"/>
          <w:sz w:val="21"/>
        </w:rPr>
        <w:t>権利擁護支援会議</w:t>
      </w:r>
      <w:r>
        <w:rPr>
          <w:rFonts w:hint="default"/>
          <w:sz w:val="21"/>
        </w:rPr>
        <w:t>｣</w:t>
      </w:r>
      <w:r>
        <w:rPr>
          <w:rFonts w:hint="eastAsia"/>
          <w:sz w:val="21"/>
        </w:rPr>
        <w:t>を開催します。</w:t>
      </w:r>
    </w:p>
    <w:p>
      <w:pPr>
        <w:pStyle w:val="0"/>
        <w:ind w:left="886" w:leftChars="300" w:hanging="214" w:hangingChars="100"/>
        <w:rPr>
          <w:rFonts w:hint="default"/>
          <w:sz w:val="21"/>
        </w:rPr>
      </w:pPr>
      <w:r>
        <w:rPr>
          <w:rFonts w:hint="eastAsia"/>
          <w:sz w:val="21"/>
        </w:rPr>
        <w:t>・権利擁護支援の充実を図り、中核機関の役割を存分に発揮していくための人材の確保を検討していきます。</w:t>
      </w:r>
    </w:p>
    <w:p>
      <w:pPr>
        <w:pStyle w:val="0"/>
        <w:spacing w:line="0" w:lineRule="atLeast"/>
        <w:ind w:left="724" w:leftChars="250" w:hanging="164" w:hangingChars="100"/>
        <w:rPr>
          <w:rFonts w:hint="default"/>
          <w:sz w:val="16"/>
        </w:rPr>
      </w:pPr>
      <w:bookmarkStart w:id="66" w:name="_Toc145432251"/>
      <w:bookmarkStart w:id="67" w:name="_Toc145433069"/>
      <w:bookmarkStart w:id="68" w:name="_Toc145433446"/>
      <w:bookmarkStart w:id="69" w:name="_Toc145433678"/>
      <w:bookmarkStart w:id="70" w:name="_Toc145433917"/>
      <w:bookmarkStart w:id="71" w:name="_Toc145434158"/>
    </w:p>
    <w:p>
      <w:pPr>
        <w:pStyle w:val="280"/>
        <w:rPr>
          <w:rFonts w:hint="default"/>
          <w:color w:val="auto"/>
        </w:rPr>
      </w:pPr>
      <w:r>
        <w:rPr>
          <w:rFonts w:hint="eastAsia"/>
          <w:color w:val="auto"/>
        </w:rPr>
        <w:t>ｴ</w:t>
      </w:r>
      <w:r>
        <w:rPr>
          <w:rFonts w:hint="eastAsia"/>
          <w:color w:val="auto"/>
        </w:rPr>
        <w:t>)</w:t>
      </w:r>
      <w:r>
        <w:rPr>
          <w:rFonts w:hint="eastAsia"/>
          <w:color w:val="auto"/>
        </w:rPr>
        <w:t>日常生活自立支援事業、日常的金銭管理支援事業の周知・連携</w:t>
      </w:r>
    </w:p>
    <w:p>
      <w:pPr>
        <w:pStyle w:val="0"/>
        <w:ind w:left="886" w:leftChars="300" w:hanging="214" w:hangingChars="100"/>
        <w:rPr>
          <w:rFonts w:hint="default"/>
          <w:sz w:val="21"/>
        </w:rPr>
      </w:pPr>
      <w:r>
        <w:rPr>
          <w:rFonts w:hint="eastAsia"/>
          <w:sz w:val="21"/>
        </w:rPr>
        <w:t>・社会福祉協議会が実施している｢日常生活自立支援事業｣及び</w:t>
      </w:r>
      <w:r>
        <w:rPr>
          <w:rFonts w:hint="default"/>
          <w:sz w:val="21"/>
        </w:rPr>
        <w:t>｢</w:t>
      </w:r>
      <w:r>
        <w:rPr>
          <w:rFonts w:hint="eastAsia"/>
          <w:sz w:val="21"/>
        </w:rPr>
        <w:t>日常的金銭管理支援事業</w:t>
      </w:r>
      <w:r>
        <w:rPr>
          <w:rFonts w:hint="default"/>
          <w:sz w:val="21"/>
        </w:rPr>
        <w:t>｣</w:t>
      </w:r>
      <w:r>
        <w:rPr>
          <w:rFonts w:hint="eastAsia"/>
          <w:sz w:val="21"/>
        </w:rPr>
        <w:t>について情報提供を行い、連携して支援します。</w:t>
      </w:r>
    </w:p>
    <w:p>
      <w:pPr>
        <w:pStyle w:val="0"/>
        <w:spacing w:line="0" w:lineRule="atLeast"/>
        <w:ind w:left="724" w:leftChars="250" w:hanging="164" w:hangingChars="100"/>
        <w:rPr>
          <w:rFonts w:hint="default"/>
          <w:sz w:val="16"/>
        </w:rPr>
      </w:pPr>
    </w:p>
    <w:p>
      <w:pPr>
        <w:pStyle w:val="280"/>
        <w:rPr>
          <w:rFonts w:hint="default"/>
          <w:color w:val="auto"/>
        </w:rPr>
      </w:pPr>
      <w:r>
        <w:rPr>
          <w:rFonts w:hint="eastAsia"/>
          <w:color w:val="auto"/>
        </w:rPr>
        <w:t>ｵ</w:t>
      </w:r>
      <w:r>
        <w:rPr>
          <w:rFonts w:hint="eastAsia"/>
          <w:color w:val="auto"/>
        </w:rPr>
        <w:t>)</w:t>
      </w:r>
      <w:r>
        <w:rPr>
          <w:rFonts w:hint="eastAsia"/>
          <w:color w:val="auto"/>
        </w:rPr>
        <w:t>成年後見制度利用支援事業の利用促進</w:t>
      </w:r>
    </w:p>
    <w:p>
      <w:pPr>
        <w:pStyle w:val="0"/>
        <w:ind w:left="886" w:leftChars="300" w:hanging="214" w:hangingChars="100"/>
        <w:rPr>
          <w:rFonts w:hint="default"/>
          <w:sz w:val="21"/>
        </w:rPr>
      </w:pPr>
      <w:r>
        <w:rPr>
          <w:rFonts w:hint="eastAsia"/>
          <w:sz w:val="21"/>
        </w:rPr>
        <w:t>・権利擁護支援会議において成年後見制度の利用が適切と判断されたが、身寄りがない等の理由で申し立てを行う方がいない場合や、成年後見人等への報酬の支払いが困難な場合等においては、｢成年後見制度利用支援事業｣による利用支援を行います。</w:t>
      </w:r>
    </w:p>
    <w:p>
      <w:pPr>
        <w:pStyle w:val="0"/>
        <w:spacing w:line="0" w:lineRule="atLeast"/>
        <w:ind w:left="724" w:leftChars="250" w:hanging="164" w:hangingChars="100"/>
        <w:rPr>
          <w:rFonts w:hint="default"/>
          <w:sz w:val="16"/>
        </w:rPr>
      </w:pPr>
    </w:p>
    <w:p>
      <w:pPr>
        <w:pStyle w:val="280"/>
        <w:rPr>
          <w:rFonts w:hint="default"/>
          <w:color w:val="auto"/>
        </w:rPr>
      </w:pPr>
      <w:r>
        <w:rPr>
          <w:rFonts w:hint="eastAsia"/>
          <w:color w:val="auto"/>
        </w:rPr>
        <w:t>ｶ</w:t>
      </w:r>
      <w:r>
        <w:rPr>
          <w:rFonts w:hint="eastAsia"/>
          <w:color w:val="auto"/>
        </w:rPr>
        <w:t>)</w:t>
      </w:r>
      <w:r>
        <w:rPr>
          <w:rFonts w:hint="eastAsia"/>
          <w:color w:val="auto"/>
        </w:rPr>
        <w:t>市民後見人の養成・法人後見の設置検討　</w:t>
      </w:r>
    </w:p>
    <w:p>
      <w:pPr>
        <w:pStyle w:val="0"/>
        <w:ind w:left="886" w:leftChars="300" w:hanging="214" w:hangingChars="100"/>
        <w:rPr>
          <w:rFonts w:hint="default"/>
          <w:sz w:val="21"/>
        </w:rPr>
      </w:pPr>
      <w:r>
        <w:rPr>
          <w:rFonts w:hint="eastAsia"/>
          <w:sz w:val="21"/>
        </w:rPr>
        <w:t>・今後、専門職後見人の確保が難しくなることが懸念されており、市民後見人の養成や法人後見の設置について検討していきます。</w:t>
      </w:r>
    </w:p>
    <w:p>
      <w:pPr>
        <w:pStyle w:val="0"/>
        <w:spacing w:line="0" w:lineRule="atLeast"/>
        <w:ind w:left="724" w:leftChars="250" w:hanging="164" w:hangingChars="100"/>
        <w:rPr>
          <w:rFonts w:hint="default"/>
          <w:sz w:val="16"/>
        </w:rPr>
      </w:pPr>
      <w:bookmarkStart w:id="72" w:name="_Toc145432252"/>
      <w:bookmarkStart w:id="73" w:name="_Toc145433070"/>
      <w:bookmarkStart w:id="74" w:name="_Toc145433447"/>
      <w:bookmarkStart w:id="75" w:name="_Toc145433679"/>
      <w:bookmarkStart w:id="76" w:name="_Toc145433918"/>
      <w:bookmarkStart w:id="77" w:name="_Toc145434159"/>
    </w:p>
    <w:p>
      <w:pPr>
        <w:pStyle w:val="280"/>
        <w:rPr>
          <w:rFonts w:hint="default"/>
          <w:color w:val="auto"/>
        </w:rPr>
      </w:pPr>
      <w:bookmarkEnd w:id="72"/>
      <w:bookmarkEnd w:id="73"/>
      <w:bookmarkEnd w:id="74"/>
      <w:bookmarkEnd w:id="75"/>
      <w:bookmarkEnd w:id="76"/>
      <w:bookmarkEnd w:id="77"/>
      <w:bookmarkStart w:id="78" w:name="_Toc145432255"/>
      <w:bookmarkStart w:id="79" w:name="_Toc145433073"/>
      <w:bookmarkStart w:id="80" w:name="_Toc145433450"/>
      <w:bookmarkStart w:id="81" w:name="_Toc145433682"/>
      <w:bookmarkStart w:id="82" w:name="_Toc145433921"/>
      <w:bookmarkStart w:id="83" w:name="_Toc145434162"/>
      <w:r>
        <w:rPr>
          <w:rFonts w:hint="eastAsia"/>
          <w:color w:val="auto"/>
        </w:rPr>
        <w:t>ｷ</w:t>
      </w:r>
      <w:r>
        <w:rPr>
          <w:rFonts w:hint="eastAsia"/>
          <w:color w:val="auto"/>
        </w:rPr>
        <w:t>)</w:t>
      </w:r>
      <w:r>
        <w:rPr>
          <w:rFonts w:hint="eastAsia"/>
          <w:color w:val="auto"/>
        </w:rPr>
        <w:t>成年後見人等への支援強化</w:t>
      </w:r>
      <w:bookmarkEnd w:id="78"/>
      <w:bookmarkEnd w:id="79"/>
      <w:bookmarkEnd w:id="80"/>
      <w:bookmarkEnd w:id="81"/>
      <w:bookmarkEnd w:id="82"/>
      <w:bookmarkEnd w:id="83"/>
    </w:p>
    <w:p>
      <w:pPr>
        <w:pStyle w:val="0"/>
        <w:ind w:left="886" w:leftChars="300" w:hanging="214" w:hangingChars="100"/>
        <w:rPr>
          <w:rFonts w:hint="default"/>
          <w:sz w:val="21"/>
        </w:rPr>
      </w:pPr>
      <w:r>
        <w:rPr>
          <w:rFonts w:hint="eastAsia"/>
          <w:sz w:val="21"/>
        </w:rPr>
        <w:t>・成年後見人等が、成年後見制度を利用している本人の思いや自己決定支援を大切にしながら、従来から関わっている福祉・医療・地域等の関係者とチームになって成年後見業務が行えるよう、中核機関の職員が適切に関わる支援体制づくりを行います。</w:t>
      </w:r>
    </w:p>
    <w:p>
      <w:pPr>
        <w:pStyle w:val="0"/>
        <w:spacing w:line="0" w:lineRule="atLeast"/>
        <w:ind w:left="724" w:leftChars="250" w:hanging="164" w:hangingChars="100"/>
        <w:rPr>
          <w:rFonts w:hint="default"/>
          <w:sz w:val="16"/>
        </w:rPr>
      </w:pPr>
      <w:bookmarkEnd w:id="66"/>
      <w:bookmarkEnd w:id="67"/>
      <w:bookmarkEnd w:id="68"/>
      <w:bookmarkEnd w:id="69"/>
      <w:bookmarkEnd w:id="70"/>
      <w:bookmarkEnd w:id="71"/>
      <w:bookmarkStart w:id="84" w:name="_Toc145432256"/>
      <w:bookmarkStart w:id="85" w:name="_Toc145433074"/>
      <w:bookmarkStart w:id="86" w:name="_Toc145433451"/>
      <w:bookmarkStart w:id="87" w:name="_Toc145433683"/>
      <w:bookmarkStart w:id="88" w:name="_Toc145433922"/>
      <w:bookmarkStart w:id="89" w:name="_Toc145434163"/>
    </w:p>
    <w:p>
      <w:pPr>
        <w:pStyle w:val="280"/>
        <w:rPr>
          <w:rFonts w:hint="default"/>
          <w:color w:val="auto"/>
        </w:rPr>
      </w:pPr>
      <w:r>
        <w:rPr>
          <w:rFonts w:hint="eastAsia"/>
          <w:color w:val="auto"/>
        </w:rPr>
        <w:t>ｸ</w:t>
      </w:r>
      <w:r>
        <w:rPr>
          <w:rFonts w:hint="eastAsia"/>
          <w:color w:val="auto"/>
        </w:rPr>
        <w:t>)</w:t>
      </w:r>
      <w:r>
        <w:rPr>
          <w:rFonts w:hint="eastAsia"/>
          <w:color w:val="auto"/>
        </w:rPr>
        <w:t>権利擁護支援の地域連携ネットワークの構築</w:t>
      </w:r>
      <w:bookmarkEnd w:id="84"/>
      <w:bookmarkEnd w:id="85"/>
      <w:bookmarkEnd w:id="86"/>
      <w:bookmarkEnd w:id="87"/>
      <w:bookmarkEnd w:id="88"/>
      <w:bookmarkEnd w:id="89"/>
    </w:p>
    <w:p>
      <w:pPr>
        <w:pStyle w:val="0"/>
        <w:ind w:left="886" w:leftChars="300" w:hanging="214" w:hangingChars="100"/>
        <w:rPr>
          <w:rFonts w:hint="default"/>
          <w:sz w:val="21"/>
        </w:rPr>
      </w:pPr>
      <w:r>
        <w:rPr>
          <w:rFonts w:hint="eastAsia"/>
          <w:sz w:val="21"/>
        </w:rPr>
        <w:t>・医療機関や社会福祉協議会、民生委員・児童委員等の町内の権利擁護支援に携わる関係機関及び弁護士会・社会福祉士会・司法書士会等の専門職団体と成年後見制度等に関する町の状況を共有し、権利擁護支援のネットワークを構築、成年後見制度の利用促進を図るために</w:t>
      </w:r>
      <w:r>
        <w:rPr>
          <w:rFonts w:hint="default"/>
          <w:sz w:val="21"/>
        </w:rPr>
        <w:t>｢</w:t>
      </w:r>
      <w:r>
        <w:rPr>
          <w:rFonts w:hint="eastAsia"/>
          <w:sz w:val="21"/>
        </w:rPr>
        <w:t>成年後見制度利用促進協議会</w:t>
      </w:r>
      <w:r>
        <w:rPr>
          <w:rFonts w:hint="default"/>
          <w:sz w:val="21"/>
        </w:rPr>
        <w:t>｣</w:t>
      </w:r>
      <w:r>
        <w:rPr>
          <w:rFonts w:hint="eastAsia"/>
          <w:sz w:val="21"/>
        </w:rPr>
        <w:t>を開催していきます。また、家庭裁判所との連携も進めていきます。</w:t>
      </w:r>
    </w:p>
    <w:p>
      <w:pPr>
        <w:pStyle w:val="0"/>
        <w:widowControl w:val="1"/>
        <w:jc w:val="left"/>
        <w:rPr>
          <w:rFonts w:hint="default"/>
          <w:kern w:val="0"/>
          <w:sz w:val="21"/>
        </w:rPr>
      </w:pPr>
      <w:r>
        <w:rPr>
          <w:rFonts w:hint="default"/>
        </w:rPr>
        <w:br w:type="page"/>
      </w:r>
    </w:p>
    <w:p>
      <w:pPr>
        <w:pStyle w:val="0"/>
        <w:ind w:left="886" w:leftChars="300" w:hanging="214" w:hangingChars="100"/>
        <w:rPr>
          <w:rFonts w:hint="default"/>
          <w:sz w:val="21"/>
        </w:rPr>
      </w:pPr>
      <w:r>
        <w:rPr>
          <w:rFonts w:hint="default"/>
          <w:sz w:val="21"/>
        </w:rPr>
        <w:drawing>
          <wp:anchor distT="0" distB="0" distL="114300" distR="114300" simplePos="0" relativeHeight="4" behindDoc="0" locked="0" layoutInCell="1" hidden="0" allowOverlap="1">
            <wp:simplePos x="0" y="0"/>
            <wp:positionH relativeFrom="column">
              <wp:posOffset>879475</wp:posOffset>
            </wp:positionH>
            <wp:positionV relativeFrom="paragraph">
              <wp:posOffset>-706120</wp:posOffset>
            </wp:positionV>
            <wp:extent cx="4559300" cy="6144260"/>
            <wp:effectExtent l="0" t="0" r="0" b="0"/>
            <wp:wrapNone/>
            <wp:docPr id="1157" name="Picture 2"/>
            <a:graphic xmlns:a="http://schemas.openxmlformats.org/drawingml/2006/main">
              <a:graphicData uri="http://schemas.openxmlformats.org/drawingml/2006/picture">
                <pic:pic xmlns:pic="http://schemas.openxmlformats.org/drawingml/2006/picture">
                  <pic:nvPicPr>
                    <pic:cNvPr id="1157" name="Picture 2"/>
                    <pic:cNvPicPr>
                      <a:picLocks noChangeAspect="1" noChangeArrowheads="1"/>
                    </pic:cNvPicPr>
                  </pic:nvPicPr>
                  <pic:blipFill>
                    <a:blip r:embed="rId13"/>
                    <a:srcRect t="3456" r="2196" b="3407"/>
                    <a:stretch>
                      <a:fillRect/>
                    </a:stretch>
                  </pic:blipFill>
                  <pic:spPr>
                    <a:xfrm rot="5400000">
                      <a:off x="0" y="0"/>
                      <a:ext cx="4559300" cy="6144260"/>
                    </a:xfrm>
                    <a:prstGeom prst="rect">
                      <a:avLst/>
                    </a:prstGeom>
                    <a:noFill/>
                    <a:ln>
                      <a:noFill/>
                    </a:ln>
                  </pic:spPr>
                </pic:pic>
              </a:graphicData>
            </a:graphic>
          </wp:anchor>
        </w:drawing>
      </w: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83"/>
        <w:ind w:left="448"/>
        <w:rPr>
          <w:rFonts w:hint="default"/>
          <w:color w:val="auto"/>
        </w:rPr>
      </w:pPr>
      <w:r>
        <w:rPr>
          <w:rFonts w:hint="eastAsia"/>
          <w:color w:val="auto"/>
        </w:rPr>
        <w:t>②虐待防止・解消に向けた関係機関等の連携推進</w:t>
      </w:r>
    </w:p>
    <w:p>
      <w:pPr>
        <w:pStyle w:val="0"/>
        <w:ind w:left="886" w:leftChars="300" w:hanging="214" w:hangingChars="100"/>
        <w:rPr>
          <w:rFonts w:hint="default"/>
          <w:sz w:val="21"/>
        </w:rPr>
      </w:pPr>
      <w:r>
        <w:rPr>
          <w:rFonts w:hint="eastAsia"/>
          <w:sz w:val="21"/>
        </w:rPr>
        <w:t>・虐待防止や解消に向け、委託相談支援事業所、計画相談支援事業所、医療機関、警察、障害福祉サービス事業所、ケースに応じた関係機関</w:t>
      </w:r>
      <w:r>
        <w:rPr>
          <w:rFonts w:hint="eastAsia"/>
          <w:strike w:val="0"/>
          <w:dstrike w:val="0"/>
          <w:sz w:val="21"/>
        </w:rPr>
        <w:t>等</w:t>
      </w:r>
      <w:r>
        <w:rPr>
          <w:rFonts w:hint="eastAsia"/>
          <w:sz w:val="21"/>
        </w:rPr>
        <w:t>と連携した支援を行います。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③虐待防止に関する広報啓発の推進</w:t>
      </w:r>
    </w:p>
    <w:p>
      <w:pPr>
        <w:pStyle w:val="0"/>
        <w:ind w:left="886" w:leftChars="300" w:hanging="214" w:hangingChars="100"/>
        <w:rPr>
          <w:rFonts w:hint="default"/>
          <w:sz w:val="21"/>
        </w:rPr>
      </w:pPr>
      <w:r>
        <w:rPr>
          <w:rFonts w:hint="eastAsia"/>
          <w:sz w:val="21"/>
        </w:rPr>
        <w:t>・虐待防止と早期発見のため、町広報紙やパンフレット等を用いて、地域に対し虐待に関する相談窓口の周知を強化します。</w:t>
      </w:r>
    </w:p>
    <w:p>
      <w:pPr>
        <w:pStyle w:val="0"/>
        <w:ind w:left="886" w:leftChars="300" w:hanging="214" w:hangingChars="100"/>
        <w:rPr>
          <w:rFonts w:hint="default"/>
          <w:sz w:val="21"/>
        </w:rPr>
      </w:pPr>
      <w:r>
        <w:rPr>
          <w:rFonts w:hint="eastAsia"/>
          <w:sz w:val="21"/>
        </w:rPr>
        <w:t>・施設従事者による虐待を予防するために町内事業所向けの虐待防止研修会を継続して開催します。</w:t>
      </w:r>
    </w:p>
    <w:p>
      <w:pPr>
        <w:pStyle w:val="0"/>
        <w:ind w:left="886" w:leftChars="300" w:hanging="214" w:hangingChars="100"/>
        <w:rPr>
          <w:rFonts w:hint="default"/>
          <w:sz w:val="21"/>
        </w:rPr>
      </w:pPr>
    </w:p>
    <w:p>
      <w:pPr>
        <w:pStyle w:val="0"/>
        <w:widowControl w:val="1"/>
        <w:jc w:val="left"/>
        <w:rPr>
          <w:rFonts w:hint="default"/>
          <w:sz w:val="21"/>
        </w:rPr>
      </w:pPr>
      <w:bookmarkStart w:id="90" w:name="_Toc505592291"/>
      <w:bookmarkStart w:id="91" w:name="_Toc62831668"/>
      <w:r>
        <w:rPr>
          <w:rFonts w:hint="default"/>
          <w:sz w:val="21"/>
        </w:rPr>
        <w:br w:type="page"/>
      </w:r>
    </w:p>
    <w:p>
      <w:pPr>
        <w:pStyle w:val="23"/>
        <w:rPr>
          <w:rFonts w:hint="default"/>
          <w:sz w:val="20"/>
        </w:rPr>
      </w:pPr>
      <w:bookmarkStart w:id="92" w:name="_Toc154411469"/>
      <w:bookmarkStart w:id="93" w:name="_Toc158300413"/>
      <w:r>
        <w:rPr>
          <w:rFonts w:hint="eastAsia"/>
        </w:rPr>
        <w:t>３</w:t>
      </w:r>
      <w:r>
        <w:rPr>
          <w:rFonts w:hint="default"/>
        </w:rPr>
        <w:t>．</w:t>
      </w:r>
      <w:r>
        <w:rPr>
          <w:rFonts w:hint="eastAsia"/>
        </w:rPr>
        <w:t>情報提供・意思疎通支援の充実</w:t>
      </w:r>
      <w:bookmarkEnd w:id="92"/>
      <w:bookmarkEnd w:id="90"/>
      <w:bookmarkEnd w:id="91"/>
      <w:r>
        <w:rPr>
          <w:rFonts w:hint="eastAsia"/>
        </w:rPr>
        <w:t>　</w:t>
      </w:r>
      <w:bookmarkEnd w:id="93"/>
    </w:p>
    <w:p>
      <w:pPr>
        <w:pStyle w:val="22"/>
        <w:spacing w:after="111" w:afterLines="0" w:afterAutospacing="0"/>
        <w:rPr>
          <w:rFonts w:hint="default"/>
        </w:rPr>
      </w:pPr>
      <w:bookmarkStart w:id="94" w:name="_Toc154411470"/>
      <w:bookmarkStart w:id="95" w:name="_Toc416340559"/>
      <w:r>
        <w:rPr>
          <w:rFonts w:hint="eastAsia"/>
        </w:rPr>
        <w:t>（１）情報提供の充実</w:t>
      </w:r>
      <w:bookmarkEnd w:id="94"/>
    </w:p>
    <w:p>
      <w:pPr>
        <w:pStyle w:val="82"/>
        <w:rPr>
          <w:rFonts w:hint="default"/>
        </w:rPr>
      </w:pPr>
      <w:r>
        <w:rPr>
          <w:rFonts w:hint="eastAsia"/>
        </w:rPr>
        <w:t>【現状と課題】</w:t>
      </w:r>
    </w:p>
    <w:p>
      <w:pPr>
        <w:pStyle w:val="0"/>
        <w:ind w:left="662" w:leftChars="200" w:hanging="214" w:hangingChars="100"/>
        <w:rPr>
          <w:rFonts w:hint="default"/>
          <w:sz w:val="21"/>
        </w:rPr>
      </w:pPr>
      <w:r>
        <w:rPr>
          <w:rFonts w:hint="eastAsia"/>
          <w:sz w:val="21"/>
        </w:rPr>
        <w:t>○情報提供においては、南風原町の福祉全般に関する情報を掲載している「福祉のしおり」を活用し、窓口での説明を行っているほか、町民生委員・児童委員への障害福祉情報の提供を行っています。</w:t>
      </w:r>
    </w:p>
    <w:p>
      <w:pPr>
        <w:pStyle w:val="0"/>
        <w:ind w:left="662" w:leftChars="200" w:hanging="214" w:hangingChars="100"/>
        <w:rPr>
          <w:rFonts w:hint="default"/>
          <w:sz w:val="21"/>
        </w:rPr>
      </w:pPr>
      <w:r>
        <w:rPr>
          <w:rFonts w:hint="eastAsia"/>
          <w:sz w:val="21"/>
        </w:rPr>
        <w:t>○様々な障害福祉制度、関連する事業、イベント等について、町の広報紙やホームページ、ＬＩＮＥで発信しています。また、</w:t>
      </w:r>
      <w:r>
        <w:rPr>
          <w:rFonts w:hint="default"/>
          <w:sz w:val="21"/>
        </w:rPr>
        <w:t>町内</w:t>
      </w:r>
      <w:r>
        <w:rPr>
          <w:rFonts w:hint="eastAsia"/>
          <w:sz w:val="21"/>
        </w:rPr>
        <w:t>サービス</w:t>
      </w:r>
      <w:r>
        <w:rPr>
          <w:rFonts w:hint="default"/>
          <w:sz w:val="21"/>
        </w:rPr>
        <w:t>事業所への周知</w:t>
      </w:r>
      <w:r>
        <w:rPr>
          <w:rFonts w:hint="eastAsia"/>
          <w:sz w:val="21"/>
        </w:rPr>
        <w:t>を行い、サービス事業所を通じて情報提供を行っています</w:t>
      </w:r>
      <w:r>
        <w:rPr>
          <w:rFonts w:hint="default"/>
          <w:sz w:val="21"/>
        </w:rPr>
        <w:t>。</w:t>
      </w:r>
    </w:p>
    <w:p>
      <w:pPr>
        <w:pStyle w:val="0"/>
        <w:ind w:left="662" w:leftChars="200" w:hanging="214" w:hangingChars="100"/>
        <w:rPr>
          <w:rFonts w:hint="default"/>
          <w:sz w:val="21"/>
        </w:rPr>
      </w:pPr>
      <w:r>
        <w:rPr>
          <w:rFonts w:hint="eastAsia"/>
          <w:sz w:val="21"/>
        </w:rPr>
        <w:t>○情報提供においては、情報を得やすく、わかりやすい工夫が必要であり、ホームページをわかりやすい画面構成にするほか、文字拡大機能、背景色変更機能を実施しています。</w:t>
      </w:r>
    </w:p>
    <w:p>
      <w:pPr>
        <w:pStyle w:val="0"/>
        <w:ind w:left="662" w:leftChars="200" w:hanging="214" w:hangingChars="100"/>
        <w:rPr>
          <w:rFonts w:hint="default"/>
          <w:sz w:val="21"/>
        </w:rPr>
      </w:pPr>
      <w:r>
        <w:rPr>
          <w:rFonts w:hint="eastAsia"/>
          <w:sz w:val="21"/>
        </w:rPr>
        <w:t>○音訳サークルたんぽぽの協力を得て音声による広報紙「声の広報」をＣＤに保存作成し、利用希望者へ無料で届けています。必要な人が利用できるよう周知を図る必要があります。</w:t>
      </w:r>
    </w:p>
    <w:p>
      <w:pPr>
        <w:pStyle w:val="0"/>
        <w:ind w:left="662" w:leftChars="200" w:hanging="214" w:hangingChars="100"/>
        <w:rPr>
          <w:rFonts w:hint="default"/>
          <w:sz w:val="21"/>
        </w:rPr>
      </w:pPr>
      <w:r>
        <w:rPr>
          <w:rFonts w:hint="eastAsia"/>
          <w:sz w:val="21"/>
        </w:rPr>
        <w:t>○難病患者については、制度やサービス利用等について、窓口来庁時、相談支援時に案内や申請に関する相談等を行っています。</w:t>
      </w:r>
    </w:p>
    <w:p>
      <w:pPr>
        <w:pStyle w:val="0"/>
        <w:ind w:left="662" w:leftChars="200" w:hanging="214" w:hangingChars="100"/>
        <w:rPr>
          <w:rFonts w:hint="default"/>
          <w:sz w:val="21"/>
        </w:rPr>
      </w:pPr>
    </w:p>
    <w:p>
      <w:pPr>
        <w:pStyle w:val="0"/>
        <w:ind w:left="224" w:leftChars="100"/>
        <w:rPr>
          <w:rFonts w:hint="default" w:ascii="ＭＳ ゴシック" w:hAnsi="ＭＳ ゴシック" w:eastAsia="ＭＳ ゴシック"/>
        </w:rPr>
      </w:pPr>
      <w:r>
        <w:rPr>
          <w:rFonts w:hint="eastAsia" w:ascii="ＭＳ ゴシック" w:hAnsi="ＭＳ ゴシック" w:eastAsia="ＭＳ ゴシック"/>
        </w:rPr>
        <w:t>（アンケート調査より）</w:t>
      </w:r>
    </w:p>
    <w:p>
      <w:pPr>
        <w:pStyle w:val="0"/>
        <w:ind w:left="662" w:leftChars="200" w:hanging="214" w:hangingChars="100"/>
        <w:rPr>
          <w:rFonts w:hint="default"/>
          <w:sz w:val="21"/>
        </w:rPr>
      </w:pPr>
      <w:r>
        <w:rPr>
          <w:rFonts w:hint="eastAsia"/>
          <w:sz w:val="21"/>
        </w:rPr>
        <w:t>○情報の入手やコミュニケーションをとる上で配慮してほしいことでは、「情報をわかりやすく説明してくれる人がほしい」が</w:t>
      </w:r>
      <w:r>
        <w:rPr>
          <w:rFonts w:hint="default"/>
          <w:sz w:val="21"/>
        </w:rPr>
        <w:t>26.9</w:t>
      </w:r>
      <w:r>
        <w:rPr>
          <w:rFonts w:hint="eastAsia"/>
          <w:sz w:val="21"/>
        </w:rPr>
        <w:t>％</w:t>
      </w:r>
      <w:r>
        <w:rPr>
          <w:rFonts w:hint="eastAsia"/>
          <w:sz w:val="21"/>
        </w:rPr>
        <w:t>(</w:t>
      </w:r>
      <w:r>
        <w:rPr>
          <w:rFonts w:hint="eastAsia"/>
          <w:sz w:val="21"/>
        </w:rPr>
        <w:t>前回</w:t>
      </w:r>
      <w:r>
        <w:rPr>
          <w:rFonts w:hint="eastAsia"/>
          <w:sz w:val="21"/>
        </w:rPr>
        <w:t>31.8</w:t>
      </w:r>
      <w:r>
        <w:rPr>
          <w:rFonts w:hint="eastAsia"/>
          <w:sz w:val="21"/>
        </w:rPr>
        <w:t>％</w:t>
      </w:r>
      <w:r>
        <w:rPr>
          <w:rFonts w:hint="eastAsia"/>
          <w:sz w:val="21"/>
        </w:rPr>
        <w:t>)</w:t>
      </w:r>
      <w:r>
        <w:rPr>
          <w:rFonts w:hint="eastAsia"/>
          <w:sz w:val="21"/>
        </w:rPr>
        <w:t>､「知りたい情報について相談できる所がほしい」が</w:t>
      </w:r>
      <w:r>
        <w:rPr>
          <w:rFonts w:hint="default"/>
          <w:sz w:val="21"/>
        </w:rPr>
        <w:t>25.4</w:t>
      </w:r>
      <w:r>
        <w:rPr>
          <w:rFonts w:hint="eastAsia"/>
          <w:sz w:val="21"/>
        </w:rPr>
        <w:t>％</w:t>
      </w:r>
      <w:r>
        <w:rPr>
          <w:rFonts w:hint="eastAsia"/>
          <w:sz w:val="21"/>
        </w:rPr>
        <w:t>(</w:t>
      </w:r>
      <w:r>
        <w:rPr>
          <w:rFonts w:hint="eastAsia"/>
          <w:sz w:val="21"/>
        </w:rPr>
        <w:t>前回</w:t>
      </w:r>
      <w:r>
        <w:rPr>
          <w:rFonts w:hint="eastAsia"/>
          <w:sz w:val="21"/>
        </w:rPr>
        <w:t>32.4</w:t>
      </w:r>
      <w:r>
        <w:rPr>
          <w:rFonts w:hint="eastAsia"/>
          <w:sz w:val="21"/>
        </w:rPr>
        <w:t>％</w:t>
      </w:r>
      <w:r>
        <w:rPr>
          <w:rFonts w:hint="eastAsia"/>
          <w:sz w:val="21"/>
        </w:rPr>
        <w:t>)</w:t>
      </w:r>
      <w:r>
        <w:rPr>
          <w:rFonts w:hint="eastAsia"/>
          <w:sz w:val="21"/>
        </w:rPr>
        <w:t>と高くなっています。</w:t>
      </w: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81"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58"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59"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60"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61"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299;" coordsize="6044565,219710" coordorigin="0,0" o:spid="_x0000_s1158" o:allowincell="t" o:allowoverlap="t">
                <v:roundrect id="今後の取り組み_四角（灰）" style="height:219710;width:6044565;top:0;left:0;position:absolute;" o:spid="_x0000_s1159"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60"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61"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eastAsia"/>
        </w:rPr>
        <w:t>【施策の基本的な考え方】</w:t>
      </w:r>
    </w:p>
    <w:p>
      <w:pPr>
        <w:pStyle w:val="0"/>
        <w:ind w:left="560" w:leftChars="250" w:firstLine="210" w:firstLineChars="100"/>
        <w:rPr>
          <w:rFonts w:hint="default" w:ascii="ＭＳ ゴシック" w:hAnsi="ＭＳ ゴシック" w:eastAsia="ＭＳ ゴシック"/>
        </w:rPr>
      </w:pPr>
      <w:r>
        <w:rPr>
          <w:rFonts w:hint="eastAsia"/>
          <w:spacing w:val="-2"/>
          <w:sz w:val="21"/>
        </w:rPr>
        <w:t>障がい者の日常生活及び社会生活の自立を図る上では、必要な情報を入手できることが基本となります。そのため、障がい者の求める情報が得やすい環境づくりを進めるとともに、わかりやすい内容となるよう配慮するなど情報提供の充実に取り組みます。</w:t>
      </w:r>
    </w:p>
    <w:p>
      <w:pPr>
        <w:pStyle w:val="0"/>
        <w:ind w:left="560" w:leftChars="250" w:firstLine="224" w:firstLineChars="100"/>
        <w:rPr>
          <w:rFonts w:hint="default" w:ascii="ＭＳ ゴシック" w:hAnsi="ＭＳ ゴシック" w:eastAsia="ＭＳ ゴシック"/>
        </w:rPr>
      </w:pPr>
    </w:p>
    <w:p>
      <w:pPr>
        <w:pStyle w:val="83"/>
        <w:ind w:left="448"/>
        <w:rPr>
          <w:rFonts w:hint="default"/>
          <w:color w:val="auto"/>
        </w:rPr>
      </w:pPr>
      <w:r>
        <w:rPr>
          <w:rFonts w:hint="eastAsia"/>
          <w:color w:val="auto"/>
        </w:rPr>
        <w:t>①情報提供の充実</w:t>
      </w:r>
    </w:p>
    <w:p>
      <w:pPr>
        <w:pStyle w:val="0"/>
        <w:ind w:left="886" w:leftChars="300" w:hanging="214" w:hangingChars="100"/>
        <w:rPr>
          <w:rFonts w:hint="default"/>
          <w:sz w:val="21"/>
        </w:rPr>
      </w:pPr>
      <w:r>
        <w:rPr>
          <w:rFonts w:hint="eastAsia"/>
          <w:sz w:val="21"/>
        </w:rPr>
        <w:t>・障害福祉に関する情報を、「福祉のしおり」や広報紙、ホームページ等様々な媒体を活用した情報提供を行うとともに、わかりやすい内容となるよう工夫していきます。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②ウェブアクセシビリティの向上</w:t>
      </w:r>
    </w:p>
    <w:p>
      <w:pPr>
        <w:pStyle w:val="0"/>
        <w:ind w:left="886" w:leftChars="300" w:hanging="214" w:hangingChars="100"/>
        <w:rPr>
          <w:rFonts w:hint="default"/>
          <w:sz w:val="21"/>
        </w:rPr>
      </w:pPr>
      <w:r>
        <w:rPr>
          <w:rFonts w:hint="eastAsia"/>
          <w:sz w:val="21"/>
        </w:rPr>
        <w:t>・町のホームページによる情報提供にあたっては、障がい者が情報を取得しやすいよう、分かりやすい画面構成に取り組むほか、音声読み上げ機能や文字拡大機能、背景色変更機能を維持します。また、本町の障がい者等のニーズを踏まえた操作性の向上など、ウェブアクセシビリティの向上に取り組み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③声の広報等事業の推進</w:t>
      </w:r>
    </w:p>
    <w:p>
      <w:pPr>
        <w:pStyle w:val="0"/>
        <w:ind w:left="886" w:leftChars="300" w:hanging="214" w:hangingChars="100"/>
        <w:rPr>
          <w:rFonts w:hint="default"/>
          <w:sz w:val="21"/>
        </w:rPr>
      </w:pPr>
      <w:r>
        <w:rPr>
          <w:rFonts w:hint="eastAsia"/>
          <w:sz w:val="21"/>
        </w:rPr>
        <w:t>・文字による情報の取得が困難な方に対し、町の広報紙や議会だより、社協だより等の内容を、音訳ＣＤによる情報提供を継続します。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④難病患者へのサービス等周知の推進</w:t>
      </w:r>
    </w:p>
    <w:p>
      <w:pPr>
        <w:pStyle w:val="0"/>
        <w:ind w:left="886" w:leftChars="300" w:hanging="214" w:hangingChars="100"/>
        <w:rPr>
          <w:rFonts w:hint="default"/>
          <w:sz w:val="21"/>
        </w:rPr>
      </w:pPr>
      <w:r>
        <w:rPr>
          <w:rFonts w:hint="eastAsia"/>
          <w:sz w:val="21"/>
        </w:rPr>
        <w:t>・難病患者についても、障害福祉制度による必要な支援が受けられるよう、今後もサービスの案内や利用に関する相談支援等を行います。</w:t>
      </w:r>
    </w:p>
    <w:p>
      <w:pPr>
        <w:pStyle w:val="0"/>
        <w:ind w:left="886" w:leftChars="300" w:hanging="214" w:hangingChars="100"/>
        <w:rPr>
          <w:rFonts w:hint="default"/>
          <w:sz w:val="21"/>
        </w:rPr>
      </w:pPr>
    </w:p>
    <w:p>
      <w:pPr>
        <w:pStyle w:val="0"/>
        <w:widowControl w:val="1"/>
        <w:spacing w:line="20" w:lineRule="exact"/>
        <w:jc w:val="left"/>
        <w:rPr>
          <w:rFonts w:hint="default"/>
        </w:rPr>
      </w:pPr>
    </w:p>
    <w:p>
      <w:pPr>
        <w:pStyle w:val="0"/>
        <w:ind w:left="886" w:leftChars="300" w:hanging="214" w:hangingChars="100"/>
        <w:rPr>
          <w:rFonts w:hint="default"/>
          <w:sz w:val="21"/>
        </w:rPr>
      </w:pPr>
    </w:p>
    <w:p>
      <w:pPr>
        <w:pStyle w:val="0"/>
        <w:widowControl w:val="1"/>
        <w:jc w:val="left"/>
        <w:rPr>
          <w:rFonts w:hint="default"/>
          <w:spacing w:val="4"/>
          <w:kern w:val="0"/>
        </w:rPr>
      </w:pPr>
      <w:r>
        <w:rPr>
          <w:rFonts w:hint="default"/>
        </w:rPr>
        <w:br w:type="page"/>
      </w:r>
    </w:p>
    <w:p>
      <w:pPr>
        <w:pStyle w:val="22"/>
        <w:spacing w:after="111" w:afterLines="0" w:afterAutospacing="0"/>
        <w:rPr>
          <w:rFonts w:hint="default"/>
        </w:rPr>
      </w:pPr>
      <w:bookmarkStart w:id="96" w:name="_Toc154411471"/>
      <w:r>
        <w:rPr>
          <w:rFonts w:hint="eastAsia"/>
        </w:rPr>
        <w:t>（２）意思疎通支援の充実</w:t>
      </w:r>
      <w:bookmarkEnd w:id="96"/>
    </w:p>
    <w:p>
      <w:pPr>
        <w:pStyle w:val="82"/>
        <w:rPr>
          <w:rFonts w:hint="default"/>
        </w:rPr>
      </w:pPr>
      <w:r>
        <w:rPr>
          <w:rFonts w:hint="eastAsia"/>
        </w:rPr>
        <w:t>【現状と課題】</w:t>
      </w:r>
    </w:p>
    <w:p>
      <w:pPr>
        <w:pStyle w:val="0"/>
        <w:ind w:left="662" w:leftChars="200" w:hanging="214" w:hangingChars="100"/>
        <w:rPr>
          <w:rFonts w:hint="default"/>
          <w:sz w:val="21"/>
        </w:rPr>
      </w:pPr>
      <w:r>
        <w:rPr>
          <w:rFonts w:hint="eastAsia"/>
          <w:sz w:val="21"/>
        </w:rPr>
        <w:t>○手話通訳者を配置し、手話通訳者等の派遣や聴覚障がい者等の窓口手続支援を行っています。また、コロナ禍においては、通訳者が訪問できなかったため、手話通訳者がタブレットを活用し遠隔による手話通訳を行いました。</w:t>
      </w:r>
    </w:p>
    <w:p>
      <w:pPr>
        <w:pStyle w:val="0"/>
        <w:ind w:left="662" w:leftChars="200" w:hanging="214" w:hangingChars="100"/>
        <w:rPr>
          <w:rFonts w:hint="default"/>
          <w:sz w:val="21"/>
        </w:rPr>
      </w:pPr>
      <w:r>
        <w:rPr>
          <w:rFonts w:hint="eastAsia"/>
          <w:sz w:val="21"/>
        </w:rPr>
        <w:t>○町主催の会議やイベント等へ手話通訳者派遣を行い、意思疎通支援を行いました。また、聴覚障がい者が参加する会議等へも通訳者等の派遣を行いました。今後は、継続的な支援のほか、ニーズを踏まえた支援について検討することも必要です。</w:t>
      </w:r>
    </w:p>
    <w:p>
      <w:pPr>
        <w:pStyle w:val="0"/>
        <w:ind w:left="662" w:leftChars="200" w:hanging="214" w:hangingChars="100"/>
        <w:rPr>
          <w:rFonts w:hint="default"/>
          <w:sz w:val="21"/>
        </w:rPr>
      </w:pPr>
      <w:r>
        <w:rPr>
          <w:rFonts w:hint="eastAsia"/>
          <w:sz w:val="21"/>
        </w:rPr>
        <w:t>○日常生活用具給付事業には、情報・意思疎通支援用具の給付があり、必要な方に必要な支援を行っています。</w:t>
      </w:r>
    </w:p>
    <w:p>
      <w:pPr>
        <w:pStyle w:val="0"/>
        <w:ind w:left="662" w:leftChars="200" w:hanging="214" w:hangingChars="100"/>
        <w:rPr>
          <w:rFonts w:hint="default"/>
          <w:sz w:val="21"/>
        </w:rPr>
      </w:pPr>
      <w:r>
        <w:rPr>
          <w:rFonts w:hint="eastAsia"/>
          <w:sz w:val="21"/>
        </w:rPr>
        <w:t>○早い段階から聞こえづらさを感じている児童への関わりとして、保幼小中学校や町内の障害児通所支援事業所に対して“聞こえ”に関する実態調査を行ないました。聞こえに関する相談窓口も設置し、早期支援が必要な児童には、「軽度・中等度難聴児補聴器購入費等助成事業」に繋ぐ支援を行いました。</w:t>
      </w:r>
    </w:p>
    <w:p>
      <w:pPr>
        <w:pStyle w:val="0"/>
        <w:ind w:left="662" w:leftChars="200" w:hanging="214" w:hangingChars="100"/>
        <w:rPr>
          <w:rFonts w:hint="default"/>
          <w:sz w:val="21"/>
        </w:rPr>
      </w:pPr>
      <w:r>
        <w:rPr>
          <w:rFonts w:hint="eastAsia"/>
          <w:sz w:val="21"/>
        </w:rPr>
        <w:t>○手話を習得するための講座として、手話奉仕員養成講座を沖縄県聴覚障害者協会へ委託し、南城市と合同で開催しています。また、奉仕員養成講座を終了した方を対象に、県主催の手話通訳者の受講を促しています。さらに、奉仕員登録者の技術向上のため、近隣六市町と合同で学習会を開催しています。</w:t>
      </w:r>
    </w:p>
    <w:p>
      <w:pPr>
        <w:pStyle w:val="0"/>
        <w:ind w:left="662" w:leftChars="200" w:hanging="214" w:hangingChars="100"/>
        <w:rPr>
          <w:rFonts w:hint="default"/>
          <w:sz w:val="21"/>
        </w:rPr>
      </w:pPr>
      <w:r>
        <w:rPr>
          <w:rFonts w:hint="eastAsia"/>
          <w:sz w:val="21"/>
        </w:rPr>
        <w:t>○子どもたちへ障がいの理解を深める機会として、地域学校協働本部事業による総合学習において、小学４年生</w:t>
      </w:r>
      <w:r>
        <w:rPr>
          <w:rFonts w:hint="default"/>
          <w:sz w:val="21"/>
        </w:rPr>
        <w:t>を対象</w:t>
      </w:r>
      <w:r>
        <w:rPr>
          <w:rFonts w:hint="eastAsia"/>
          <w:sz w:val="21"/>
        </w:rPr>
        <w:t>とした</w:t>
      </w:r>
      <w:r>
        <w:rPr>
          <w:rFonts w:hint="default"/>
          <w:sz w:val="21"/>
        </w:rPr>
        <w:t>聴覚障</w:t>
      </w:r>
      <w:r>
        <w:rPr>
          <w:rFonts w:hint="eastAsia"/>
          <w:sz w:val="21"/>
        </w:rPr>
        <w:t>がいの</w:t>
      </w:r>
      <w:r>
        <w:rPr>
          <w:rFonts w:hint="default"/>
          <w:sz w:val="21"/>
        </w:rPr>
        <w:t>講話</w:t>
      </w:r>
      <w:r>
        <w:rPr>
          <w:rFonts w:hint="eastAsia"/>
          <w:sz w:val="21"/>
        </w:rPr>
        <w:t>や</w:t>
      </w:r>
      <w:r>
        <w:rPr>
          <w:rFonts w:hint="default"/>
          <w:sz w:val="21"/>
        </w:rPr>
        <w:t>手話を学ぶ場</w:t>
      </w:r>
      <w:r>
        <w:rPr>
          <w:rFonts w:hint="eastAsia"/>
          <w:sz w:val="21"/>
        </w:rPr>
        <w:t>を設けています。</w:t>
      </w:r>
    </w:p>
    <w:p>
      <w:pPr>
        <w:pStyle w:val="0"/>
        <w:ind w:left="662" w:leftChars="200" w:hanging="214" w:hangingChars="100"/>
        <w:rPr>
          <w:rFonts w:hint="default"/>
          <w:sz w:val="21"/>
        </w:rPr>
      </w:pPr>
      <w:r>
        <w:rPr>
          <w:rFonts w:hint="eastAsia"/>
          <w:sz w:val="21"/>
        </w:rPr>
        <w:t>○町広報紙、ホームページ、パンフレット、ポスター、手話言語国際デー等の啓発週間等の広報媒体を活用し、手話言語等への理解促進及び普及に取り組んでいます。</w:t>
      </w:r>
    </w:p>
    <w:p>
      <w:pPr>
        <w:pStyle w:val="0"/>
        <w:ind w:left="886" w:leftChars="300" w:hanging="214" w:hangingChars="100"/>
        <w:rPr>
          <w:rFonts w:hint="default"/>
          <w:sz w:val="21"/>
        </w:rPr>
      </w:pP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85"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62"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63"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64"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65"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295;" coordsize="6044565,219710" coordorigin="0,0" o:spid="_x0000_s1162" o:allowincell="t" o:allowoverlap="t">
                <v:roundrect id="今後の取り組み_四角（灰）" style="height:219710;width:6044565;top:0;left:0;position:absolute;" o:spid="_x0000_s1163"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64"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65"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default"/>
        </w:rPr>
        <w:t>【</w:t>
      </w:r>
      <w:r>
        <w:rPr>
          <w:rFonts w:hint="eastAsia"/>
        </w:rPr>
        <w:t>施策の基本的な考え方</w:t>
      </w:r>
      <w:r>
        <w:rPr>
          <w:rFonts w:hint="default"/>
        </w:rPr>
        <w:t>】</w:t>
      </w:r>
    </w:p>
    <w:p>
      <w:pPr>
        <w:pStyle w:val="0"/>
        <w:ind w:left="560" w:leftChars="250" w:firstLine="210" w:firstLineChars="100"/>
        <w:rPr>
          <w:rFonts w:hint="default"/>
          <w:spacing w:val="-2"/>
          <w:sz w:val="21"/>
        </w:rPr>
      </w:pPr>
      <w:r>
        <w:rPr>
          <w:rFonts w:hint="eastAsia"/>
          <w:spacing w:val="-2"/>
          <w:sz w:val="21"/>
        </w:rPr>
        <w:t>障がい者の日常生活及び社会生活の自立を図る上では、必要な情報の入手とともに、意思疎通が図れることが基本となります。そのため、「</w:t>
      </w:r>
      <w:r>
        <w:rPr>
          <w:rFonts w:hint="eastAsia"/>
          <w:sz w:val="21"/>
        </w:rPr>
        <w:t>町手話言語等条例</w:t>
      </w:r>
      <w:r>
        <w:rPr>
          <w:rFonts w:hint="eastAsia"/>
          <w:spacing w:val="-2"/>
          <w:sz w:val="21"/>
        </w:rPr>
        <w:t>」を踏まえて、意思疎通のための多様なコミュニケーション手段の普及と利用の促進に取り組みます。</w:t>
      </w:r>
    </w:p>
    <w:p>
      <w:pPr>
        <w:pStyle w:val="0"/>
        <w:ind w:left="560" w:leftChars="250" w:firstLine="210" w:firstLineChars="100"/>
        <w:rPr>
          <w:rFonts w:hint="default"/>
          <w:spacing w:val="-2"/>
          <w:sz w:val="21"/>
        </w:rPr>
      </w:pPr>
    </w:p>
    <w:p>
      <w:pPr>
        <w:pStyle w:val="83"/>
        <w:ind w:left="448"/>
        <w:rPr>
          <w:rFonts w:hint="default"/>
          <w:color w:val="auto"/>
        </w:rPr>
      </w:pPr>
      <w:r>
        <w:rPr>
          <w:rFonts w:hint="eastAsia"/>
          <w:color w:val="auto"/>
        </w:rPr>
        <w:t>①手話言語等による意思疎通支援の推進</w:t>
      </w:r>
    </w:p>
    <w:p>
      <w:pPr>
        <w:pStyle w:val="0"/>
        <w:ind w:left="886" w:leftChars="300" w:hanging="214" w:hangingChars="100"/>
        <w:rPr>
          <w:rFonts w:hint="default"/>
          <w:sz w:val="21"/>
        </w:rPr>
      </w:pPr>
      <w:r>
        <w:rPr>
          <w:rFonts w:hint="eastAsia"/>
          <w:sz w:val="21"/>
        </w:rPr>
        <w:t>・聴覚障がい者及び音声・言語機能障がい者の意思疎通を支援するため、手話通訳者や要約筆記者の派遣及び手話通訳者の配置を継続します。</w:t>
      </w:r>
    </w:p>
    <w:p>
      <w:pPr>
        <w:pStyle w:val="0"/>
        <w:ind w:left="886" w:leftChars="300" w:hanging="214" w:hangingChars="100"/>
        <w:rPr>
          <w:rFonts w:hint="default"/>
          <w:sz w:val="21"/>
        </w:rPr>
      </w:pPr>
      <w:r>
        <w:rPr>
          <w:rFonts w:hint="eastAsia"/>
          <w:sz w:val="21"/>
        </w:rPr>
        <w:t>・利用者のニーズに対応するため、タブレット等を活用した遠隔による手話通訳の派遣にも取り組みます。</w:t>
      </w:r>
    </w:p>
    <w:p>
      <w:pPr>
        <w:pStyle w:val="0"/>
        <w:ind w:left="886" w:leftChars="300" w:hanging="214" w:hangingChars="100"/>
        <w:rPr>
          <w:rFonts w:hint="default"/>
          <w:sz w:val="21"/>
        </w:rPr>
      </w:pPr>
      <w:r>
        <w:rPr>
          <w:rFonts w:hint="eastAsia"/>
          <w:sz w:val="21"/>
        </w:rPr>
        <w:t>・早い段階から聞こえづらさを感じている児童や保護者等と関係機関との連携を図ることを目的に、聞こえに関する相談窓口の設置を継続します。</w:t>
      </w:r>
    </w:p>
    <w:p>
      <w:pPr>
        <w:pStyle w:val="0"/>
        <w:ind w:left="886" w:leftChars="300" w:hanging="214" w:hangingChars="100"/>
        <w:rPr>
          <w:rFonts w:hint="default"/>
          <w:sz w:val="21"/>
        </w:rPr>
      </w:pPr>
      <w:r>
        <w:rPr>
          <w:rFonts w:hint="eastAsia"/>
          <w:sz w:val="21"/>
        </w:rPr>
        <w:t>・身体障害者手帳の交付対象とならない</w:t>
      </w:r>
      <w:r>
        <w:rPr>
          <w:rFonts w:hint="eastAsia"/>
          <w:sz w:val="21"/>
        </w:rPr>
        <w:t>18</w:t>
      </w:r>
      <w:r>
        <w:rPr>
          <w:rFonts w:hint="eastAsia"/>
          <w:sz w:val="21"/>
        </w:rPr>
        <w:t>歳未満の軽度・中等度難聴児に対し、言語の習得、コミュニケーション能力の向上を支援するため、補聴器購入費用の一部を助成する「軽度・中等度難聴児補聴器購入費等助成事業」を継続します。</w:t>
      </w:r>
    </w:p>
    <w:p>
      <w:pPr>
        <w:pStyle w:val="0"/>
        <w:ind w:left="886" w:leftChars="300" w:hanging="214" w:hangingChars="100"/>
        <w:rPr>
          <w:rFonts w:hint="default"/>
          <w:sz w:val="21"/>
        </w:rPr>
      </w:pPr>
      <w:r>
        <w:rPr>
          <w:rFonts w:hint="eastAsia"/>
          <w:sz w:val="21"/>
        </w:rPr>
        <w:t>・要約筆記者の派遣については、中途失聴者・難聴者にも有効であることから、利用ニーズの掘り起こしを行い、利用促進を図ります。</w:t>
      </w:r>
    </w:p>
    <w:p>
      <w:pPr>
        <w:pStyle w:val="0"/>
        <w:ind w:left="886" w:leftChars="300" w:hanging="214" w:hangingChars="100"/>
        <w:rPr>
          <w:rFonts w:hint="default"/>
          <w:sz w:val="21"/>
        </w:rPr>
      </w:pPr>
      <w:r>
        <w:rPr>
          <w:rFonts w:hint="eastAsia"/>
          <w:sz w:val="21"/>
        </w:rPr>
        <w:t>・意思疎通支援の充実を図るために、養成講座を受講した手話奉仕員の希望を踏まえて、手話通訳者への移行促進に取り組みます。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②手話言語等による情報取得の推進</w:t>
      </w:r>
    </w:p>
    <w:p>
      <w:pPr>
        <w:pStyle w:val="0"/>
        <w:ind w:left="886" w:leftChars="300" w:hanging="214" w:hangingChars="100"/>
        <w:rPr>
          <w:rFonts w:hint="default"/>
          <w:sz w:val="21"/>
        </w:rPr>
      </w:pPr>
      <w:r>
        <w:rPr>
          <w:rFonts w:hint="eastAsia"/>
          <w:sz w:val="21"/>
        </w:rPr>
        <w:t>・聴覚障がい者等が町の会議や行事等への参加において、内容・状況等を取得・理解できるよう、手話通訳者や要約筆記者を派遣するほか、パソコン等を活用した文字による情報取得ができるよう取り組みます。</w:t>
      </w:r>
    </w:p>
    <w:p>
      <w:pPr>
        <w:pStyle w:val="0"/>
        <w:ind w:left="886" w:leftChars="300" w:hanging="214" w:hangingChars="100"/>
        <w:rPr>
          <w:rFonts w:hint="default"/>
          <w:sz w:val="21"/>
        </w:rPr>
      </w:pPr>
      <w:r>
        <w:rPr>
          <w:rFonts w:hint="eastAsia"/>
          <w:sz w:val="21"/>
        </w:rPr>
        <w:t>・日常生活用具給付等事業により、情報・意思疎通支援用具の給付等を継続します。</w:t>
      </w:r>
    </w:p>
    <w:p>
      <w:pPr>
        <w:pStyle w:val="0"/>
        <w:ind w:left="886" w:leftChars="300" w:hanging="214" w:hangingChars="100"/>
        <w:rPr>
          <w:rFonts w:hint="default"/>
          <w:strike w:val="1"/>
          <w:sz w:val="21"/>
        </w:rPr>
      </w:pPr>
      <w:r>
        <w:rPr>
          <w:rFonts w:hint="eastAsia"/>
          <w:sz w:val="21"/>
        </w:rPr>
        <w:t>・聴覚障がい者の県外往訪時における情報保障のために、県外において手話通訳が利用できるよう、沖縄聴覚障害者情報センターと連携した支援を行います。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③手話言語等の習得の推進</w:t>
      </w:r>
    </w:p>
    <w:p>
      <w:pPr>
        <w:pStyle w:val="0"/>
        <w:ind w:left="886" w:leftChars="300" w:hanging="214" w:hangingChars="100"/>
        <w:rPr>
          <w:rFonts w:hint="default"/>
          <w:sz w:val="21"/>
        </w:rPr>
      </w:pPr>
      <w:r>
        <w:rPr>
          <w:rFonts w:hint="eastAsia"/>
          <w:sz w:val="21"/>
        </w:rPr>
        <w:t>・手話言語の習得者を確保し、聴覚障がい者等の日常生活の支援及び手話の普及につながるよう、手話奉仕員養成講座を継続します。</w:t>
      </w:r>
    </w:p>
    <w:p>
      <w:pPr>
        <w:pStyle w:val="0"/>
        <w:ind w:left="886" w:leftChars="300" w:hanging="214" w:hangingChars="100"/>
        <w:rPr>
          <w:rFonts w:hint="default"/>
          <w:sz w:val="21"/>
        </w:rPr>
      </w:pPr>
      <w:r>
        <w:rPr>
          <w:rFonts w:hint="eastAsia"/>
          <w:sz w:val="21"/>
        </w:rPr>
        <w:t>・手話奉仕委員の手話技術の向上や、手話奉仕員養成講座修了者が手話通訳者を目指していくように、移行に取り組みます。</w:t>
      </w:r>
    </w:p>
    <w:p>
      <w:pPr>
        <w:pStyle w:val="0"/>
        <w:ind w:left="886" w:leftChars="300" w:hanging="214" w:hangingChars="100"/>
        <w:rPr>
          <w:rFonts w:hint="default"/>
          <w:sz w:val="21"/>
        </w:rPr>
      </w:pPr>
      <w:r>
        <w:rPr>
          <w:rFonts w:hint="eastAsia"/>
          <w:sz w:val="21"/>
        </w:rPr>
        <w:t>・手話奉仕員や要約筆記奉仕員の有資格者や、手話サークル等の理解・協力を得て住民向けの初歩的な手話、要約筆記、点字等の講座の開催に取り組みます。</w:t>
      </w:r>
    </w:p>
    <w:p>
      <w:pPr>
        <w:pStyle w:val="0"/>
        <w:ind w:left="886" w:leftChars="300" w:hanging="214" w:hangingChars="100"/>
        <w:rPr>
          <w:rFonts w:hint="default"/>
          <w:sz w:val="21"/>
        </w:rPr>
      </w:pPr>
      <w:r>
        <w:rPr>
          <w:rFonts w:hint="eastAsia"/>
          <w:sz w:val="21"/>
        </w:rPr>
        <w:t>・手話ができない、点字が読めない障がい者が手話や点字を習得できるよう、手話等のスキルを持つ人材を活用した、手話等の講座開催を地域のニーズを踏まえた上で検討します。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④学校等が行う手話言語等の理解促進</w:t>
      </w:r>
    </w:p>
    <w:p>
      <w:pPr>
        <w:pStyle w:val="0"/>
        <w:ind w:left="886" w:leftChars="300" w:hanging="214" w:hangingChars="100"/>
        <w:rPr>
          <w:rFonts w:hint="default"/>
          <w:sz w:val="21"/>
        </w:rPr>
      </w:pPr>
      <w:r>
        <w:rPr>
          <w:rFonts w:hint="eastAsia"/>
          <w:sz w:val="21"/>
        </w:rPr>
        <w:t>・小学校児童に手話等の理解を図るため、今後も町立小学校において聴覚障がいへの理解や手話の学習等の機会を確保します。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⑤その他手話言語等への理解促進及び普及</w:t>
      </w:r>
    </w:p>
    <w:p>
      <w:pPr>
        <w:pStyle w:val="0"/>
        <w:ind w:left="886" w:leftChars="300" w:hanging="214" w:hangingChars="100"/>
        <w:rPr>
          <w:rFonts w:hint="default"/>
          <w:sz w:val="21"/>
        </w:rPr>
      </w:pPr>
      <w:r>
        <w:rPr>
          <w:rFonts w:hint="eastAsia"/>
          <w:sz w:val="21"/>
        </w:rPr>
        <w:t>・「町手話言語等条例」の普及を図るため、町の広報紙やホームページで紹介するほか、チラシやパンフレット等により地域への周知を図ります。</w:t>
      </w:r>
    </w:p>
    <w:p>
      <w:pPr>
        <w:pStyle w:val="0"/>
        <w:ind w:left="886" w:leftChars="300" w:hanging="214" w:hangingChars="100"/>
        <w:rPr>
          <w:rFonts w:hint="default"/>
          <w:sz w:val="21"/>
        </w:rPr>
      </w:pPr>
      <w:r>
        <w:rPr>
          <w:rFonts w:hint="eastAsia"/>
          <w:sz w:val="21"/>
        </w:rPr>
        <w:t>・手話や点字等による障がいの特性に応じた多様なコミュニケーション手段について、パンフレット等により地域への理解促進及び普及を図ります。</w:t>
      </w:r>
    </w:p>
    <w:p>
      <w:pPr>
        <w:pStyle w:val="0"/>
        <w:ind w:left="886" w:leftChars="300" w:hanging="214" w:hangingChars="100"/>
        <w:rPr>
          <w:rFonts w:hint="default"/>
          <w:strike w:val="1"/>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spacing w:line="360" w:lineRule="exact"/>
        <w:ind w:left="784" w:leftChars="250" w:hanging="224" w:hangingChars="100"/>
        <w:rPr>
          <w:rFonts w:hint="default" w:ascii="HGｺﾞｼｯｸM" w:hAnsi="HGｺﾞｼｯｸM" w:eastAsia="ＭＳ ゴシック"/>
          <w:sz w:val="26"/>
        </w:rPr>
      </w:pPr>
      <w:r>
        <w:rPr>
          <w:rFonts w:hint="default"/>
        </w:rPr>
        <w:br w:type="page"/>
      </w:r>
    </w:p>
    <w:p>
      <w:pPr>
        <w:pStyle w:val="23"/>
        <w:rPr>
          <w:rFonts w:hint="default"/>
        </w:rPr>
      </w:pPr>
      <w:bookmarkStart w:id="97" w:name="_Toc154411472"/>
      <w:bookmarkStart w:id="98" w:name="_Toc158300414"/>
      <w:bookmarkStart w:id="99" w:name="_Toc505592292"/>
      <w:bookmarkStart w:id="100" w:name="_Toc62831669"/>
      <w:r>
        <w:rPr>
          <w:rFonts w:hint="eastAsia"/>
        </w:rPr>
        <w:t>４．保育・教育等の充実</w:t>
      </w:r>
      <w:bookmarkEnd w:id="97"/>
      <w:bookmarkEnd w:id="98"/>
      <w:bookmarkEnd w:id="48"/>
      <w:bookmarkEnd w:id="95"/>
      <w:bookmarkEnd w:id="99"/>
      <w:bookmarkEnd w:id="100"/>
    </w:p>
    <w:p>
      <w:pPr>
        <w:pStyle w:val="22"/>
        <w:spacing w:after="111" w:afterLines="0" w:afterAutospacing="0"/>
        <w:rPr>
          <w:rFonts w:hint="default"/>
        </w:rPr>
      </w:pPr>
      <w:bookmarkStart w:id="101" w:name="_Toc154411473"/>
      <w:r>
        <w:rPr>
          <w:rFonts w:hint="eastAsia"/>
        </w:rPr>
        <w:t>（１）発達支援保育等の充実</w:t>
      </w:r>
      <w:bookmarkEnd w:id="101"/>
    </w:p>
    <w:p>
      <w:pPr>
        <w:pStyle w:val="82"/>
        <w:rPr>
          <w:rFonts w:hint="default"/>
        </w:rPr>
      </w:pPr>
      <w:r>
        <w:rPr>
          <w:rFonts w:hint="eastAsia"/>
        </w:rPr>
        <w:t>【現状と課題】</w:t>
      </w:r>
    </w:p>
    <w:p>
      <w:pPr>
        <w:pStyle w:val="84"/>
        <w:rPr>
          <w:rFonts w:hint="default"/>
          <w:color w:val="auto"/>
        </w:rPr>
      </w:pPr>
      <w:r>
        <w:rPr>
          <w:rFonts w:hint="default"/>
          <w:color w:val="auto"/>
        </w:rPr>
        <w:t>►</w:t>
      </w:r>
      <w:r>
        <w:rPr>
          <w:rFonts w:hint="eastAsia"/>
          <w:color w:val="auto"/>
        </w:rPr>
        <w:t>発達支援児保育</w:t>
      </w:r>
    </w:p>
    <w:p>
      <w:pPr>
        <w:pStyle w:val="0"/>
        <w:ind w:left="774" w:leftChars="250" w:hanging="214" w:hangingChars="100"/>
        <w:textAlignment w:val="center"/>
        <w:rPr>
          <w:rFonts w:hint="default"/>
          <w:sz w:val="21"/>
        </w:rPr>
      </w:pPr>
      <w:r>
        <w:rPr>
          <w:rFonts w:hint="eastAsia"/>
          <w:sz w:val="21"/>
        </w:rPr>
        <w:t>○就学前児童の発達支援については、発達支援児保育運営委員会があり、課題の把握や情報共有を行っております。さらに、巡回訪問指導や研修会開催、ティーチャーズトレーニングの実施等、保育所と連携・協力を図りながら保育士等の資質向上に取り組んでいます。</w:t>
      </w:r>
    </w:p>
    <w:p>
      <w:pPr>
        <w:pStyle w:val="0"/>
        <w:ind w:left="774" w:leftChars="250" w:hanging="214" w:hangingChars="100"/>
        <w:textAlignment w:val="center"/>
        <w:rPr>
          <w:rFonts w:hint="default"/>
          <w:sz w:val="21"/>
        </w:rPr>
      </w:pPr>
      <w:r>
        <w:rPr>
          <w:rFonts w:hint="eastAsia"/>
          <w:sz w:val="21"/>
        </w:rPr>
        <w:t>○保育所等において加配保育士を配置する発達支援児保育事業を実施することで、園の負担を軽減し、発達支援児保育の円滑な実施を図りました。今後も早い段階から療育につながる加配保育士を配置できるように取り組んでいく必要があります。</w:t>
      </w:r>
    </w:p>
    <w:p>
      <w:pPr>
        <w:pStyle w:val="0"/>
        <w:ind w:left="723" w:leftChars="227" w:hanging="214" w:hangingChars="100"/>
        <w:rPr>
          <w:rFonts w:hint="default"/>
          <w:sz w:val="21"/>
        </w:rPr>
      </w:pPr>
    </w:p>
    <w:p>
      <w:pPr>
        <w:pStyle w:val="84"/>
        <w:rPr>
          <w:rFonts w:hint="default"/>
          <w:color w:val="auto"/>
        </w:rPr>
      </w:pPr>
      <w:r>
        <w:rPr>
          <w:rFonts w:hint="default"/>
          <w:color w:val="auto"/>
        </w:rPr>
        <w:t>►</w:t>
      </w:r>
      <w:r>
        <w:rPr>
          <w:rFonts w:hint="eastAsia"/>
          <w:color w:val="auto"/>
        </w:rPr>
        <w:t>発達相談及び療育支援</w:t>
      </w:r>
    </w:p>
    <w:p>
      <w:pPr>
        <w:pStyle w:val="0"/>
        <w:ind w:left="774" w:leftChars="250" w:hanging="214" w:hangingChars="100"/>
        <w:textAlignment w:val="center"/>
        <w:rPr>
          <w:rFonts w:hint="default"/>
          <w:sz w:val="21"/>
        </w:rPr>
      </w:pPr>
      <w:r>
        <w:rPr>
          <w:rFonts w:hint="eastAsia"/>
          <w:sz w:val="21"/>
        </w:rPr>
        <w:t>○町に心理士を配置し、発達が気になる保護者や支援機関からの相談に個別で対応を行っています。また、１</w:t>
      </w:r>
      <w:r>
        <w:rPr>
          <w:rFonts w:hint="default"/>
          <w:sz w:val="21"/>
        </w:rPr>
        <w:t>.</w:t>
      </w:r>
      <w:r>
        <w:rPr>
          <w:rFonts w:hint="default"/>
          <w:sz w:val="21"/>
        </w:rPr>
        <w:t>６歳児、２歳児、３歳児健診時に</w:t>
      </w:r>
      <w:r>
        <w:rPr>
          <w:rFonts w:hint="eastAsia"/>
          <w:sz w:val="21"/>
        </w:rPr>
        <w:t>も</w:t>
      </w:r>
      <w:r>
        <w:rPr>
          <w:rFonts w:hint="default"/>
          <w:sz w:val="21"/>
        </w:rPr>
        <w:t>心理士</w:t>
      </w:r>
      <w:r>
        <w:rPr>
          <w:rFonts w:hint="eastAsia"/>
          <w:sz w:val="21"/>
        </w:rPr>
        <w:t>が参加し</w:t>
      </w:r>
      <w:r>
        <w:rPr>
          <w:rFonts w:hint="default"/>
          <w:sz w:val="21"/>
        </w:rPr>
        <w:t>相談対応しています。</w:t>
      </w:r>
      <w:r>
        <w:rPr>
          <w:rFonts w:hint="eastAsia"/>
          <w:sz w:val="21"/>
        </w:rPr>
        <w:t>さまざまな不安を抱えている子どもやその保護者に対して寄り添った支援を行っています。</w:t>
      </w:r>
    </w:p>
    <w:p>
      <w:pPr>
        <w:pStyle w:val="0"/>
        <w:ind w:left="774" w:leftChars="250" w:hanging="214" w:hangingChars="100"/>
        <w:textAlignment w:val="center"/>
        <w:rPr>
          <w:rFonts w:hint="default"/>
          <w:sz w:val="21"/>
        </w:rPr>
      </w:pPr>
      <w:r>
        <w:rPr>
          <w:rFonts w:hint="eastAsia"/>
          <w:sz w:val="21"/>
        </w:rPr>
        <w:t>○</w:t>
      </w:r>
      <w:bookmarkStart w:id="102" w:name="_Hlk156142968"/>
      <w:r>
        <w:rPr>
          <w:rFonts w:hint="eastAsia"/>
          <w:sz w:val="21"/>
        </w:rPr>
        <w:t>発達が気になる子について保護者の障がい受容等に配慮しながら、早期発見・早期支援を重視し、丁寧な説明や対応を行う必要があります。</w:t>
      </w:r>
    </w:p>
    <w:p>
      <w:pPr>
        <w:pStyle w:val="0"/>
        <w:ind w:left="774" w:leftChars="250" w:hanging="214" w:hangingChars="100"/>
        <w:textAlignment w:val="center"/>
        <w:rPr>
          <w:rFonts w:hint="default"/>
          <w:sz w:val="21"/>
        </w:rPr>
      </w:pPr>
      <w:bookmarkEnd w:id="102"/>
      <w:r>
        <w:rPr>
          <w:rFonts w:hint="eastAsia"/>
          <w:sz w:val="21"/>
        </w:rPr>
        <w:t>○発達が気になる子の療育の場として親子通園事業を実施しております。令和３年度から親子通園事業を町内事業所に委託し、専門スタッフのもと少人数による遊びや活動を通して親子の愛着形成や心身の発達を促す支援をしています。保護者同士の交流び事業スタッフによる相談・指導等により、保護者の子育ての不安の軽減に努めています。</w:t>
      </w:r>
    </w:p>
    <w:p>
      <w:pPr>
        <w:pStyle w:val="0"/>
        <w:ind w:left="723" w:leftChars="227" w:hanging="214" w:hangingChars="100"/>
        <w:rPr>
          <w:rFonts w:hint="default"/>
        </w:rPr>
      </w:pPr>
      <w:r>
        <w:rPr>
          <w:rFonts w:hint="eastAsia"/>
          <w:sz w:val="21"/>
        </w:rPr>
        <w:t>○発達障がいに関する理解が広がり、</w:t>
      </w:r>
      <w:r>
        <w:rPr>
          <w:rFonts w:hint="eastAsia"/>
        </w:rPr>
        <w:t>発達相談や発達支援児保育事業、児童発達支援等の障害福祉サービスの利用ニーズが増加しています。</w:t>
      </w:r>
    </w:p>
    <w:p>
      <w:pPr>
        <w:pStyle w:val="0"/>
        <w:ind w:left="723" w:leftChars="227" w:hanging="214" w:hangingChars="100"/>
        <w:rPr>
          <w:rFonts w:hint="default"/>
        </w:rPr>
      </w:pPr>
      <w:r>
        <w:rPr>
          <w:rFonts w:hint="eastAsia"/>
          <w:sz w:val="21"/>
        </w:rPr>
        <w:t>○児童の発達支援については、就学前の乳幼児健康診査から保育園、幼稚園での対応及び小学校への切れ目ない支援が必要です。このため、関係する担当課や保育・教育施設が連携し、療育等の支援が必要な子どもへの対応を行っています。</w:t>
      </w:r>
    </w:p>
    <w:p>
      <w:pPr>
        <w:pStyle w:val="0"/>
        <w:ind w:left="774" w:leftChars="250" w:hanging="214" w:hangingChars="100"/>
        <w:textAlignment w:val="center"/>
        <w:rPr>
          <w:rFonts w:hint="default"/>
          <w:sz w:val="21"/>
        </w:rPr>
      </w:pPr>
      <w:r>
        <w:rPr>
          <w:rFonts w:hint="eastAsia"/>
          <w:sz w:val="21"/>
        </w:rPr>
        <w:t>○町内の４幼稚園、４小学校及び２中学校に対し、沖縄県が作成し、発達が気になる子の保護者が記入等を行い利用する新サポートノート｢えいぶる｣の配付及び周知を図りました。</w:t>
      </w:r>
    </w:p>
    <w:p>
      <w:pPr>
        <w:pStyle w:val="0"/>
        <w:ind w:left="774" w:leftChars="250" w:hanging="214" w:hangingChars="100"/>
        <w:textAlignment w:val="center"/>
        <w:rPr>
          <w:rFonts w:hint="default"/>
          <w:sz w:val="21"/>
        </w:rPr>
      </w:pPr>
    </w:p>
    <w:p>
      <w:pPr>
        <w:pStyle w:val="0"/>
        <w:widowControl w:val="1"/>
        <w:jc w:val="left"/>
        <w:rPr>
          <w:rFonts w:hint="default"/>
          <w:sz w:val="21"/>
        </w:rPr>
      </w:pPr>
      <w:r>
        <w:rPr>
          <w:rFonts w:hint="default"/>
          <w:sz w:val="21"/>
        </w:rPr>
        <w:br w:type="page"/>
      </w:r>
    </w:p>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89"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66"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67"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68"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69"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291;" coordsize="6044565,219710" coordorigin="0,0" o:spid="_x0000_s1166" o:allowincell="t" o:allowoverlap="t">
                <v:roundrect id="今後の取り組み_四角（灰）" style="height:219710;width:6044565;top:0;left:0;position:absolute;" o:spid="_x0000_s1167"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68"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69"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eastAsia"/>
        </w:rPr>
        <w:t>【施策の基本的な考え方】</w:t>
      </w:r>
    </w:p>
    <w:p>
      <w:pPr>
        <w:pStyle w:val="0"/>
        <w:ind w:left="448" w:leftChars="200" w:firstLine="214" w:firstLineChars="100"/>
        <w:rPr>
          <w:rFonts w:hint="default"/>
          <w:sz w:val="21"/>
        </w:rPr>
      </w:pPr>
      <w:r>
        <w:rPr>
          <w:rFonts w:hint="eastAsia"/>
          <w:sz w:val="21"/>
        </w:rPr>
        <w:t>発達支援児保育においては、加配の保育士を配置するほか、専門</w:t>
      </w:r>
      <w:bookmarkStart w:id="103" w:name="_Hlk156061385"/>
      <w:r>
        <w:rPr>
          <w:rFonts w:hint="eastAsia"/>
          <w:sz w:val="21"/>
        </w:rPr>
        <w:t>職</w:t>
      </w:r>
      <w:bookmarkEnd w:id="103"/>
      <w:r>
        <w:rPr>
          <w:rFonts w:hint="eastAsia"/>
          <w:sz w:val="21"/>
        </w:rPr>
        <w:t>等との連携などにより、保育士の資質向上や保護者への相談体制の充実を図り、地域での療育・保育に関する支援が安心して受けられる環境を整えます。</w:t>
      </w:r>
    </w:p>
    <w:p>
      <w:pPr>
        <w:pStyle w:val="0"/>
        <w:ind w:left="448" w:leftChars="200" w:firstLine="214" w:firstLineChars="100"/>
        <w:rPr>
          <w:rFonts w:hint="default"/>
          <w:sz w:val="21"/>
        </w:rPr>
      </w:pPr>
      <w:r>
        <w:rPr>
          <w:rFonts w:hint="eastAsia"/>
          <w:sz w:val="21"/>
        </w:rPr>
        <w:t>保護者の障がいに対する情報不足や受容のしづらさから療育の開始が遅れるといった課題もあることから、保護者の心情に配慮した相談支援体制や療育の場の充実に取り組みます。</w:t>
      </w:r>
    </w:p>
    <w:p>
      <w:pPr>
        <w:pStyle w:val="0"/>
        <w:ind w:left="448" w:leftChars="200" w:firstLine="214" w:firstLineChars="100"/>
        <w:rPr>
          <w:rFonts w:hint="default"/>
          <w:sz w:val="21"/>
        </w:rPr>
      </w:pPr>
      <w:r>
        <w:rPr>
          <w:rFonts w:hint="eastAsia"/>
          <w:sz w:val="21"/>
        </w:rPr>
        <w:t>子どものライフステージの変化により支援機関が変わることから、子どもの特性を正確に引き継いでいくことが重要となります。関係機関の連携体制を強化します。</w:t>
      </w:r>
    </w:p>
    <w:p>
      <w:pPr>
        <w:pStyle w:val="0"/>
        <w:ind w:left="448" w:leftChars="200" w:firstLine="214" w:firstLineChars="100"/>
        <w:rPr>
          <w:rFonts w:hint="default"/>
          <w:sz w:val="21"/>
        </w:rPr>
      </w:pPr>
    </w:p>
    <w:p>
      <w:pPr>
        <w:pStyle w:val="83"/>
        <w:ind w:left="448"/>
        <w:rPr>
          <w:rFonts w:hint="default"/>
          <w:color w:val="auto"/>
        </w:rPr>
      </w:pPr>
      <w:r>
        <w:rPr>
          <w:rFonts w:hint="eastAsia"/>
          <w:color w:val="auto"/>
        </w:rPr>
        <w:t>①発達支援児保育の充実</w:t>
      </w:r>
    </w:p>
    <w:p>
      <w:pPr>
        <w:pStyle w:val="0"/>
        <w:ind w:left="886" w:leftChars="300" w:hanging="214" w:hangingChars="100"/>
        <w:rPr>
          <w:rFonts w:hint="default"/>
          <w:sz w:val="21"/>
        </w:rPr>
      </w:pPr>
      <w:r>
        <w:rPr>
          <w:rFonts w:hint="eastAsia"/>
          <w:sz w:val="21"/>
        </w:rPr>
        <w:t>・</w:t>
      </w:r>
      <w:bookmarkStart w:id="104" w:name="_Hlk63967410"/>
      <w:r>
        <w:rPr>
          <w:rFonts w:hint="eastAsia"/>
          <w:sz w:val="21"/>
        </w:rPr>
        <w:t>心身等の障がいや</w:t>
      </w:r>
      <w:bookmarkEnd w:id="104"/>
      <w:r>
        <w:rPr>
          <w:rFonts w:hint="eastAsia"/>
          <w:sz w:val="21"/>
        </w:rPr>
        <w:t>発達が気になる子について、保育所</w:t>
      </w:r>
      <w:r>
        <w:rPr>
          <w:rFonts w:hint="eastAsia"/>
          <w:sz w:val="21"/>
        </w:rPr>
        <w:t>(</w:t>
      </w:r>
      <w:r>
        <w:rPr>
          <w:rFonts w:hint="eastAsia"/>
          <w:sz w:val="21"/>
        </w:rPr>
        <w:t>園</w:t>
      </w:r>
      <w:r>
        <w:rPr>
          <w:rFonts w:hint="eastAsia"/>
          <w:sz w:val="21"/>
        </w:rPr>
        <w:t>)</w:t>
      </w:r>
      <w:r>
        <w:rPr>
          <w:rFonts w:hint="eastAsia"/>
          <w:sz w:val="21"/>
        </w:rPr>
        <w:t>での集団生活を通して成長・発達を促すために、今後も、発達支援児保育を実施し、加配の保育士を配置します。</w:t>
      </w:r>
    </w:p>
    <w:p>
      <w:pPr>
        <w:pStyle w:val="0"/>
        <w:ind w:left="886" w:leftChars="300" w:hanging="214" w:hangingChars="100"/>
        <w:rPr>
          <w:rFonts w:hint="default"/>
          <w:sz w:val="21"/>
        </w:rPr>
      </w:pPr>
      <w:r>
        <w:rPr>
          <w:rFonts w:hint="eastAsia"/>
          <w:sz w:val="21"/>
        </w:rPr>
        <w:t>・加配の保育士の年度途中の配置については、関係機関と必要な調整を行います。</w:t>
      </w:r>
    </w:p>
    <w:p>
      <w:pPr>
        <w:pStyle w:val="0"/>
        <w:ind w:left="886" w:leftChars="300" w:hanging="214" w:hangingChars="100"/>
        <w:rPr>
          <w:rFonts w:hint="default"/>
          <w:sz w:val="21"/>
        </w:rPr>
      </w:pPr>
      <w:r>
        <w:rPr>
          <w:rFonts w:hint="eastAsia"/>
          <w:sz w:val="21"/>
        </w:rPr>
        <w:t>・専門職による巡回訪問指導の実施や｢発達支援児保育運営委員会｣の開催、その他必要な研修等への参加及び関係機関との連携を通して、保育士等の資質向上を図ります。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②早期療育への理解促進</w:t>
      </w:r>
    </w:p>
    <w:p>
      <w:pPr>
        <w:pStyle w:val="0"/>
        <w:ind w:left="886" w:leftChars="300" w:hanging="214" w:hangingChars="100"/>
        <w:rPr>
          <w:rFonts w:hint="default"/>
          <w:sz w:val="21"/>
        </w:rPr>
      </w:pPr>
      <w:r>
        <w:rPr>
          <w:rFonts w:hint="eastAsia"/>
          <w:sz w:val="21"/>
        </w:rPr>
        <w:t>・町に心理士職を配置し、発達が気になる子への早期支援、保護者支援に取り組みます。</w:t>
      </w:r>
    </w:p>
    <w:p>
      <w:pPr>
        <w:pStyle w:val="0"/>
        <w:ind w:left="886" w:leftChars="300" w:hanging="214" w:hangingChars="100"/>
        <w:rPr>
          <w:rFonts w:hint="default"/>
          <w:sz w:val="21"/>
        </w:rPr>
      </w:pPr>
      <w:r>
        <w:rPr>
          <w:rFonts w:hint="eastAsia"/>
          <w:sz w:val="21"/>
        </w:rPr>
        <w:t>・心身等の障がいや発達が気になる子が、早期療育により状態の改善を図ることができるよう、町内保育所</w:t>
      </w:r>
      <w:r>
        <w:rPr>
          <w:rFonts w:hint="eastAsia"/>
          <w:sz w:val="21"/>
        </w:rPr>
        <w:t>(</w:t>
      </w:r>
      <w:r>
        <w:rPr>
          <w:rFonts w:hint="eastAsia"/>
          <w:sz w:val="21"/>
        </w:rPr>
        <w:t>園</w:t>
      </w:r>
      <w:r>
        <w:rPr>
          <w:rFonts w:hint="eastAsia"/>
          <w:sz w:val="21"/>
        </w:rPr>
        <w:t>)</w:t>
      </w:r>
      <w:r>
        <w:rPr>
          <w:rFonts w:hint="eastAsia"/>
          <w:sz w:val="21"/>
        </w:rPr>
        <w:t>、関係課等が連携し、保護者の心情に配慮しながら、相談・助言を行ない、早期療育への理解を促していきます。</w:t>
      </w:r>
    </w:p>
    <w:p>
      <w:pPr>
        <w:pStyle w:val="0"/>
        <w:ind w:left="886" w:leftChars="300" w:hanging="214" w:hangingChars="100"/>
        <w:rPr>
          <w:rFonts w:hint="default"/>
          <w:sz w:val="21"/>
        </w:rPr>
      </w:pPr>
      <w:r>
        <w:rPr>
          <w:rFonts w:hint="eastAsia"/>
          <w:sz w:val="21"/>
        </w:rPr>
        <w:t>・</w:t>
      </w:r>
      <w:bookmarkStart w:id="105" w:name="_Hlk63967336"/>
      <w:r>
        <w:rPr>
          <w:rFonts w:hint="eastAsia"/>
          <w:sz w:val="21"/>
        </w:rPr>
        <w:t>親子通園事業を実施し、</w:t>
      </w:r>
      <w:bookmarkEnd w:id="105"/>
      <w:r>
        <w:rPr>
          <w:rFonts w:hint="eastAsia"/>
          <w:sz w:val="21"/>
        </w:rPr>
        <w:t>親子関係の愛着形成や心身の発達を促す支援に取り組みます。また、小集団による保護者同士の交流や事業スタッフによる相談・指導等により、保護者の子育て不安の軽減を図ります。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③療育の連続性の確保</w:t>
      </w:r>
    </w:p>
    <w:p>
      <w:pPr>
        <w:pStyle w:val="0"/>
        <w:ind w:left="886" w:leftChars="300" w:hanging="214" w:hangingChars="100"/>
        <w:rPr>
          <w:rFonts w:hint="default"/>
          <w:sz w:val="21"/>
        </w:rPr>
      </w:pPr>
      <w:r>
        <w:rPr>
          <w:rFonts w:hint="eastAsia"/>
          <w:sz w:val="21"/>
        </w:rPr>
        <w:t>・乳幼児健康診査やその後の経過観察から、保育所</w:t>
      </w:r>
      <w:r>
        <w:rPr>
          <w:rFonts w:hint="default"/>
          <w:sz w:val="21"/>
        </w:rPr>
        <w:t>(</w:t>
      </w:r>
      <w:r>
        <w:rPr>
          <w:rFonts w:hint="default"/>
          <w:sz w:val="21"/>
        </w:rPr>
        <w:t>園</w:t>
      </w:r>
      <w:r>
        <w:rPr>
          <w:rFonts w:hint="default"/>
          <w:sz w:val="21"/>
        </w:rPr>
        <w:t>)</w:t>
      </w:r>
      <w:r>
        <w:rPr>
          <w:rFonts w:hint="default"/>
          <w:sz w:val="21"/>
        </w:rPr>
        <w:t>、幼稚園、小中学校と一貫した支援が行われるよう、</w:t>
      </w:r>
      <w:bookmarkStart w:id="106" w:name="_Hlk156250189"/>
      <w:r>
        <w:rPr>
          <w:rFonts w:hint="default"/>
          <w:sz w:val="21"/>
        </w:rPr>
        <w:t>保健・保育・教育等の関係機関が連携し、</w:t>
      </w:r>
      <w:bookmarkEnd w:id="106"/>
      <w:r>
        <w:rPr>
          <w:rFonts w:hint="default"/>
          <w:sz w:val="21"/>
        </w:rPr>
        <w:t>支援を必要とする子の情報を共有するとともに、一人ひとりに応じたより適切な療育等の支援につながるよう取り組</w:t>
      </w:r>
      <w:r>
        <w:rPr>
          <w:rFonts w:hint="eastAsia"/>
          <w:sz w:val="21"/>
        </w:rPr>
        <w:t>みます</w:t>
      </w:r>
      <w:r>
        <w:rPr>
          <w:rFonts w:hint="default"/>
          <w:sz w:val="21"/>
        </w:rPr>
        <w:t>。</w:t>
      </w:r>
    </w:p>
    <w:p>
      <w:pPr>
        <w:pStyle w:val="0"/>
        <w:ind w:left="886" w:leftChars="300" w:hanging="214" w:hangingChars="100"/>
        <w:rPr>
          <w:rFonts w:hint="default"/>
          <w:sz w:val="21"/>
        </w:rPr>
      </w:pPr>
      <w:r>
        <w:rPr>
          <w:rFonts w:hint="eastAsia"/>
          <w:sz w:val="21"/>
        </w:rPr>
        <w:t>・関係者が心身等の障がいや成長発達が気になる子の情報を共有し、適切な支援につながるよう、発達の経過や医療機関・療育機関の利用状況等、どのように成長してきたかを記録する、新サポートノート｢えいぶる｣</w:t>
      </w:r>
      <w:r>
        <w:rPr>
          <w:rFonts w:hint="eastAsia"/>
          <w:sz w:val="21"/>
        </w:rPr>
        <w:t>(</w:t>
      </w:r>
      <w:r>
        <w:rPr>
          <w:rFonts w:hint="eastAsia"/>
          <w:sz w:val="21"/>
        </w:rPr>
        <w:t>沖縄県推奨</w:t>
      </w:r>
      <w:r>
        <w:rPr>
          <w:rFonts w:hint="eastAsia"/>
          <w:sz w:val="21"/>
        </w:rPr>
        <w:t>)</w:t>
      </w:r>
      <w:r>
        <w:rPr>
          <w:rFonts w:hint="eastAsia"/>
          <w:sz w:val="21"/>
        </w:rPr>
        <w:t>について、関係機関と連携し保護者への周知を図ります。</w:t>
      </w:r>
    </w:p>
    <w:p>
      <w:pPr>
        <w:pStyle w:val="0"/>
        <w:ind w:left="886" w:leftChars="300" w:hanging="214" w:hangingChars="100"/>
        <w:rPr>
          <w:rFonts w:hint="default"/>
          <w:sz w:val="21"/>
        </w:rPr>
      </w:pPr>
    </w:p>
    <w:p>
      <w:pPr>
        <w:pStyle w:val="0"/>
        <w:widowControl w:val="1"/>
        <w:jc w:val="left"/>
        <w:rPr>
          <w:rFonts w:hint="default"/>
          <w:sz w:val="21"/>
        </w:rPr>
      </w:pPr>
      <w:bookmarkStart w:id="107" w:name="_Toc154411474"/>
      <w:r>
        <w:rPr>
          <w:rFonts w:hint="default"/>
          <w:sz w:val="21"/>
        </w:rPr>
        <w:br w:type="page"/>
      </w:r>
    </w:p>
    <w:p>
      <w:pPr>
        <w:pStyle w:val="22"/>
        <w:spacing w:after="111" w:afterLines="0" w:afterAutospacing="0"/>
        <w:rPr>
          <w:rFonts w:hint="default"/>
        </w:rPr>
      </w:pPr>
      <w:r>
        <w:rPr>
          <w:rFonts w:hint="eastAsia"/>
        </w:rPr>
        <w:t>（２）特別支援教育の充実</w:t>
      </w:r>
      <w:bookmarkEnd w:id="107"/>
    </w:p>
    <w:p>
      <w:pPr>
        <w:pStyle w:val="82"/>
        <w:rPr>
          <w:rFonts w:hint="default"/>
        </w:rPr>
      </w:pPr>
      <w:r>
        <w:rPr>
          <w:rFonts w:hint="eastAsia"/>
        </w:rPr>
        <w:t>【現状と課題】</w:t>
      </w:r>
    </w:p>
    <w:p>
      <w:pPr>
        <w:pStyle w:val="0"/>
        <w:ind w:left="662" w:leftChars="200" w:hanging="214" w:hangingChars="100"/>
        <w:rPr>
          <w:rFonts w:hint="default"/>
          <w:sz w:val="21"/>
        </w:rPr>
      </w:pPr>
      <w:r>
        <w:rPr>
          <w:rFonts w:hint="eastAsia"/>
          <w:sz w:val="21"/>
        </w:rPr>
        <w:t>○町内の４幼稚園・４小学校・２中学校において校内特別支援委員会を設置し、幼児・児童・生徒が個々に適した教育の補償がなされるよう教育支援委員会での審議に取り組んでいます。</w:t>
      </w:r>
    </w:p>
    <w:p>
      <w:pPr>
        <w:pStyle w:val="0"/>
        <w:ind w:left="662" w:leftChars="200" w:hanging="214" w:hangingChars="100"/>
        <w:rPr>
          <w:rFonts w:hint="default"/>
          <w:sz w:val="21"/>
        </w:rPr>
      </w:pPr>
      <w:r>
        <w:rPr>
          <w:rFonts w:hint="eastAsia"/>
          <w:sz w:val="21"/>
        </w:rPr>
        <w:t>○４小学校・２中学校に特別支援教育コーディネーターを配置し、特別な教育的支援が必要な幼児・児童・生徒の個別支援計画に基づいた教育支援の実施に取り組んでいます。</w:t>
      </w:r>
    </w:p>
    <w:p>
      <w:pPr>
        <w:pStyle w:val="0"/>
        <w:ind w:left="662" w:leftChars="200" w:hanging="214" w:hangingChars="100"/>
        <w:rPr>
          <w:rFonts w:hint="default"/>
          <w:sz w:val="21"/>
        </w:rPr>
      </w:pPr>
      <w:r>
        <w:rPr>
          <w:rFonts w:hint="eastAsia"/>
          <w:sz w:val="21"/>
        </w:rPr>
        <w:t>○年々、特別な支援が必要な幼児・児童・生徒が増加しています。子ども一人ひとりの状況に応じた特別支援教育の実施が必要です。</w:t>
      </w:r>
    </w:p>
    <w:p>
      <w:pPr>
        <w:pStyle w:val="0"/>
        <w:ind w:left="662" w:leftChars="200" w:hanging="214" w:hangingChars="100"/>
        <w:rPr>
          <w:rFonts w:hint="default"/>
          <w:sz w:val="21"/>
        </w:rPr>
      </w:pPr>
      <w:r>
        <w:rPr>
          <w:rFonts w:hint="eastAsia"/>
          <w:sz w:val="21"/>
        </w:rPr>
        <w:t>○特別支援学級担当教諭・通級指導教室担当教諭・特別支援コーディネーター・特別支援教育支援員等に対し「インクルーシブ教育と学級経営」の研修会を実施しました。</w:t>
      </w:r>
    </w:p>
    <w:p>
      <w:pPr>
        <w:pStyle w:val="0"/>
        <w:ind w:left="662" w:leftChars="200" w:hanging="214" w:hangingChars="100"/>
        <w:rPr>
          <w:rFonts w:hint="default"/>
          <w:sz w:val="21"/>
        </w:rPr>
      </w:pPr>
      <w:r>
        <w:rPr>
          <w:rFonts w:hint="eastAsia"/>
          <w:sz w:val="21"/>
        </w:rPr>
        <w:t>○指導主事を軸としたサポート会議等では学校関係者・特別支援教育相談員・スクールカウンセラー・スクールソーシャルワーカー等、関係機関も参加し、情報共有が行える相談支援体制で対応しています。</w:t>
      </w:r>
    </w:p>
    <w:p>
      <w:pPr>
        <w:pStyle w:val="0"/>
        <w:ind w:left="662" w:leftChars="200" w:hanging="214" w:hangingChars="100"/>
        <w:rPr>
          <w:rFonts w:hint="default"/>
          <w:sz w:val="21"/>
        </w:rPr>
      </w:pPr>
      <w:r>
        <w:rPr>
          <w:rFonts w:hint="eastAsia"/>
          <w:sz w:val="21"/>
        </w:rPr>
        <w:t>○相談支援を行う中には、家庭の状況が「複雑化・複合化」しており、家庭を包括的に支援する相談から支援へのつなぎが必要となっています。</w:t>
      </w:r>
    </w:p>
    <w:p>
      <w:pPr>
        <w:pStyle w:val="0"/>
        <w:ind w:left="662" w:leftChars="200" w:hanging="214" w:hangingChars="100"/>
        <w:rPr>
          <w:rFonts w:hint="default"/>
          <w:sz w:val="21"/>
        </w:rPr>
      </w:pPr>
      <w:r>
        <w:rPr>
          <w:rFonts w:hint="eastAsia"/>
          <w:sz w:val="21"/>
        </w:rPr>
        <w:t>○特別支援学級の児童生徒が協力学級</w:t>
      </w:r>
      <w:r>
        <w:rPr>
          <w:rFonts w:hint="default"/>
          <w:sz w:val="21"/>
        </w:rPr>
        <w:t>(</w:t>
      </w:r>
      <w:r>
        <w:rPr>
          <w:rFonts w:hint="default"/>
          <w:sz w:val="21"/>
        </w:rPr>
        <w:t>普通学級</w:t>
      </w:r>
      <w:r>
        <w:rPr>
          <w:rFonts w:hint="default"/>
          <w:sz w:val="21"/>
        </w:rPr>
        <w:t>)</w:t>
      </w:r>
      <w:r>
        <w:rPr>
          <w:rFonts w:hint="default"/>
          <w:sz w:val="21"/>
        </w:rPr>
        <w:t>の授業等に参加し、交流や共同学習を実施してい</w:t>
      </w:r>
      <w:r>
        <w:rPr>
          <w:rFonts w:hint="eastAsia"/>
          <w:sz w:val="21"/>
        </w:rPr>
        <w:t>ます</w:t>
      </w:r>
      <w:r>
        <w:rPr>
          <w:rFonts w:hint="default"/>
          <w:sz w:val="21"/>
        </w:rPr>
        <w:t>。</w:t>
      </w:r>
      <w:r>
        <w:rPr>
          <w:rFonts w:hint="eastAsia"/>
          <w:sz w:val="21"/>
        </w:rPr>
        <w:t>幼児・児童・生徒、個々の体制に即した教育と、インクルーシブ教育を拡充させる難しさが課題となっています。</w:t>
      </w:r>
    </w:p>
    <w:p>
      <w:pPr>
        <w:pStyle w:val="0"/>
        <w:ind w:left="662" w:leftChars="200" w:hanging="214" w:hangingChars="100"/>
        <w:rPr>
          <w:rFonts w:hint="default"/>
          <w:sz w:val="21"/>
        </w:rPr>
      </w:pPr>
      <w:r>
        <w:rPr>
          <w:rFonts w:hint="eastAsia"/>
          <w:sz w:val="21"/>
        </w:rPr>
        <w:t>○乳幼児期から学校卒業後までの一貫した相談支援が行われるよう保育所・園、幼稚園・小中学校や関係機関とも情報共有を図り、早期からの就学相談を実施しています。医療的なケアが必要な幼児・児童に対しても医療機関を含む関係機関と就学相談支援を実施し、入園・入学のサポートも実施しています。</w:t>
      </w:r>
    </w:p>
    <w:p>
      <w:pPr>
        <w:pStyle w:val="0"/>
        <w:ind w:left="662" w:leftChars="200" w:hanging="214" w:hangingChars="100"/>
        <w:rPr>
          <w:rFonts w:hint="default"/>
          <w:sz w:val="21"/>
        </w:rPr>
      </w:pPr>
      <w:r>
        <w:rPr>
          <w:rFonts w:hint="eastAsia"/>
          <w:sz w:val="21"/>
        </w:rPr>
        <w:t>○就学支援委員会後の判定に対して、幼児・児童・生徒の状態に対する保護者理解も含めた丁寧な状況説明をしています。</w:t>
      </w:r>
    </w:p>
    <w:p>
      <w:pPr>
        <w:pStyle w:val="0"/>
        <w:ind w:left="662" w:leftChars="200" w:hanging="214" w:hangingChars="100"/>
        <w:rPr>
          <w:rFonts w:hint="default"/>
          <w:sz w:val="21"/>
        </w:rPr>
      </w:pPr>
      <w:r>
        <w:rPr>
          <w:rFonts w:hint="eastAsia"/>
          <w:sz w:val="21"/>
        </w:rPr>
        <w:t>○学校等の施設については、特別な支援を必要とする子が安心して充実した幼稚園・学校生活が送れるよう、エレベーター、車椅子用スロープ、段差の解消にも努めており、必要に応じてベッド等の備品も設置しています。</w:t>
      </w:r>
    </w:p>
    <w:p>
      <w:pPr>
        <w:pStyle w:val="0"/>
        <w:ind w:left="662" w:leftChars="200" w:hanging="214" w:hangingChars="100"/>
        <w:rPr>
          <w:rFonts w:hint="default"/>
          <w:sz w:val="21"/>
        </w:rPr>
      </w:pPr>
    </w:p>
    <w:p>
      <w:pPr>
        <w:pStyle w:val="0"/>
        <w:ind w:left="224" w:leftChars="100"/>
        <w:rPr>
          <w:rFonts w:hint="default" w:ascii="ＭＳ ゴシック" w:hAnsi="ＭＳ ゴシック" w:eastAsia="ＭＳ ゴシック"/>
        </w:rPr>
      </w:pPr>
      <w:r>
        <w:rPr>
          <w:rFonts w:hint="eastAsia" w:ascii="ＭＳ ゴシック" w:hAnsi="ＭＳ ゴシック" w:eastAsia="ＭＳ ゴシック"/>
        </w:rPr>
        <w:t>（アンケート調査より）</w:t>
      </w:r>
    </w:p>
    <w:p>
      <w:pPr>
        <w:pStyle w:val="0"/>
        <w:ind w:left="662" w:leftChars="200" w:hanging="214" w:hangingChars="100"/>
        <w:rPr>
          <w:rFonts w:hint="default"/>
          <w:sz w:val="21"/>
        </w:rPr>
      </w:pPr>
      <w:r>
        <w:rPr>
          <w:rFonts w:hint="eastAsia"/>
          <w:sz w:val="21"/>
        </w:rPr>
        <w:t>◯アンケート調査では、保護者から｢能力や障がいの状態に応じた指導を充実させてほしい｣が</w:t>
      </w:r>
      <w:r>
        <w:rPr>
          <w:rFonts w:hint="eastAsia"/>
          <w:sz w:val="21"/>
        </w:rPr>
        <w:t>68.6</w:t>
      </w:r>
      <w:r>
        <w:rPr>
          <w:rFonts w:hint="eastAsia"/>
          <w:sz w:val="21"/>
        </w:rPr>
        <w:t>％</w:t>
      </w:r>
      <w:r>
        <w:rPr>
          <w:rFonts w:hint="eastAsia"/>
          <w:sz w:val="21"/>
        </w:rPr>
        <w:t>(</w:t>
      </w:r>
      <w:r>
        <w:rPr>
          <w:rFonts w:hint="eastAsia"/>
          <w:sz w:val="21"/>
        </w:rPr>
        <w:t>前回</w:t>
      </w:r>
      <w:r>
        <w:rPr>
          <w:rFonts w:hint="default"/>
          <w:sz w:val="21"/>
        </w:rPr>
        <w:t>56.8</w:t>
      </w:r>
      <w:r>
        <w:rPr>
          <w:rFonts w:hint="eastAsia"/>
          <w:sz w:val="21"/>
        </w:rPr>
        <w:t>％</w:t>
      </w:r>
      <w:r>
        <w:rPr>
          <w:rFonts w:hint="eastAsia"/>
          <w:sz w:val="21"/>
        </w:rPr>
        <w:t>)</w:t>
      </w:r>
      <w:r>
        <w:rPr>
          <w:rFonts w:hint="eastAsia"/>
          <w:sz w:val="21"/>
        </w:rPr>
        <w:t>、｢障がいを持っていない子ども達に障がいへの理解を深めてほしい｣が</w:t>
      </w:r>
      <w:r>
        <w:rPr>
          <w:rFonts w:hint="eastAsia"/>
          <w:sz w:val="21"/>
        </w:rPr>
        <w:t>63.4</w:t>
      </w:r>
      <w:r>
        <w:rPr>
          <w:rFonts w:hint="eastAsia"/>
          <w:sz w:val="21"/>
        </w:rPr>
        <w:t>％</w:t>
      </w:r>
      <w:r>
        <w:rPr>
          <w:rFonts w:hint="eastAsia"/>
          <w:sz w:val="21"/>
        </w:rPr>
        <w:t>(</w:t>
      </w:r>
      <w:r>
        <w:rPr>
          <w:rFonts w:hint="eastAsia"/>
          <w:sz w:val="21"/>
        </w:rPr>
        <w:t>前回</w:t>
      </w:r>
      <w:r>
        <w:rPr>
          <w:rFonts w:hint="default"/>
          <w:sz w:val="21"/>
        </w:rPr>
        <w:t>57.7</w:t>
      </w:r>
      <w:r>
        <w:rPr>
          <w:rFonts w:hint="eastAsia"/>
          <w:sz w:val="21"/>
        </w:rPr>
        <w:t>％</w:t>
      </w:r>
      <w:r>
        <w:rPr>
          <w:rFonts w:hint="eastAsia"/>
          <w:sz w:val="21"/>
        </w:rPr>
        <w:t>)</w:t>
      </w:r>
      <w:r>
        <w:rPr>
          <w:rFonts w:hint="eastAsia"/>
          <w:sz w:val="21"/>
        </w:rPr>
        <w:t>、｢保育・教育関係者の障がいへの理解を深めてほしい｣が</w:t>
      </w:r>
      <w:r>
        <w:rPr>
          <w:rFonts w:hint="eastAsia"/>
          <w:sz w:val="21"/>
        </w:rPr>
        <w:t>59.5</w:t>
      </w:r>
      <w:r>
        <w:rPr>
          <w:rFonts w:hint="eastAsia"/>
          <w:sz w:val="21"/>
        </w:rPr>
        <w:t>％</w:t>
      </w:r>
      <w:r>
        <w:rPr>
          <w:rFonts w:hint="eastAsia"/>
          <w:sz w:val="21"/>
        </w:rPr>
        <w:t>(</w:t>
      </w:r>
      <w:r>
        <w:rPr>
          <w:rFonts w:hint="eastAsia"/>
          <w:sz w:val="21"/>
        </w:rPr>
        <w:t>前回</w:t>
      </w:r>
      <w:r>
        <w:rPr>
          <w:rFonts w:hint="default"/>
          <w:sz w:val="21"/>
        </w:rPr>
        <w:t>56.8</w:t>
      </w:r>
      <w:r>
        <w:rPr>
          <w:rFonts w:hint="eastAsia"/>
          <w:sz w:val="21"/>
        </w:rPr>
        <w:t>％</w:t>
      </w:r>
      <w:r>
        <w:rPr>
          <w:rFonts w:hint="eastAsia"/>
          <w:sz w:val="21"/>
        </w:rPr>
        <w:t>)</w:t>
      </w:r>
      <w:r>
        <w:rPr>
          <w:rFonts w:hint="eastAsia"/>
          <w:sz w:val="21"/>
        </w:rPr>
        <w:t>と高くなっており、今後も特別支援教育の充実に努める必要があります。</w:t>
      </w:r>
    </w:p>
    <w:p>
      <w:pPr>
        <w:pStyle w:val="0"/>
        <w:widowControl w:val="1"/>
        <w:jc w:val="left"/>
        <w:rPr>
          <w:rFonts w:hint="default"/>
          <w:sz w:val="21"/>
        </w:rPr>
      </w:pPr>
      <w:r>
        <w:rPr>
          <w:rFonts w:hint="default"/>
          <w:sz w:val="21"/>
        </w:rPr>
        <w:br w:type="page"/>
      </w:r>
    </w:p>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93"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70"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71"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72"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73"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287;" coordsize="6044565,219710" coordorigin="0,0" o:spid="_x0000_s1170" o:allowincell="t" o:allowoverlap="t">
                <v:roundrect id="今後の取り組み_四角（灰）" style="height:219710;width:6044565;top:0;left:0;position:absolute;" o:spid="_x0000_s1171"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72"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73"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eastAsia"/>
        </w:rPr>
        <w:t>【施策の基本的な考え方】</w:t>
      </w:r>
    </w:p>
    <w:p>
      <w:pPr>
        <w:pStyle w:val="0"/>
        <w:spacing w:line="340" w:lineRule="exact"/>
        <w:ind w:left="448" w:leftChars="200" w:firstLine="214" w:firstLineChars="100"/>
        <w:textAlignment w:val="center"/>
        <w:rPr>
          <w:rFonts w:hint="default"/>
          <w:sz w:val="21"/>
        </w:rPr>
      </w:pPr>
      <w:r>
        <w:rPr>
          <w:rFonts w:hint="eastAsia"/>
          <w:sz w:val="21"/>
        </w:rPr>
        <w:t>幼稚園、小・中学校では、発達障がいを含む特別な支援を必要とする子の教育的ニーズを把握し、その持てる力を高め、障がいに基づく学校生活や学習上の困難を改善・克服するために、適切な教育や支援を提供するという視点に立ち、必要な諸条件の整備を進めるとともに、関係機関・関係者間の連携を密にし、特別支援教育の効果的な推進を図ります。</w:t>
      </w:r>
    </w:p>
    <w:p>
      <w:pPr>
        <w:pStyle w:val="0"/>
        <w:spacing w:line="340" w:lineRule="exact"/>
        <w:ind w:left="448" w:leftChars="200" w:firstLine="214" w:firstLineChars="100"/>
        <w:textAlignment w:val="center"/>
        <w:rPr>
          <w:rFonts w:hint="default"/>
          <w:sz w:val="21"/>
        </w:rPr>
      </w:pPr>
    </w:p>
    <w:p>
      <w:pPr>
        <w:pStyle w:val="83"/>
        <w:ind w:left="448"/>
        <w:rPr>
          <w:rFonts w:hint="default"/>
          <w:color w:val="auto"/>
        </w:rPr>
      </w:pPr>
      <w:r>
        <w:rPr>
          <w:rFonts w:hint="eastAsia"/>
          <w:color w:val="auto"/>
        </w:rPr>
        <w:t>①校内特別支援教育推進体制の充実</w:t>
      </w:r>
    </w:p>
    <w:p>
      <w:pPr>
        <w:pStyle w:val="0"/>
        <w:spacing w:line="340" w:lineRule="exact"/>
        <w:ind w:left="886" w:leftChars="300" w:hanging="214" w:hangingChars="100"/>
        <w:textAlignment w:val="center"/>
        <w:rPr>
          <w:rFonts w:hint="default"/>
          <w:sz w:val="21"/>
        </w:rPr>
      </w:pPr>
      <w:r>
        <w:rPr>
          <w:rFonts w:hint="eastAsia"/>
          <w:sz w:val="21"/>
        </w:rPr>
        <w:t>・各学校</w:t>
      </w:r>
      <w:r>
        <w:rPr>
          <w:rFonts w:hint="default"/>
          <w:sz w:val="21"/>
        </w:rPr>
        <w:t>(</w:t>
      </w:r>
      <w:r>
        <w:rPr>
          <w:rFonts w:hint="default"/>
          <w:sz w:val="21"/>
        </w:rPr>
        <w:t>幼稚園</w:t>
      </w:r>
      <w:r>
        <w:rPr>
          <w:rFonts w:hint="default"/>
          <w:sz w:val="21"/>
        </w:rPr>
        <w:t>)</w:t>
      </w:r>
      <w:r>
        <w:rPr>
          <w:rFonts w:hint="default"/>
          <w:sz w:val="21"/>
        </w:rPr>
        <w:t>に校</w:t>
      </w:r>
      <w:r>
        <w:rPr>
          <w:rFonts w:hint="default"/>
          <w:sz w:val="21"/>
        </w:rPr>
        <w:t>(</w:t>
      </w:r>
      <w:r>
        <w:rPr>
          <w:rFonts w:hint="default"/>
          <w:sz w:val="21"/>
        </w:rPr>
        <w:t>園</w:t>
      </w:r>
      <w:r>
        <w:rPr>
          <w:rFonts w:hint="default"/>
          <w:sz w:val="21"/>
        </w:rPr>
        <w:t>)</w:t>
      </w:r>
      <w:r>
        <w:rPr>
          <w:rFonts w:hint="default"/>
          <w:sz w:val="21"/>
        </w:rPr>
        <w:t>内委員</w:t>
      </w:r>
      <w:r>
        <w:rPr>
          <w:rFonts w:hint="eastAsia"/>
          <w:sz w:val="21"/>
        </w:rPr>
        <w:t>会を設置し、特別な教育的支援を要する幼児・児童・生徒の把握及び教職員間での共通理解に努め、保護者との相互理解と相互信頼のもと、子にとって最も適した教育の内容や方法に取り組みます。</w:t>
      </w:r>
    </w:p>
    <w:p>
      <w:pPr>
        <w:pStyle w:val="0"/>
        <w:spacing w:line="340" w:lineRule="exact"/>
        <w:ind w:left="886" w:leftChars="300" w:hanging="214" w:hangingChars="100"/>
        <w:textAlignment w:val="center"/>
        <w:rPr>
          <w:rFonts w:hint="default"/>
          <w:sz w:val="21"/>
        </w:rPr>
      </w:pPr>
      <w:r>
        <w:rPr>
          <w:rFonts w:hint="eastAsia"/>
          <w:sz w:val="21"/>
        </w:rPr>
        <w:t>・各学校に特別支援教育コーディネーターを配置し、特別な教育的支援が必要な幼児・児童・生徒の個別の教育支援計画、個別の指導計画を作成し、日々の指導・支援に取り組みます。</w:t>
      </w:r>
    </w:p>
    <w:p>
      <w:pPr>
        <w:pStyle w:val="0"/>
        <w:spacing w:line="340" w:lineRule="exact"/>
        <w:ind w:left="886" w:leftChars="300" w:hanging="214" w:hangingChars="100"/>
        <w:textAlignment w:val="center"/>
        <w:rPr>
          <w:rFonts w:hint="default"/>
          <w:sz w:val="21"/>
        </w:rPr>
      </w:pPr>
      <w:r>
        <w:rPr>
          <w:rFonts w:hint="eastAsia"/>
          <w:sz w:val="21"/>
        </w:rPr>
        <w:t>・各学校に特別支援学級を設置し、一人ひとりの教育的ニーズに対応するとともに、特別支援教育支援員を配置しきめ細やかな対応に取り組みます。</w:t>
      </w:r>
    </w:p>
    <w:p>
      <w:pPr>
        <w:pStyle w:val="0"/>
        <w:spacing w:line="320" w:lineRule="exact"/>
        <w:ind w:left="886" w:leftChars="300" w:hanging="214" w:hangingChars="100"/>
        <w:rPr>
          <w:rFonts w:hint="default"/>
          <w:sz w:val="21"/>
        </w:rPr>
      </w:pPr>
    </w:p>
    <w:p>
      <w:pPr>
        <w:pStyle w:val="83"/>
        <w:ind w:left="448"/>
        <w:rPr>
          <w:rFonts w:hint="default"/>
          <w:color w:val="auto"/>
        </w:rPr>
      </w:pPr>
      <w:r>
        <w:rPr>
          <w:rFonts w:hint="eastAsia"/>
          <w:color w:val="auto"/>
        </w:rPr>
        <w:t>②教職員の資質向上</w:t>
      </w:r>
    </w:p>
    <w:p>
      <w:pPr>
        <w:pStyle w:val="0"/>
        <w:spacing w:line="340" w:lineRule="exact"/>
        <w:ind w:left="886" w:leftChars="300" w:hanging="214" w:hangingChars="100"/>
        <w:textAlignment w:val="center"/>
        <w:rPr>
          <w:rFonts w:hint="default"/>
          <w:sz w:val="21"/>
        </w:rPr>
      </w:pPr>
      <w:r>
        <w:rPr>
          <w:rFonts w:hint="eastAsia"/>
          <w:sz w:val="21"/>
        </w:rPr>
        <w:t>・多様化する特別支援児への対応力を強化するため、特別支援教育コーディネーターや教職員、特別支援教育支援員を対象とした研修会等を実施し特別支援教育に関する資質向上に取り組みます。</w:t>
      </w:r>
    </w:p>
    <w:p>
      <w:pPr>
        <w:pStyle w:val="0"/>
        <w:spacing w:line="320" w:lineRule="exact"/>
        <w:ind w:left="886" w:leftChars="300" w:hanging="214" w:hangingChars="100"/>
        <w:rPr>
          <w:rFonts w:hint="default"/>
          <w:sz w:val="21"/>
        </w:rPr>
      </w:pPr>
    </w:p>
    <w:p>
      <w:pPr>
        <w:pStyle w:val="83"/>
        <w:ind w:left="448"/>
        <w:rPr>
          <w:rFonts w:hint="default"/>
          <w:color w:val="auto"/>
        </w:rPr>
      </w:pPr>
      <w:r>
        <w:rPr>
          <w:rFonts w:hint="eastAsia"/>
          <w:color w:val="auto"/>
        </w:rPr>
        <w:t>③関係教職員への相談支援の充実</w:t>
      </w:r>
    </w:p>
    <w:p>
      <w:pPr>
        <w:pStyle w:val="0"/>
        <w:ind w:left="886" w:leftChars="300" w:hanging="214" w:hangingChars="100"/>
        <w:rPr>
          <w:rFonts w:hint="default"/>
          <w:sz w:val="21"/>
        </w:rPr>
      </w:pPr>
      <w:r>
        <w:rPr>
          <w:rFonts w:hint="eastAsia"/>
          <w:sz w:val="21"/>
        </w:rPr>
        <w:t>・県の専門員等とも連携を図り巡回指導等を通して、特別支援教育に関わる教職員への積極的な相談支援体制作りに取り組みます。また、必要に応じて障がい児関係の事業所とも情報共有を図るため、相談支援体制の拡充に取り組みます。</w:t>
      </w:r>
    </w:p>
    <w:p>
      <w:pPr>
        <w:pStyle w:val="0"/>
        <w:ind w:left="886" w:leftChars="300" w:hanging="214" w:hangingChars="100"/>
        <w:rPr>
          <w:rFonts w:hint="default"/>
          <w:sz w:val="21"/>
        </w:rPr>
      </w:pPr>
      <w:r>
        <w:rPr>
          <w:rFonts w:hint="eastAsia"/>
          <w:sz w:val="21"/>
        </w:rPr>
        <w:t>・相談支援を行う中には、家庭の状況が「複雑化・複合化」しており、家庭を包括的に支援するよう、多機関連携による寄り添いながら家庭を支援するように、職員の資質向上を図ります。</w:t>
      </w:r>
    </w:p>
    <w:p>
      <w:pPr>
        <w:pStyle w:val="0"/>
        <w:spacing w:line="320" w:lineRule="exact"/>
        <w:ind w:left="886" w:leftChars="300" w:hanging="214" w:hangingChars="100"/>
        <w:rPr>
          <w:rFonts w:hint="default"/>
          <w:sz w:val="21"/>
        </w:rPr>
      </w:pPr>
    </w:p>
    <w:p>
      <w:pPr>
        <w:pStyle w:val="83"/>
        <w:ind w:left="448"/>
        <w:rPr>
          <w:rFonts w:hint="default"/>
          <w:color w:val="auto"/>
        </w:rPr>
      </w:pPr>
      <w:r>
        <w:rPr>
          <w:rFonts w:hint="eastAsia"/>
          <w:color w:val="auto"/>
        </w:rPr>
        <w:t>④交流及び共同学習の推進</w:t>
      </w:r>
    </w:p>
    <w:p>
      <w:pPr>
        <w:pStyle w:val="0"/>
        <w:ind w:left="886" w:leftChars="300" w:hanging="214" w:hangingChars="100"/>
        <w:rPr>
          <w:rFonts w:hint="default"/>
          <w:sz w:val="21"/>
        </w:rPr>
      </w:pPr>
      <w:r>
        <w:rPr>
          <w:rFonts w:hint="eastAsia"/>
          <w:sz w:val="21"/>
        </w:rPr>
        <w:t>・特別な支援を必要とする子とそうでない子が、交流の場や共同学習を通して相互理解に取り組みインクルーシブ教育を拡充します。</w:t>
      </w:r>
    </w:p>
    <w:p>
      <w:pPr>
        <w:pStyle w:val="0"/>
        <w:spacing w:line="320" w:lineRule="exact"/>
        <w:ind w:left="886" w:leftChars="300" w:hanging="214" w:hangingChars="100"/>
        <w:rPr>
          <w:rFonts w:hint="default"/>
          <w:sz w:val="21"/>
        </w:rPr>
      </w:pPr>
    </w:p>
    <w:p>
      <w:pPr>
        <w:pStyle w:val="83"/>
        <w:ind w:left="448"/>
        <w:rPr>
          <w:rFonts w:hint="default"/>
          <w:color w:val="auto"/>
        </w:rPr>
      </w:pPr>
      <w:r>
        <w:rPr>
          <w:rFonts w:hint="eastAsia"/>
          <w:color w:val="auto"/>
        </w:rPr>
        <w:t>⑤就学相談支援の推進</w:t>
      </w:r>
    </w:p>
    <w:p>
      <w:pPr>
        <w:pStyle w:val="0"/>
        <w:ind w:left="886" w:leftChars="300" w:hanging="214" w:hangingChars="100"/>
        <w:rPr>
          <w:rFonts w:hint="default"/>
          <w:sz w:val="21"/>
        </w:rPr>
      </w:pPr>
      <w:r>
        <w:rPr>
          <w:rFonts w:hint="eastAsia"/>
          <w:sz w:val="21"/>
        </w:rPr>
        <w:t>・幼児・児童・生徒、個々の教育ニーズに適した教育支援となるよう、子の状態に対する保護者理解も含め、関係課とも情報共有を図り早期の就学相談等を実施します。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⑥学校等施設の整備推進</w:t>
      </w:r>
    </w:p>
    <w:p>
      <w:pPr>
        <w:pStyle w:val="0"/>
        <w:spacing w:line="340" w:lineRule="exact"/>
        <w:ind w:left="886" w:leftChars="300" w:hanging="214" w:hangingChars="100"/>
        <w:textAlignment w:val="center"/>
        <w:rPr>
          <w:rFonts w:hint="default"/>
        </w:rPr>
      </w:pPr>
      <w:r>
        <w:rPr>
          <w:rFonts w:hint="eastAsia"/>
          <w:sz w:val="21"/>
        </w:rPr>
        <w:t>・幼稚園及び小中学校の施設の設備・備品等について、必要に応じて、適切な整備・改善を進めます。</w:t>
      </w:r>
      <w:bookmarkStart w:id="108" w:name="_Toc346185252"/>
    </w:p>
    <w:p>
      <w:pPr>
        <w:pStyle w:val="23"/>
        <w:rPr>
          <w:rFonts w:hint="default"/>
        </w:rPr>
      </w:pPr>
      <w:bookmarkStart w:id="109" w:name="_Toc154411475"/>
      <w:bookmarkStart w:id="110" w:name="_Toc158300415"/>
      <w:bookmarkStart w:id="111" w:name="_Toc416340560"/>
      <w:bookmarkStart w:id="112" w:name="_Toc505592293"/>
      <w:bookmarkStart w:id="113" w:name="_Toc62831670"/>
      <w:r>
        <w:rPr>
          <w:rFonts w:hint="eastAsia"/>
        </w:rPr>
        <w:t>５</w:t>
      </w:r>
      <w:r>
        <w:rPr>
          <w:rFonts w:hint="default"/>
        </w:rPr>
        <w:t>．防災・防犯対策の充実</w:t>
      </w:r>
      <w:bookmarkEnd w:id="109"/>
      <w:bookmarkEnd w:id="110"/>
      <w:bookmarkEnd w:id="108"/>
      <w:bookmarkEnd w:id="111"/>
      <w:bookmarkEnd w:id="112"/>
      <w:bookmarkEnd w:id="113"/>
    </w:p>
    <w:p>
      <w:pPr>
        <w:pStyle w:val="22"/>
        <w:spacing w:after="111" w:afterLines="0" w:afterAutospacing="0"/>
        <w:rPr>
          <w:rFonts w:hint="default"/>
        </w:rPr>
      </w:pPr>
      <w:bookmarkStart w:id="114" w:name="_Toc154411476"/>
      <w:r>
        <w:rPr>
          <w:rFonts w:hint="eastAsia"/>
        </w:rPr>
        <w:t>（１）防災対策の充実</w:t>
      </w:r>
      <w:bookmarkEnd w:id="114"/>
    </w:p>
    <w:p>
      <w:pPr>
        <w:pStyle w:val="82"/>
        <w:rPr>
          <w:rFonts w:hint="default"/>
        </w:rPr>
      </w:pPr>
      <w:r>
        <w:rPr>
          <w:rFonts w:hint="eastAsia"/>
        </w:rPr>
        <w:t>【現状と課題】</w:t>
      </w:r>
    </w:p>
    <w:p>
      <w:pPr>
        <w:pStyle w:val="0"/>
        <w:ind w:left="662" w:leftChars="200" w:hanging="214" w:hangingChars="100"/>
        <w:rPr>
          <w:rFonts w:hint="default"/>
          <w:sz w:val="21"/>
        </w:rPr>
      </w:pPr>
      <w:r>
        <w:rPr>
          <w:rFonts w:hint="eastAsia"/>
          <w:sz w:val="21"/>
        </w:rPr>
        <w:t>○防災訓練や出前講座、防災に関する啓発掲示、窓口でのマップの配布等を通して、危険地域や避難方法、避難所の活用等に関する情報提供に努めています。</w:t>
      </w:r>
    </w:p>
    <w:p>
      <w:pPr>
        <w:pStyle w:val="0"/>
        <w:ind w:left="662" w:leftChars="200" w:hanging="214" w:hangingChars="100"/>
        <w:rPr>
          <w:rFonts w:hint="default"/>
          <w:sz w:val="21"/>
        </w:rPr>
      </w:pPr>
      <w:r>
        <w:rPr>
          <w:rFonts w:hint="eastAsia"/>
          <w:sz w:val="21"/>
        </w:rPr>
        <w:t>○要配慮者利用施設等と連携した避難訓練を実施し、災害時の避難経路及び課題の共有を図っています。要配慮者支援に重点をおいた訓練を、関係部局や関係機関と連携して実施する必要があります。</w:t>
      </w:r>
    </w:p>
    <w:p>
      <w:pPr>
        <w:pStyle w:val="0"/>
        <w:ind w:left="662" w:leftChars="200" w:hanging="214" w:hangingChars="100"/>
        <w:rPr>
          <w:rFonts w:hint="default"/>
          <w:sz w:val="21"/>
        </w:rPr>
      </w:pPr>
      <w:r>
        <w:rPr>
          <w:rFonts w:hint="eastAsia"/>
          <w:sz w:val="21"/>
        </w:rPr>
        <w:t>○災害時に避難が必要な方の</w:t>
      </w:r>
      <w:r>
        <w:rPr>
          <w:rFonts w:hint="eastAsia"/>
          <w:sz w:val="21"/>
          <w:vertAlign w:val="superscript"/>
        </w:rPr>
        <w:t>※</w:t>
      </w:r>
      <w:r>
        <w:rPr>
          <w:rFonts w:hint="eastAsia"/>
          <w:sz w:val="21"/>
        </w:rPr>
        <w:t>避難行動要支援者名簿は、毎年度更新し、町社会福祉協議会や町民生委員・児童委員連合会へ貸与しています。個別支援計画については、対象者の家族等支援者の協力が不可欠です。地域の協力を得ながら、一人ひとりの個別支援計画策定を進めていく必要があります。</w:t>
      </w:r>
    </w:p>
    <w:p>
      <w:pPr>
        <w:pStyle w:val="0"/>
        <w:ind w:left="662" w:leftChars="200" w:hanging="214" w:hangingChars="100"/>
        <w:rPr>
          <w:rFonts w:hint="default"/>
          <w:sz w:val="21"/>
        </w:rPr>
      </w:pPr>
      <w:r>
        <w:rPr>
          <w:rFonts w:hint="eastAsia"/>
          <w:sz w:val="21"/>
        </w:rPr>
        <w:t>○日常生活上必要とされる情報伝達装置について、必要な対象者には申請に基づき支給を行っています。</w:t>
      </w:r>
    </w:p>
    <w:p>
      <w:pPr>
        <w:pStyle w:val="0"/>
        <w:ind w:left="662" w:leftChars="200" w:hanging="214" w:hangingChars="100"/>
        <w:rPr>
          <w:rFonts w:hint="default"/>
          <w:sz w:val="21"/>
        </w:rPr>
      </w:pPr>
      <w:r>
        <w:rPr>
          <w:rFonts w:hint="eastAsia"/>
          <w:sz w:val="21"/>
        </w:rPr>
        <w:t>○聴覚障がい者の緊急通報について、手話通訳者が中心となって、消防署と連携を図りながら取り組みました。令和２年度からは東部消防組合において</w:t>
      </w:r>
      <w:r>
        <w:rPr>
          <w:rFonts w:hint="default"/>
          <w:sz w:val="21"/>
        </w:rPr>
        <w:t>Net119</w:t>
      </w:r>
      <w:r>
        <w:rPr>
          <w:rFonts w:hint="default"/>
          <w:sz w:val="21"/>
        </w:rPr>
        <w:t>も開始され、その普及について、消防とともに取り組んでいます。</w:t>
      </w:r>
    </w:p>
    <w:p>
      <w:pPr>
        <w:pStyle w:val="0"/>
        <w:ind w:left="662" w:leftChars="200" w:hanging="214" w:hangingChars="100"/>
        <w:rPr>
          <w:rFonts w:hint="default"/>
          <w:sz w:val="21"/>
        </w:rPr>
      </w:pPr>
      <w:r>
        <w:rPr>
          <w:rFonts w:hint="eastAsia"/>
          <w:sz w:val="21"/>
        </w:rPr>
        <w:t>○新たな自主防災組織結成のため、各自治会に対する訓練や説明会の開催等を通して結成促進を図りました。各自治会に自主防災組織の結成を促すため、組織の必要性など普及啓発が必要です。</w:t>
      </w:r>
    </w:p>
    <w:p>
      <w:pPr>
        <w:pStyle w:val="0"/>
        <w:ind w:left="662" w:leftChars="200" w:hanging="214" w:hangingChars="100"/>
        <w:rPr>
          <w:rFonts w:hint="default"/>
          <w:sz w:val="21"/>
        </w:rPr>
      </w:pPr>
    </w:p>
    <w:p>
      <w:pPr>
        <w:pStyle w:val="0"/>
        <w:ind w:left="224" w:leftChars="100"/>
        <w:rPr>
          <w:rFonts w:hint="default" w:ascii="ＭＳ ゴシック" w:hAnsi="ＭＳ ゴシック" w:eastAsia="ＭＳ ゴシック"/>
        </w:rPr>
      </w:pPr>
      <w:r>
        <w:rPr>
          <w:rFonts w:hint="eastAsia" w:ascii="ＭＳ ゴシック" w:hAnsi="ＭＳ ゴシック" w:eastAsia="ＭＳ ゴシック"/>
        </w:rPr>
        <w:t>（アンケート調査より）</w:t>
      </w:r>
    </w:p>
    <w:p>
      <w:pPr>
        <w:pStyle w:val="0"/>
        <w:ind w:left="662" w:leftChars="200" w:hanging="214" w:hangingChars="100"/>
        <w:rPr>
          <w:rFonts w:hint="default"/>
          <w:sz w:val="21"/>
        </w:rPr>
      </w:pPr>
      <w:r>
        <w:rPr>
          <w:rFonts w:hint="eastAsia"/>
          <w:sz w:val="21"/>
        </w:rPr>
        <w:t>◯アンケート調査では、障がい者の</w:t>
      </w:r>
      <w:r>
        <w:rPr>
          <w:rFonts w:hint="eastAsia"/>
          <w:sz w:val="21"/>
        </w:rPr>
        <w:t>30.9</w:t>
      </w:r>
      <w:r>
        <w:rPr>
          <w:rFonts w:hint="eastAsia"/>
          <w:sz w:val="21"/>
        </w:rPr>
        <w:t>％が災害時に一人で避難「できない」と答えています。また、災害時に困ることとしては、「投薬や治療が受けられない」が</w:t>
      </w:r>
      <w:r>
        <w:rPr>
          <w:rFonts w:hint="eastAsia"/>
          <w:sz w:val="21"/>
        </w:rPr>
        <w:t>37.2</w:t>
      </w:r>
      <w:r>
        <w:rPr>
          <w:rFonts w:hint="eastAsia"/>
          <w:sz w:val="21"/>
        </w:rPr>
        <w:t>％、「避難場所の設備</w:t>
      </w:r>
      <w:r>
        <w:rPr>
          <w:rFonts w:hint="default"/>
          <w:sz w:val="21"/>
        </w:rPr>
        <w:t>(</w:t>
      </w:r>
      <w:r>
        <w:rPr>
          <w:rFonts w:hint="eastAsia"/>
          <w:sz w:val="21"/>
        </w:rPr>
        <w:t>トイレ等</w:t>
      </w:r>
      <w:r>
        <w:rPr>
          <w:rFonts w:hint="default"/>
          <w:sz w:val="21"/>
        </w:rPr>
        <w:t>)</w:t>
      </w:r>
      <w:r>
        <w:rPr>
          <w:rFonts w:hint="eastAsia"/>
          <w:sz w:val="21"/>
        </w:rPr>
        <w:t>や生活環境が不安」が</w:t>
      </w:r>
      <w:r>
        <w:rPr>
          <w:rFonts w:hint="eastAsia"/>
          <w:sz w:val="21"/>
        </w:rPr>
        <w:t>36.7</w:t>
      </w:r>
      <w:r>
        <w:rPr>
          <w:rFonts w:hint="eastAsia"/>
          <w:sz w:val="21"/>
        </w:rPr>
        <w:t>％、「安全なところまで、迅速に避難することができない」が</w:t>
      </w:r>
      <w:r>
        <w:rPr>
          <w:rFonts w:hint="eastAsia"/>
          <w:sz w:val="21"/>
        </w:rPr>
        <w:t>29.2</w:t>
      </w:r>
      <w:r>
        <w:rPr>
          <w:rFonts w:hint="eastAsia"/>
          <w:sz w:val="21"/>
        </w:rPr>
        <w:t>％と高くなっています。</w:t>
      </w: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ind w:left="662" w:leftChars="200" w:hanging="214" w:hangingChars="100"/>
        <w:rPr>
          <w:rFonts w:hint="default"/>
          <w:sz w:val="21"/>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86"/>
              <w:spacing w:before="74" w:beforeLines="0" w:beforeAutospacing="0"/>
              <w:rPr>
                <w:rFonts w:hint="default"/>
                <w:color w:val="auto"/>
              </w:rPr>
            </w:pPr>
            <w:r>
              <w:rPr>
                <w:rFonts w:hint="eastAsia"/>
                <w:color w:val="auto"/>
              </w:rPr>
              <w:t>※避難行動要支援者</w:t>
            </w:r>
          </w:p>
          <w:p>
            <w:pPr>
              <w:pStyle w:val="85"/>
              <w:ind w:left="448" w:firstLine="204"/>
              <w:rPr>
                <w:rFonts w:hint="default"/>
                <w:color w:val="auto"/>
              </w:rPr>
            </w:pPr>
            <w:r>
              <w:rPr>
                <w:rFonts w:hint="eastAsia"/>
                <w:color w:val="auto"/>
              </w:rPr>
              <w:t>災害が発生し、又は災害が発生するおそれがある場合に自ら避難することが困難な者で、その円滑かつ迅速な避難の確保を図るため特に支援を要する人のことです。</w:t>
            </w:r>
          </w:p>
        </w:tc>
      </w:tr>
    </w:tbl>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197"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74"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75"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76"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77"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283;" coordsize="6044565,219710" coordorigin="0,0" o:spid="_x0000_s1174" o:allowincell="t" o:allowoverlap="t">
                <v:roundrect id="今後の取り組み_四角（灰）" style="height:219710;width:6044565;top:0;left:0;position:absolute;" o:spid="_x0000_s1175"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76"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77"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eastAsia"/>
        </w:rPr>
        <w:t>【施策の基本的な考え方】</w:t>
      </w:r>
    </w:p>
    <w:p>
      <w:pPr>
        <w:pStyle w:val="0"/>
        <w:spacing w:line="360" w:lineRule="exact"/>
        <w:ind w:left="448" w:leftChars="200" w:firstLine="214" w:firstLineChars="100"/>
        <w:textAlignment w:val="center"/>
        <w:rPr>
          <w:rFonts w:hint="default"/>
          <w:sz w:val="21"/>
        </w:rPr>
      </w:pPr>
      <w:r>
        <w:rPr>
          <w:rFonts w:hint="eastAsia"/>
          <w:sz w:val="21"/>
        </w:rPr>
        <w:t>災害時において、適格な判断や自ら避難することが困難な障がい者や高齢者等の避難行動要支援者について、円滑で迅速な避難の確保等を図るために、関係機関等が連携した避難支援を行います。また、障がい者等の防災訓練への参加、障がい者等に対応した避難所の整備、災害情報伝達手段の整備等を進めるなど、避難支援体制の充実に取り組みます。</w:t>
      </w:r>
    </w:p>
    <w:p>
      <w:pPr>
        <w:pStyle w:val="0"/>
        <w:spacing w:line="360" w:lineRule="exact"/>
        <w:ind w:left="448" w:leftChars="200" w:firstLine="214" w:firstLineChars="100"/>
        <w:textAlignment w:val="center"/>
        <w:rPr>
          <w:rFonts w:hint="default"/>
          <w:sz w:val="21"/>
        </w:rPr>
      </w:pPr>
    </w:p>
    <w:p>
      <w:pPr>
        <w:pStyle w:val="83"/>
        <w:ind w:left="448"/>
        <w:rPr>
          <w:rFonts w:hint="default"/>
          <w:color w:val="auto"/>
        </w:rPr>
      </w:pPr>
      <w:r>
        <w:rPr>
          <w:rFonts w:hint="eastAsia"/>
          <w:color w:val="auto"/>
        </w:rPr>
        <w:t>①防災に関する知識の普及啓発</w:t>
      </w:r>
    </w:p>
    <w:p>
      <w:pPr>
        <w:pStyle w:val="0"/>
        <w:spacing w:line="350" w:lineRule="exact"/>
        <w:ind w:left="886" w:leftChars="300" w:hanging="214" w:hangingChars="100"/>
        <w:textAlignment w:val="center"/>
        <w:rPr>
          <w:rFonts w:hint="default"/>
          <w:sz w:val="21"/>
        </w:rPr>
      </w:pPr>
      <w:r>
        <w:rPr>
          <w:rFonts w:hint="eastAsia"/>
          <w:sz w:val="21"/>
        </w:rPr>
        <w:t>・南風原町地域防災計画に基づき、防災週間、出前講座での啓発、窓口での防災マップの配布など、防災に関する知識の普及啓発を行います。</w:t>
      </w:r>
    </w:p>
    <w:p>
      <w:pPr>
        <w:pStyle w:val="0"/>
        <w:spacing w:line="350" w:lineRule="exact"/>
        <w:ind w:left="886" w:leftChars="300" w:hanging="214" w:hangingChars="100"/>
        <w:textAlignment w:val="center"/>
        <w:rPr>
          <w:rFonts w:hint="default"/>
          <w:sz w:val="21"/>
        </w:rPr>
      </w:pPr>
      <w:r>
        <w:rPr>
          <w:rFonts w:hint="eastAsia"/>
          <w:sz w:val="21"/>
        </w:rPr>
        <w:t>・避難訓練においては、障がい者の視点を取り入れて実施します。</w:t>
      </w:r>
    </w:p>
    <w:p>
      <w:pPr>
        <w:pStyle w:val="0"/>
        <w:spacing w:line="350" w:lineRule="exact"/>
        <w:ind w:left="886" w:leftChars="300" w:hanging="214" w:hangingChars="100"/>
        <w:textAlignment w:val="center"/>
        <w:rPr>
          <w:rFonts w:hint="default"/>
          <w:sz w:val="21"/>
        </w:rPr>
      </w:pPr>
    </w:p>
    <w:p>
      <w:pPr>
        <w:pStyle w:val="83"/>
        <w:ind w:left="448"/>
        <w:rPr>
          <w:rFonts w:hint="default"/>
          <w:color w:val="auto"/>
        </w:rPr>
      </w:pPr>
      <w:r>
        <w:rPr>
          <w:rFonts w:hint="eastAsia"/>
          <w:color w:val="auto"/>
        </w:rPr>
        <w:t>②福祉避難所の確保推進</w:t>
      </w:r>
    </w:p>
    <w:p>
      <w:pPr>
        <w:pStyle w:val="0"/>
        <w:spacing w:line="350" w:lineRule="exact"/>
        <w:ind w:left="886" w:leftChars="300" w:hanging="214" w:hangingChars="100"/>
        <w:textAlignment w:val="center"/>
        <w:rPr>
          <w:rFonts w:hint="default"/>
          <w:sz w:val="21"/>
        </w:rPr>
      </w:pPr>
      <w:r>
        <w:rPr>
          <w:rFonts w:hint="eastAsia"/>
          <w:sz w:val="21"/>
        </w:rPr>
        <w:t>・医療的ケアが必要な方など、避難行動要支援者が避難先で安心して過ごすことができるよう、福祉施設や医療機関等と連携した、福祉避難所の確保に取り組みます。</w:t>
      </w:r>
    </w:p>
    <w:p>
      <w:pPr>
        <w:pStyle w:val="0"/>
        <w:spacing w:line="350" w:lineRule="exact"/>
        <w:ind w:left="886" w:leftChars="300" w:hanging="214" w:hangingChars="100"/>
        <w:textAlignment w:val="center"/>
        <w:rPr>
          <w:rFonts w:hint="default"/>
          <w:sz w:val="21"/>
        </w:rPr>
      </w:pPr>
    </w:p>
    <w:p>
      <w:pPr>
        <w:pStyle w:val="83"/>
        <w:ind w:left="448"/>
        <w:rPr>
          <w:rFonts w:hint="default"/>
          <w:color w:val="auto"/>
        </w:rPr>
      </w:pPr>
      <w:r>
        <w:rPr>
          <w:rFonts w:hint="eastAsia"/>
          <w:color w:val="auto"/>
        </w:rPr>
        <w:t>③避難支援のための関係者との連携推進</w:t>
      </w:r>
    </w:p>
    <w:p>
      <w:pPr>
        <w:pStyle w:val="0"/>
        <w:spacing w:line="350" w:lineRule="exact"/>
        <w:ind w:left="886" w:leftChars="300" w:hanging="214" w:hangingChars="100"/>
        <w:textAlignment w:val="center"/>
        <w:rPr>
          <w:rFonts w:hint="default"/>
          <w:spacing w:val="-2"/>
          <w:sz w:val="21"/>
        </w:rPr>
      </w:pPr>
      <w:r>
        <w:rPr>
          <w:rFonts w:hint="eastAsia"/>
          <w:sz w:val="21"/>
        </w:rPr>
        <w:t>・</w:t>
      </w:r>
      <w:r>
        <w:rPr>
          <w:rFonts w:hint="eastAsia"/>
          <w:spacing w:val="-2"/>
          <w:sz w:val="21"/>
        </w:rPr>
        <w:t>避難行動要支援者の名簿更新を定期的に行うとともに、地域の協力を得ながら個別支援計画の作成に努めます。</w:t>
      </w:r>
    </w:p>
    <w:p>
      <w:pPr>
        <w:pStyle w:val="0"/>
        <w:spacing w:line="350" w:lineRule="exact"/>
        <w:ind w:left="882" w:leftChars="300" w:hanging="210" w:hangingChars="100"/>
        <w:textAlignment w:val="center"/>
        <w:rPr>
          <w:rFonts w:hint="default"/>
          <w:spacing w:val="-2"/>
          <w:sz w:val="21"/>
        </w:rPr>
      </w:pPr>
      <w:r>
        <w:rPr>
          <w:rFonts w:hint="eastAsia"/>
          <w:spacing w:val="-2"/>
          <w:sz w:val="21"/>
        </w:rPr>
        <w:t>・町社会福祉協議会、町民生委員・児童委員連合会及び消防や警察等の関係者が連携し、避難行動要支援者の迅速な避難の支援体制を構築します。</w:t>
      </w:r>
    </w:p>
    <w:p>
      <w:pPr>
        <w:pStyle w:val="0"/>
        <w:spacing w:line="350" w:lineRule="exact"/>
        <w:ind w:left="882" w:leftChars="300" w:hanging="210" w:hangingChars="100"/>
        <w:textAlignment w:val="center"/>
        <w:rPr>
          <w:rFonts w:hint="default"/>
          <w:spacing w:val="-2"/>
          <w:sz w:val="21"/>
        </w:rPr>
      </w:pPr>
    </w:p>
    <w:p>
      <w:pPr>
        <w:pStyle w:val="83"/>
        <w:ind w:left="448"/>
        <w:rPr>
          <w:rFonts w:hint="default"/>
          <w:color w:val="auto"/>
        </w:rPr>
      </w:pPr>
      <w:r>
        <w:rPr>
          <w:rFonts w:hint="eastAsia"/>
          <w:color w:val="auto"/>
        </w:rPr>
        <w:t>④障がいの特性に応じた災害情報伝達手段の普及推進</w:t>
      </w:r>
    </w:p>
    <w:p>
      <w:pPr>
        <w:pStyle w:val="0"/>
        <w:spacing w:line="350" w:lineRule="exact"/>
        <w:ind w:left="886" w:leftChars="300" w:hanging="214" w:hangingChars="100"/>
        <w:textAlignment w:val="center"/>
        <w:rPr>
          <w:rFonts w:hint="default"/>
          <w:sz w:val="21"/>
        </w:rPr>
      </w:pPr>
      <w:r>
        <w:rPr>
          <w:rFonts w:hint="eastAsia"/>
          <w:sz w:val="21"/>
        </w:rPr>
        <w:t>・障がい者が災害に関する情報を速やかに入手できるよう、日常生活用具給付対象である聴覚障がい者や視覚障がい者への情報通信装置等の通信機器の普及を図ります。また、近隣住民と連携した避難行動要支援者への情報伝達の仕組みづくり、その他必要な情報伝達の手段・方法について検討します。</w:t>
      </w:r>
    </w:p>
    <w:p>
      <w:pPr>
        <w:pStyle w:val="0"/>
        <w:spacing w:line="350" w:lineRule="exact"/>
        <w:ind w:left="886" w:leftChars="300" w:hanging="214" w:hangingChars="100"/>
        <w:textAlignment w:val="center"/>
        <w:rPr>
          <w:rFonts w:hint="default"/>
          <w:sz w:val="21"/>
        </w:rPr>
      </w:pPr>
      <w:r>
        <w:rPr>
          <w:rFonts w:hint="eastAsia"/>
          <w:sz w:val="21"/>
        </w:rPr>
        <w:t>・聴覚障がい者等の消防への緊急通報については、「ＦＡＸ</w:t>
      </w:r>
      <w:r>
        <w:rPr>
          <w:rFonts w:hint="eastAsia"/>
          <w:sz w:val="21"/>
        </w:rPr>
        <w:t>119</w:t>
      </w:r>
      <w:r>
        <w:rPr>
          <w:rFonts w:hint="eastAsia"/>
          <w:sz w:val="21"/>
        </w:rPr>
        <w:t>」や「メール</w:t>
      </w:r>
      <w:r>
        <w:rPr>
          <w:rFonts w:hint="eastAsia"/>
          <w:sz w:val="21"/>
        </w:rPr>
        <w:t>119</w:t>
      </w:r>
      <w:r>
        <w:rPr>
          <w:rFonts w:hint="eastAsia"/>
          <w:sz w:val="21"/>
        </w:rPr>
        <w:t>」、「Ｎｅｔ</w:t>
      </w:r>
      <w:r>
        <w:rPr>
          <w:rFonts w:hint="eastAsia"/>
          <w:sz w:val="21"/>
        </w:rPr>
        <w:t>119</w:t>
      </w:r>
      <w:r>
        <w:rPr>
          <w:rFonts w:hint="eastAsia"/>
          <w:sz w:val="21"/>
        </w:rPr>
        <w:t>緊急通報システム｣による通信体制の推進を消防と連携しながら取り組みます。</w:t>
      </w:r>
    </w:p>
    <w:p>
      <w:pPr>
        <w:pStyle w:val="0"/>
        <w:spacing w:line="320" w:lineRule="exact"/>
        <w:ind w:left="886" w:leftChars="300" w:hanging="214" w:hangingChars="100"/>
        <w:rPr>
          <w:rFonts w:hint="default"/>
          <w:sz w:val="21"/>
        </w:rPr>
      </w:pPr>
    </w:p>
    <w:p>
      <w:pPr>
        <w:pStyle w:val="83"/>
        <w:ind w:left="448"/>
        <w:rPr>
          <w:rFonts w:hint="default"/>
          <w:color w:val="auto"/>
        </w:rPr>
      </w:pPr>
      <w:r>
        <w:rPr>
          <w:rFonts w:hint="eastAsia"/>
          <w:color w:val="auto"/>
        </w:rPr>
        <w:t>⑤自主防災組織の立上げ推進</w:t>
      </w:r>
    </w:p>
    <w:p>
      <w:pPr>
        <w:pStyle w:val="0"/>
        <w:spacing w:line="350" w:lineRule="exact"/>
        <w:ind w:left="886" w:leftChars="300" w:hanging="214" w:hangingChars="100"/>
        <w:textAlignment w:val="center"/>
        <w:rPr>
          <w:rFonts w:hint="default"/>
          <w:sz w:val="21"/>
        </w:rPr>
      </w:pPr>
      <w:r>
        <w:rPr>
          <w:rFonts w:hint="eastAsia"/>
          <w:sz w:val="21"/>
        </w:rPr>
        <w:t>・地域の防災力を高めるために、新たな自主防災組織の結成に取り組みます。また、結成された自主防災組織が実施する訓練へのサポート等を行います。</w:t>
      </w:r>
    </w:p>
    <w:p>
      <w:pPr>
        <w:pStyle w:val="0"/>
        <w:spacing w:line="320" w:lineRule="exact"/>
        <w:ind w:left="886" w:leftChars="300" w:hanging="214" w:hangingChars="100"/>
        <w:rPr>
          <w:rFonts w:hint="default"/>
          <w:sz w:val="21"/>
        </w:rPr>
      </w:pPr>
    </w:p>
    <w:p>
      <w:pPr>
        <w:pStyle w:val="0"/>
        <w:spacing w:line="350" w:lineRule="exact"/>
        <w:ind w:left="896" w:leftChars="300" w:hanging="224" w:hangingChars="100"/>
        <w:textAlignment w:val="center"/>
        <w:rPr>
          <w:rFonts w:hint="default" w:ascii="ＭＳ ゴシック" w:hAnsi="ＭＳ ゴシック" w:eastAsia="ＭＳ ゴシック"/>
        </w:rPr>
      </w:pPr>
      <w:r>
        <w:rPr>
          <w:rFonts w:hint="default" w:ascii="ＭＳ ゴシック" w:hAnsi="ＭＳ ゴシック" w:eastAsia="ＭＳ ゴシック"/>
        </w:rPr>
        <w:br w:type="page"/>
      </w:r>
    </w:p>
    <w:p>
      <w:pPr>
        <w:pStyle w:val="22"/>
        <w:spacing w:after="111" w:afterLines="0" w:afterAutospacing="0"/>
        <w:rPr>
          <w:rFonts w:hint="default"/>
        </w:rPr>
      </w:pPr>
      <w:bookmarkStart w:id="115" w:name="_Toc154411477"/>
      <w:r>
        <w:rPr>
          <w:rFonts w:hint="eastAsia"/>
        </w:rPr>
        <w:t>（２）防犯対策の充実</w:t>
      </w:r>
      <w:bookmarkEnd w:id="115"/>
    </w:p>
    <w:p>
      <w:pPr>
        <w:pStyle w:val="82"/>
        <w:rPr>
          <w:rFonts w:hint="default"/>
        </w:rPr>
      </w:pPr>
      <w:r>
        <w:rPr>
          <w:rFonts w:hint="eastAsia"/>
        </w:rPr>
        <w:t>【現状と課題】</w:t>
      </w:r>
    </w:p>
    <w:p>
      <w:pPr>
        <w:pStyle w:val="0"/>
        <w:ind w:left="662" w:leftChars="200" w:hanging="214" w:hangingChars="100"/>
        <w:rPr>
          <w:rFonts w:hint="default"/>
          <w:sz w:val="21"/>
        </w:rPr>
      </w:pPr>
      <w:r>
        <w:rPr>
          <w:rFonts w:hint="eastAsia"/>
          <w:sz w:val="21"/>
        </w:rPr>
        <w:t>○与那原警察署及び関係機関との連携のもと、防犯パトロールや再犯防止啓発のための「社会を明るくする運動」を実施しています。不審者情報等の事案発生時は、関係機関との情報共有や住民への呼びかけを行いました。</w:t>
      </w:r>
    </w:p>
    <w:p>
      <w:pPr>
        <w:pStyle w:val="0"/>
        <w:ind w:left="662" w:leftChars="200" w:hanging="214" w:hangingChars="100"/>
        <w:rPr>
          <w:rFonts w:hint="default"/>
          <w:sz w:val="21"/>
        </w:rPr>
      </w:pPr>
      <w:r>
        <w:rPr>
          <w:rFonts w:hint="eastAsia"/>
          <w:sz w:val="21"/>
        </w:rPr>
        <w:t>○委託相談支援事業所、サービス事業所、地域活動支援センター等の障がい者に関わる支援者が、相談支援の過程において防犯について周知啓発を行い、障がい者が消費者被害等にあわないよう努めています。被害にあった事が確認された場合は、必要な機関と連携しトラブル解決に向けた対応を行っています。</w:t>
      </w:r>
    </w:p>
    <w:p>
      <w:pPr>
        <w:pStyle w:val="0"/>
        <w:ind w:left="662" w:leftChars="200" w:hanging="214" w:hangingChars="100"/>
        <w:rPr>
          <w:rFonts w:hint="default"/>
          <w:sz w:val="21"/>
        </w:rPr>
      </w:pPr>
      <w:r>
        <w:rPr>
          <w:rFonts w:hint="eastAsia"/>
          <w:sz w:val="21"/>
        </w:rPr>
        <w:t>◯ＦＡＸ</w:t>
      </w:r>
      <w:r>
        <w:rPr>
          <w:rFonts w:hint="eastAsia"/>
          <w:sz w:val="21"/>
        </w:rPr>
        <w:t>110</w:t>
      </w:r>
      <w:r>
        <w:rPr>
          <w:rFonts w:hint="eastAsia"/>
          <w:sz w:val="21"/>
        </w:rPr>
        <w:t>、メール</w:t>
      </w:r>
      <w:r>
        <w:rPr>
          <w:rFonts w:hint="eastAsia"/>
          <w:sz w:val="21"/>
        </w:rPr>
        <w:t>110</w:t>
      </w:r>
      <w:r>
        <w:rPr>
          <w:rFonts w:hint="eastAsia"/>
          <w:sz w:val="21"/>
        </w:rPr>
        <w:t>の利用希望がある際に警察署と連携し利用者支援を行っています。</w:t>
      </w:r>
    </w:p>
    <w:p>
      <w:pPr>
        <w:pStyle w:val="0"/>
        <w:ind w:left="662" w:leftChars="200" w:hanging="214" w:hangingChars="100"/>
        <w:rPr>
          <w:rFonts w:hint="default"/>
          <w:sz w:val="21"/>
        </w:rPr>
      </w:pPr>
    </w:p>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201"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78"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79"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80"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81"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279;" coordsize="6044565,219710" coordorigin="0,0" o:spid="_x0000_s1178" o:allowincell="t" o:allowoverlap="t">
                <v:roundrect id="今後の取り組み_四角（灰）" style="height:219710;width:6044565;top:0;left:0;position:absolute;" o:spid="_x0000_s1179"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80"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81"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eastAsia"/>
        </w:rPr>
        <w:t>【施策の基本的な考え方】</w:t>
      </w:r>
    </w:p>
    <w:p>
      <w:pPr>
        <w:pStyle w:val="0"/>
        <w:ind w:left="448" w:leftChars="200" w:firstLine="214" w:firstLineChars="100"/>
        <w:rPr>
          <w:rFonts w:hint="default"/>
          <w:sz w:val="21"/>
        </w:rPr>
      </w:pPr>
      <w:r>
        <w:rPr>
          <w:rFonts w:hint="eastAsia"/>
          <w:sz w:val="21"/>
        </w:rPr>
        <w:t>事件・事故に障がい者が巻き込まれることなく、安心して暮らしていけるよう、地域や関係機関と連携した防犯対策の充実を図ります。また、障がい者の消費者被害に対しても、関係機関と連携した支援を行います。</w:t>
      </w:r>
    </w:p>
    <w:p>
      <w:pPr>
        <w:pStyle w:val="0"/>
        <w:ind w:left="448" w:leftChars="200" w:firstLine="214" w:firstLineChars="100"/>
        <w:rPr>
          <w:rFonts w:hint="default"/>
          <w:sz w:val="21"/>
        </w:rPr>
      </w:pPr>
    </w:p>
    <w:p>
      <w:pPr>
        <w:pStyle w:val="83"/>
        <w:ind w:left="448"/>
        <w:rPr>
          <w:rFonts w:hint="default"/>
          <w:color w:val="auto"/>
        </w:rPr>
      </w:pPr>
      <w:r>
        <w:rPr>
          <w:rFonts w:hint="eastAsia"/>
          <w:color w:val="auto"/>
        </w:rPr>
        <w:t>①防犯のための情報提供の推進</w:t>
      </w:r>
    </w:p>
    <w:p>
      <w:pPr>
        <w:pStyle w:val="0"/>
        <w:spacing w:line="350" w:lineRule="exact"/>
        <w:ind w:left="886" w:leftChars="300" w:hanging="214" w:hangingChars="100"/>
        <w:textAlignment w:val="center"/>
        <w:rPr>
          <w:rFonts w:hint="default"/>
          <w:sz w:val="21"/>
        </w:rPr>
      </w:pPr>
      <w:r>
        <w:rPr>
          <w:rFonts w:hint="eastAsia"/>
          <w:sz w:val="21"/>
        </w:rPr>
        <w:t>・与那原警察署との緊急時の連絡体制を維持し、犯罪等に関する早期の情報共有化を図ります。また、関係機関・関係団体と連携し、防犯啓発用チラシ配布や防犯パトロールを継続します。</w:t>
      </w:r>
    </w:p>
    <w:p>
      <w:pPr>
        <w:pStyle w:val="0"/>
        <w:spacing w:line="350" w:lineRule="exact"/>
        <w:ind w:left="886" w:leftChars="300" w:hanging="214" w:hangingChars="100"/>
        <w:textAlignment w:val="center"/>
        <w:rPr>
          <w:rFonts w:hint="default"/>
          <w:sz w:val="21"/>
        </w:rPr>
      </w:pPr>
    </w:p>
    <w:p>
      <w:pPr>
        <w:pStyle w:val="83"/>
        <w:ind w:left="448"/>
        <w:rPr>
          <w:rFonts w:hint="default"/>
          <w:color w:val="auto"/>
        </w:rPr>
      </w:pPr>
      <w:r>
        <w:rPr>
          <w:rFonts w:hint="eastAsia"/>
          <w:color w:val="auto"/>
        </w:rPr>
        <w:t>②障がい者等の防犯意識啓発の推進</w:t>
      </w:r>
    </w:p>
    <w:p>
      <w:pPr>
        <w:pStyle w:val="0"/>
        <w:spacing w:line="350" w:lineRule="exact"/>
        <w:ind w:left="886" w:leftChars="300" w:hanging="214" w:hangingChars="100"/>
        <w:textAlignment w:val="center"/>
        <w:rPr>
          <w:rFonts w:hint="default"/>
          <w:sz w:val="21"/>
        </w:rPr>
      </w:pPr>
      <w:r>
        <w:rPr>
          <w:rFonts w:hint="eastAsia"/>
          <w:sz w:val="21"/>
        </w:rPr>
        <w:t>・障がい者等が事件・事故に巻きこまれることがないよう、委託相談支援事業所やサービス事業所、地域活動支援センター等における相談の中で、犯罪被害・消費者被害防止に関する周知・啓発を行い、障がい者等の防犯意識を高めるように努め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③通報システムの普及推進</w:t>
      </w:r>
    </w:p>
    <w:p>
      <w:pPr>
        <w:pStyle w:val="0"/>
        <w:spacing w:line="350" w:lineRule="exact"/>
        <w:ind w:left="886" w:leftChars="300" w:hanging="214" w:hangingChars="100"/>
        <w:textAlignment w:val="center"/>
        <w:rPr>
          <w:rFonts w:hint="default"/>
          <w:sz w:val="21"/>
        </w:rPr>
      </w:pPr>
      <w:r>
        <w:rPr>
          <w:rFonts w:hint="eastAsia"/>
          <w:sz w:val="21"/>
        </w:rPr>
        <w:t>・耳や言葉が不自由な人の事件・事故に関する通報について、警察と連携した｢ＦＡＸ</w:t>
      </w:r>
      <w:r>
        <w:rPr>
          <w:rFonts w:hint="eastAsia"/>
          <w:sz w:val="21"/>
        </w:rPr>
        <w:t>110</w:t>
      </w:r>
      <w:r>
        <w:rPr>
          <w:rFonts w:hint="eastAsia"/>
          <w:sz w:val="21"/>
        </w:rPr>
        <w:t>番｣や｢メール</w:t>
      </w:r>
      <w:r>
        <w:rPr>
          <w:rFonts w:hint="eastAsia"/>
          <w:sz w:val="21"/>
        </w:rPr>
        <w:t>110</w:t>
      </w:r>
      <w:r>
        <w:rPr>
          <w:rFonts w:hint="eastAsia"/>
          <w:sz w:val="21"/>
        </w:rPr>
        <w:t>番｣といった通報システムの周知と活用の普及を図ります。また、利用希望に対し必要な利用支援を行います。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④消費者被害に対する相談支援の推進</w:t>
      </w:r>
    </w:p>
    <w:p>
      <w:pPr>
        <w:pStyle w:val="0"/>
        <w:spacing w:line="350" w:lineRule="exact"/>
        <w:ind w:left="886" w:leftChars="300" w:hanging="214" w:hangingChars="100"/>
        <w:textAlignment w:val="center"/>
        <w:rPr>
          <w:rFonts w:hint="default"/>
          <w:sz w:val="21"/>
        </w:rPr>
      </w:pPr>
      <w:r>
        <w:rPr>
          <w:rFonts w:hint="eastAsia"/>
          <w:sz w:val="21"/>
        </w:rPr>
        <w:t>・障がい者の消費者被害に関する相談に対応し、被害にあった際には、消費生活センター等関係機関と連携した、トラブル解決に向けた支援に取り組みます。</w:t>
      </w:r>
    </w:p>
    <w:p>
      <w:pPr>
        <w:pStyle w:val="0"/>
        <w:spacing w:line="350" w:lineRule="exact"/>
        <w:ind w:left="886" w:leftChars="300" w:hanging="214" w:hangingChars="100"/>
        <w:textAlignment w:val="center"/>
        <w:rPr>
          <w:rFonts w:hint="default"/>
          <w:sz w:val="21"/>
        </w:rPr>
      </w:pPr>
      <w:r>
        <w:rPr>
          <w:rFonts w:hint="default"/>
          <w:sz w:val="21"/>
        </w:rPr>
        <w:br w:type="page"/>
      </w:r>
    </w:p>
    <w:p>
      <w:pPr>
        <w:pStyle w:val="0"/>
        <w:spacing w:line="100" w:lineRule="exact"/>
        <w:rPr>
          <w:rFonts w:hint="default"/>
        </w:rPr>
      </w:pPr>
      <w:bookmarkStart w:id="116" w:name="_Toc346185253"/>
      <w:bookmarkStart w:id="117" w:name="_Toc416340561"/>
    </w:p>
    <w:p>
      <w:pPr>
        <w:pStyle w:val="79"/>
        <w:spacing w:before="111" w:beforeLines="0" w:beforeAutospacing="0"/>
        <w:ind w:left="1121"/>
        <w:rPr>
          <w:rFonts w:hint="default"/>
        </w:rPr>
      </w:pPr>
      <w:bookmarkEnd w:id="116"/>
      <w:bookmarkEnd w:id="117"/>
      <w:bookmarkStart w:id="118" w:name="_Toc154411478"/>
      <w:bookmarkStart w:id="119" w:name="_Toc158300416"/>
      <w:bookmarkStart w:id="120" w:name="_Toc346185254"/>
      <w:bookmarkStart w:id="121" w:name="_Toc416340562"/>
      <w:bookmarkStart w:id="122" w:name="_Toc505592294"/>
      <w:bookmarkStart w:id="123" w:name="_Toc62831671"/>
      <w:r>
        <w:rPr>
          <w:rFonts w:hint="eastAsia"/>
        </w:rPr>
        <w:t>基本目標２　健やかで自立を支えるまち</w:t>
      </w:r>
      <w:bookmarkEnd w:id="118"/>
      <w:bookmarkEnd w:id="119"/>
      <w:bookmarkEnd w:id="123"/>
    </w:p>
    <w:p>
      <w:pPr>
        <w:pStyle w:val="0"/>
        <w:spacing w:line="160" w:lineRule="exact"/>
        <w:rPr>
          <w:rFonts w:hint="default"/>
        </w:rPr>
      </w:pPr>
      <w:r>
        <w:rPr>
          <w:rFonts w:hint="eastAsia" w:ascii="ＭＳ ゴシック" w:hAnsi="ＭＳ ゴシック" w:eastAsia="ＭＳ ゴシック"/>
          <w:sz w:val="32"/>
        </w:rPr>
        <mc:AlternateContent>
          <mc:Choice Requires="wpg">
            <w:drawing>
              <wp:anchor distT="0" distB="0" distL="114300" distR="114300" simplePos="0" relativeHeight="205" behindDoc="1" locked="1" layoutInCell="1" hidden="0" allowOverlap="1">
                <wp:simplePos x="0" y="0"/>
                <wp:positionH relativeFrom="column">
                  <wp:posOffset>638810</wp:posOffset>
                </wp:positionH>
                <wp:positionV relativeFrom="paragraph">
                  <wp:posOffset>-302260</wp:posOffset>
                </wp:positionV>
                <wp:extent cx="5379085" cy="367665"/>
                <wp:effectExtent l="635" t="635" r="5080" b="635"/>
                <wp:wrapNone/>
                <wp:docPr id="1182" name="節の飾り（テキストの背景）"/>
                <a:graphic xmlns:a="http://schemas.openxmlformats.org/drawingml/2006/main">
                  <a:graphicData uri="http://schemas.microsoft.com/office/word/2010/wordprocessingGroup">
                    <wpg:wgp>
                      <wpg:cNvGrpSpPr/>
                      <wpg:grpSpPr>
                        <a:xfrm>
                          <a:off x="0" y="0"/>
                          <a:ext cx="5379085" cy="367665"/>
                          <a:chOff x="-1" y="0"/>
                          <a:chExt cx="5383414" cy="368807"/>
                        </a:xfrm>
                      </wpg:grpSpPr>
                      <wps:wsp>
                        <wps:cNvPr id="1183" name="節（項目）の影"/>
                        <wps:cNvSpPr/>
                        <wps:spPr>
                          <a:xfrm>
                            <a:off x="1276491" y="19050"/>
                            <a:ext cx="4106922" cy="349757"/>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84" name="節（数値）の影"/>
                        <wps:cNvSpPr/>
                        <wps:spPr>
                          <a:xfrm>
                            <a:off x="38099" y="19050"/>
                            <a:ext cx="1152820" cy="349757"/>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85" name="節（項目）"/>
                        <wps:cNvSpPr/>
                        <wps:spPr>
                          <a:xfrm>
                            <a:off x="1238390" y="0"/>
                            <a:ext cx="4120167" cy="32670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86" name="節（数値）"/>
                        <wps:cNvSpPr/>
                        <wps:spPr>
                          <a:xfrm>
                            <a:off x="-1" y="0"/>
                            <a:ext cx="1152820" cy="32630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節の飾り（テキストの背景）" style="mso-wrap-distance-right:9pt;mso-wrap-distance-bottom:0pt;margin-top:-23.8pt;mso-position-vertical-relative:text;mso-position-horizontal-relative:text;position:absolute;height:28.95pt;mso-wrap-distance-top:0pt;width:423.55pt;mso-wrap-distance-left:9pt;margin-left:50.3pt;z-index:-503316275;" coordsize="5383414,368807" coordorigin="-1,0" o:spid="_x0000_s1182" o:allowincell="t" o:allowoverlap="t">
                <v:roundrect id="節（項目）の影" style="height:349757;width:4106922;top:19050;left:1276491;position:absolute;" o:spid="_x0000_s1183" filled="t" fillcolor="#a6a6a6 [2092]" stroked="f" strokecolor="#42709c" strokeweight="1pt" o:spt="2" arcsize="10923f">
                  <v:fill/>
                  <v:stroke linestyle="single" miterlimit="8" endcap="flat" dashstyle="solid"/>
                  <v:textbox style="layout-flow:horizontal;"/>
                  <v:imagedata o:title=""/>
                  <w10:wrap type="none" anchorx="text" anchory="text"/>
                  <w10:anchorlock/>
                </v:roundrect>
                <v:roundrect id="節（数値）の影" style="height:349757;width:1152820;top:19050;left:38099;position:absolute;" o:spid="_x0000_s1184" filled="t" fillcolor="#a6a6a6 [2092]" stroked="f" strokecolor="#42709c" strokeweight="1pt" o:spt="2" arcsize="10923f">
                  <v:fill/>
                  <v:stroke linestyle="single" miterlimit="8" endcap="flat" dashstyle="solid"/>
                  <v:textbox style="layout-flow:horizontal;"/>
                  <v:imagedata o:title=""/>
                  <w10:wrap type="none" anchorx="text" anchory="text"/>
                  <w10:anchorlock/>
                </v:roundrect>
                <v:roundrect id="節（項目）" style="height:326708;width:4120167;top:0;left:1238390;position:absolute;" o:spid="_x0000_s1185" filled="t" fillcolor="#ffffff [3212]" stroked="t" strokecolor="#000000 [3213]" strokeweight="1pt" o:spt="2" arcsize="10923f">
                  <v:fill/>
                  <v:stroke linestyle="single" miterlimit="8" endcap="flat" dashstyle="solid" filltype="solid"/>
                  <v:textbox style="layout-flow:horizontal;"/>
                  <v:imagedata o:title=""/>
                  <w10:wrap type="none" anchorx="text" anchory="text"/>
                  <w10:anchorlock/>
                </v:roundrect>
                <v:roundrect id="節（数値）" style="height:326307;width:1152820;top:0;left:-1;position:absolute;" o:spid="_x0000_s1186" filled="t" fillcolor="#ffffff [3212]" stroked="t" strokecolor="#000000 [3213]" strokeweight="1pt" o:spt="2" arcsize="10923f">
                  <v:fill/>
                  <v:stroke linestyle="single" miterlimit="8" endcap="flat" dashstyle="solid" filltype="solid"/>
                  <v:textbox style="layout-flow:horizontal;"/>
                  <v:imagedata o:title=""/>
                  <w10:wrap type="none" anchorx="text" anchory="text"/>
                  <w10:anchorlock/>
                </v:roundrect>
                <w10:wrap type="none" anchorx="text" anchory="text"/>
                <w10:anchorlock/>
              </v:group>
            </w:pict>
          </mc:Fallback>
        </mc:AlternateContent>
      </w:r>
    </w:p>
    <w:p>
      <w:pPr>
        <w:pStyle w:val="0"/>
        <w:spacing w:line="0" w:lineRule="atLeast"/>
        <w:ind w:left="662" w:leftChars="200" w:hanging="214" w:hangingChars="100"/>
        <w:rPr>
          <w:rFonts w:hint="default"/>
          <w:sz w:val="21"/>
        </w:rPr>
      </w:pPr>
      <w:bookmarkStart w:id="124" w:name="_Toc154411479"/>
      <w:bookmarkStart w:id="125" w:name="_Toc62831672"/>
    </w:p>
    <w:p>
      <w:pPr>
        <w:pStyle w:val="23"/>
        <w:rPr>
          <w:rFonts w:hint="default"/>
        </w:rPr>
      </w:pPr>
      <w:bookmarkStart w:id="126" w:name="_Toc158300417"/>
      <w:r>
        <w:rPr>
          <w:rFonts w:hint="default"/>
        </w:rPr>
        <w:t>１．保健・医療の充実</w:t>
      </w:r>
      <w:bookmarkEnd w:id="124"/>
      <w:bookmarkEnd w:id="126"/>
      <w:bookmarkEnd w:id="120"/>
      <w:bookmarkEnd w:id="121"/>
      <w:bookmarkEnd w:id="122"/>
      <w:bookmarkEnd w:id="125"/>
    </w:p>
    <w:p>
      <w:pPr>
        <w:pStyle w:val="22"/>
        <w:spacing w:after="111" w:afterLines="0" w:afterAutospacing="0"/>
        <w:rPr>
          <w:rFonts w:hint="default"/>
        </w:rPr>
      </w:pPr>
      <w:bookmarkStart w:id="127" w:name="_Toc154411480"/>
      <w:r>
        <w:rPr>
          <w:rFonts w:hint="eastAsia"/>
        </w:rPr>
        <w:t>（１）乳幼児期における障がいの発生予防・早期支援の充実</w:t>
      </w:r>
      <w:bookmarkEnd w:id="127"/>
    </w:p>
    <w:p>
      <w:pPr>
        <w:pStyle w:val="82"/>
        <w:rPr>
          <w:rFonts w:hint="default"/>
        </w:rPr>
      </w:pPr>
      <w:r>
        <w:rPr>
          <w:rFonts w:hint="eastAsia"/>
        </w:rPr>
        <w:t>【現状と課題】</w:t>
      </w:r>
    </w:p>
    <w:p>
      <w:pPr>
        <w:pStyle w:val="84"/>
        <w:rPr>
          <w:rFonts w:hint="default"/>
          <w:color w:val="auto"/>
        </w:rPr>
      </w:pPr>
      <w:r>
        <w:rPr>
          <w:rFonts w:hint="default"/>
          <w:color w:val="auto"/>
        </w:rPr>
        <w:t>►</w:t>
      </w:r>
      <w:r>
        <w:rPr>
          <w:rFonts w:hint="eastAsia"/>
          <w:color w:val="auto"/>
        </w:rPr>
        <w:t>母体の健康管理</w:t>
      </w:r>
    </w:p>
    <w:p>
      <w:pPr>
        <w:pStyle w:val="0"/>
        <w:ind w:left="774" w:leftChars="250" w:hanging="214" w:hangingChars="100"/>
        <w:rPr>
          <w:rFonts w:hint="default"/>
          <w:sz w:val="21"/>
        </w:rPr>
      </w:pPr>
      <w:r>
        <w:rPr>
          <w:rFonts w:hint="eastAsia"/>
          <w:sz w:val="21"/>
        </w:rPr>
        <w:t>○低出生体重児発症予防のために親子健康手帳交付時の全妊婦対象に保健指導実施しました。その中で継続支援の必要な妊婦へ妊婦健診の結果を確認しながら指導しました。低出生体重児率は国県比較しても高い結果となっており、実態に応じた継続した保健指導が必要です。</w:t>
      </w:r>
    </w:p>
    <w:p>
      <w:pPr>
        <w:pStyle w:val="0"/>
        <w:ind w:left="774" w:leftChars="250" w:hanging="214" w:hangingChars="100"/>
        <w:rPr>
          <w:rFonts w:hint="default"/>
          <w:sz w:val="21"/>
        </w:rPr>
      </w:pPr>
    </w:p>
    <w:p>
      <w:pPr>
        <w:pStyle w:val="84"/>
        <w:rPr>
          <w:rFonts w:hint="default"/>
          <w:color w:val="auto"/>
        </w:rPr>
      </w:pPr>
      <w:r>
        <w:rPr>
          <w:rFonts w:hint="default"/>
          <w:color w:val="auto"/>
        </w:rPr>
        <w:t>►</w:t>
      </w:r>
      <w:r>
        <w:rPr>
          <w:rFonts w:hint="eastAsia"/>
          <w:color w:val="auto"/>
        </w:rPr>
        <w:t>乳幼児健康診査</w:t>
      </w:r>
    </w:p>
    <w:p>
      <w:pPr>
        <w:pStyle w:val="0"/>
        <w:ind w:left="774" w:leftChars="250" w:hanging="214" w:hangingChars="100"/>
        <w:rPr>
          <w:rFonts w:hint="default"/>
          <w:sz w:val="21"/>
        </w:rPr>
      </w:pPr>
      <w:r>
        <w:rPr>
          <w:rFonts w:hint="eastAsia"/>
          <w:sz w:val="21"/>
        </w:rPr>
        <w:t>○発達が気になる子の早期支援につながる乳幼児健診の受診率向上のため、母子保健推進員や保育施設等とも連携した未受診児への受診勧奨が必要です。</w:t>
      </w:r>
    </w:p>
    <w:p>
      <w:pPr>
        <w:pStyle w:val="0"/>
        <w:ind w:left="774" w:leftChars="250" w:hanging="214" w:hangingChars="100"/>
        <w:rPr>
          <w:rFonts w:hint="default"/>
          <w:sz w:val="21"/>
        </w:rPr>
      </w:pPr>
    </w:p>
    <w:p>
      <w:pPr>
        <w:pStyle w:val="84"/>
        <w:rPr>
          <w:rFonts w:hint="default"/>
          <w:color w:val="auto"/>
        </w:rPr>
      </w:pPr>
      <w:r>
        <w:rPr>
          <w:rFonts w:hint="default"/>
          <w:color w:val="auto"/>
        </w:rPr>
        <w:t>►</w:t>
      </w:r>
      <w:r>
        <w:rPr>
          <w:rFonts w:hint="eastAsia"/>
          <w:color w:val="auto"/>
        </w:rPr>
        <w:t>発達相談</w:t>
      </w:r>
    </w:p>
    <w:p>
      <w:pPr>
        <w:pStyle w:val="0"/>
        <w:ind w:left="774" w:leftChars="250" w:hanging="214" w:hangingChars="100"/>
        <w:rPr>
          <w:rFonts w:hint="default"/>
          <w:sz w:val="21"/>
        </w:rPr>
      </w:pPr>
      <w:bookmarkStart w:id="128" w:name="_Hlk156076775"/>
      <w:r>
        <w:rPr>
          <w:rFonts w:hint="eastAsia"/>
          <w:sz w:val="21"/>
        </w:rPr>
        <w:t>○乳幼児健診の際に、子の発達に不安のある保護者に対して相談ができるよう心理士を配置し、タイムリーな相談を行ないました。さらに、健診後の事後フォローとして、心理士や言語聴覚士による「のびのび相談」を実施し、</w:t>
      </w:r>
      <w:r>
        <w:rPr>
          <w:rFonts w:hint="default"/>
        </w:rPr>
        <w:t>保護者が抱える育児に対する困り感</w:t>
      </w:r>
      <w:r>
        <w:rPr>
          <w:rFonts w:hint="eastAsia"/>
        </w:rPr>
        <w:t>の</w:t>
      </w:r>
      <w:r>
        <w:rPr>
          <w:rFonts w:hint="default"/>
        </w:rPr>
        <w:t>軽減</w:t>
      </w:r>
      <w:r>
        <w:rPr>
          <w:rFonts w:hint="eastAsia"/>
        </w:rPr>
        <w:t>に取り組みました。</w:t>
      </w:r>
    </w:p>
    <w:p>
      <w:pPr>
        <w:pStyle w:val="0"/>
        <w:ind w:left="774" w:leftChars="250" w:hanging="214" w:hangingChars="100"/>
        <w:rPr>
          <w:rFonts w:hint="default"/>
          <w:sz w:val="21"/>
        </w:rPr>
      </w:pPr>
      <w:bookmarkEnd w:id="128"/>
      <w:r>
        <w:rPr>
          <w:rFonts w:hint="eastAsia"/>
          <w:sz w:val="21"/>
        </w:rPr>
        <w:t>○定期健康相談や栄養相談により、子どもの健やかな成長・発達に向けて育児の不安軽減に努めました。今後も育児の不安軽減のため健やかな成長・発達の面から必要な指導及び情報の提供を行っていく必要があります。</w:t>
      </w:r>
    </w:p>
    <w:p>
      <w:pPr>
        <w:pStyle w:val="0"/>
        <w:ind w:left="774" w:leftChars="250" w:hanging="214" w:hangingChars="100"/>
        <w:rPr>
          <w:rFonts w:hint="default"/>
          <w:sz w:val="21"/>
        </w:rPr>
      </w:pPr>
    </w:p>
    <w:p>
      <w:pPr>
        <w:pStyle w:val="84"/>
        <w:rPr>
          <w:rFonts w:hint="default"/>
          <w:color w:val="auto"/>
        </w:rPr>
      </w:pPr>
      <w:r>
        <w:rPr>
          <w:rFonts w:hint="default"/>
          <w:color w:val="auto"/>
        </w:rPr>
        <w:t>►</w:t>
      </w:r>
      <w:r>
        <w:rPr>
          <w:rFonts w:hint="eastAsia"/>
          <w:color w:val="auto"/>
        </w:rPr>
        <w:t>経過観察を通した支援の推進</w:t>
      </w:r>
    </w:p>
    <w:p>
      <w:pPr>
        <w:pStyle w:val="0"/>
        <w:ind w:left="774" w:leftChars="250" w:hanging="214" w:hangingChars="100"/>
        <w:rPr>
          <w:rFonts w:hint="default"/>
          <w:sz w:val="21"/>
        </w:rPr>
      </w:pPr>
      <w:r>
        <w:rPr>
          <w:rFonts w:hint="eastAsia"/>
          <w:sz w:val="21"/>
        </w:rPr>
        <w:t>○乳幼児健診で発達支援が必要な児へ継続的に支援を実施しており、関係機関と連携した訪問などで個別支援を行いました。今後も個別の対象に応じた支援が必要です。</w:t>
      </w:r>
    </w:p>
    <w:p>
      <w:pPr>
        <w:pStyle w:val="0"/>
        <w:ind w:left="774" w:leftChars="250" w:hanging="214" w:hangingChars="100"/>
        <w:rPr>
          <w:rFonts w:hint="default"/>
          <w:sz w:val="21"/>
        </w:rPr>
      </w:pPr>
    </w:p>
    <w:p>
      <w:pPr>
        <w:pStyle w:val="84"/>
        <w:rPr>
          <w:rFonts w:hint="default"/>
          <w:color w:val="auto"/>
        </w:rPr>
      </w:pPr>
      <w:r>
        <w:rPr>
          <w:rFonts w:hint="default"/>
          <w:color w:val="auto"/>
        </w:rPr>
        <w:t>►</w:t>
      </w:r>
      <w:r>
        <w:rPr>
          <w:rFonts w:hint="eastAsia"/>
          <w:color w:val="auto"/>
        </w:rPr>
        <w:t>未熟児養育医療</w:t>
      </w:r>
    </w:p>
    <w:p>
      <w:pPr>
        <w:pStyle w:val="0"/>
        <w:ind w:left="774" w:leftChars="250" w:hanging="214" w:hangingChars="100"/>
        <w:rPr>
          <w:rFonts w:hint="default"/>
          <w:sz w:val="21"/>
        </w:rPr>
      </w:pPr>
      <w:r>
        <w:rPr>
          <w:rFonts w:hint="eastAsia"/>
          <w:sz w:val="21"/>
        </w:rPr>
        <w:t>○未熟児養育医療の申請後は迅速に対応し、保護者の経済的な負担軽減に努めています。</w:t>
      </w:r>
    </w:p>
    <w:p>
      <w:pPr>
        <w:pStyle w:val="0"/>
        <w:ind w:left="774" w:leftChars="250" w:hanging="214" w:hangingChars="100"/>
        <w:rPr>
          <w:rFonts w:hint="default"/>
          <w:sz w:val="21"/>
        </w:rPr>
      </w:pPr>
    </w:p>
    <w:p>
      <w:pPr>
        <w:pStyle w:val="0"/>
        <w:ind w:left="784" w:leftChars="250" w:hanging="224" w:hangingChars="100"/>
        <w:rPr>
          <w:rFonts w:hint="default" w:ascii="ＭＳ ゴシック" w:hAnsi="ＭＳ ゴシック" w:eastAsia="ＭＳ ゴシック"/>
        </w:rPr>
      </w:pPr>
      <w:r>
        <w:rPr>
          <w:rFonts w:hint="default" w:ascii="ＭＳ ゴシック" w:hAnsi="ＭＳ ゴシック" w:eastAsia="ＭＳ ゴシック"/>
        </w:rPr>
        <w:br w:type="page"/>
      </w:r>
    </w:p>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210"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87"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88"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89"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90"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270;" coordsize="6044565,219710" coordorigin="0,0" o:spid="_x0000_s1187" o:allowincell="t" o:allowoverlap="t">
                <v:roundrect id="今後の取り組み_四角（灰）" style="height:219710;width:6044565;top:0;left:0;position:absolute;" o:spid="_x0000_s1188"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89"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90"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eastAsia"/>
        </w:rPr>
        <w:t>【施策の基本的な考え方】</w:t>
      </w:r>
    </w:p>
    <w:p>
      <w:pPr>
        <w:pStyle w:val="0"/>
        <w:ind w:left="560" w:leftChars="250" w:firstLine="214" w:firstLineChars="100"/>
        <w:rPr>
          <w:rFonts w:hint="default"/>
          <w:sz w:val="21"/>
        </w:rPr>
      </w:pPr>
      <w:r>
        <w:rPr>
          <w:rFonts w:hint="eastAsia"/>
          <w:sz w:val="21"/>
        </w:rPr>
        <w:t>妊婦の健康管理を通して、出産後の乳幼児の健やかな発育を助長するとともに、乳幼児の疾病や発育・発達の異常を早期に発見し、早期の治療・療育により障がいの予防や軽減を図ることは、その後の発達と自立において極めて重要であり、関係機関と連携した妊婦及び乳幼児の健康診査や保健指導、発達支援の充実を図ります。</w:t>
      </w:r>
    </w:p>
    <w:p>
      <w:pPr>
        <w:pStyle w:val="0"/>
        <w:ind w:left="560" w:leftChars="250" w:firstLine="214" w:firstLineChars="100"/>
        <w:rPr>
          <w:rFonts w:hint="default"/>
          <w:sz w:val="21"/>
        </w:rPr>
      </w:pPr>
    </w:p>
    <w:p>
      <w:pPr>
        <w:pStyle w:val="83"/>
        <w:ind w:left="448"/>
        <w:rPr>
          <w:rFonts w:hint="default"/>
          <w:color w:val="auto"/>
        </w:rPr>
      </w:pPr>
      <w:r>
        <w:rPr>
          <w:rFonts w:hint="eastAsia"/>
          <w:color w:val="auto"/>
        </w:rPr>
        <w:t>①妊婦の健康管理の充実</w:t>
      </w:r>
    </w:p>
    <w:p>
      <w:pPr>
        <w:pStyle w:val="0"/>
        <w:ind w:left="886" w:leftChars="300" w:hanging="214" w:hangingChars="100"/>
        <w:rPr>
          <w:rFonts w:hint="default"/>
          <w:sz w:val="21"/>
        </w:rPr>
      </w:pPr>
      <w:r>
        <w:rPr>
          <w:rFonts w:hint="eastAsia"/>
          <w:sz w:val="21"/>
        </w:rPr>
        <w:t>・障がいのリスクが高くなる低出生体重児や未熟児の出現を予防するなど、安全・安心な出産が迎えられるよう、全ての妊婦に対して親子健康手帳交付時に面接を行い、妊婦の健康状態や生活習慣、家庭の状況等を把握し、適切な母体の健康管理や生活習慣の改善等について相談・助言・指導を行います。</w:t>
      </w:r>
    </w:p>
    <w:p>
      <w:pPr>
        <w:pStyle w:val="0"/>
        <w:ind w:left="886" w:leftChars="300" w:hanging="214" w:hangingChars="100"/>
        <w:rPr>
          <w:rFonts w:hint="default"/>
          <w:sz w:val="21"/>
        </w:rPr>
      </w:pPr>
      <w:r>
        <w:rPr>
          <w:rFonts w:hint="eastAsia"/>
          <w:sz w:val="21"/>
        </w:rPr>
        <w:t>・低出生体重児の出現率低下のため、適正体重の増加、糖尿病、高血圧などの発症予防や重症化予防にむけて、継続した保健指導・栄養指導等を行います。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②乳幼児健康診査の充実</w:t>
      </w:r>
    </w:p>
    <w:p>
      <w:pPr>
        <w:pStyle w:val="0"/>
        <w:spacing w:line="340" w:lineRule="exact"/>
        <w:ind w:left="774" w:leftChars="250" w:hanging="214" w:hangingChars="100"/>
        <w:rPr>
          <w:rFonts w:hint="default"/>
          <w:sz w:val="21"/>
        </w:rPr>
      </w:pPr>
      <w:r>
        <w:rPr>
          <w:rFonts w:hint="eastAsia"/>
          <w:sz w:val="21"/>
        </w:rPr>
        <w:t>・乳幼児健診において、乳幼児の疾病や障がい、発達が気になる子を早期に発見し、早期の治療・発達支援等適切な支援につなぐことで、障がいの防止や軽減が図られるよう、切れ目のない支援に取り組みます。</w:t>
      </w:r>
    </w:p>
    <w:p>
      <w:pPr>
        <w:pStyle w:val="0"/>
        <w:spacing w:line="340" w:lineRule="exact"/>
        <w:ind w:left="774" w:leftChars="250" w:hanging="214" w:hangingChars="100"/>
        <w:rPr>
          <w:rFonts w:hint="default"/>
          <w:sz w:val="21"/>
        </w:rPr>
      </w:pPr>
      <w:r>
        <w:rPr>
          <w:rFonts w:hint="eastAsia"/>
          <w:sz w:val="21"/>
        </w:rPr>
        <w:t>・保護者の不安感を和らげ、治療・療育等により前向きになるよう、１歳６ヶ月児と２歳児、３歳児の健康診査の場に、心理士を配置し支援や相談を行います。</w:t>
      </w:r>
    </w:p>
    <w:p>
      <w:pPr>
        <w:pStyle w:val="0"/>
        <w:spacing w:line="340" w:lineRule="exact"/>
        <w:ind w:left="774" w:leftChars="250" w:hanging="214" w:hangingChars="100"/>
        <w:rPr>
          <w:rFonts w:hint="default"/>
          <w:sz w:val="21"/>
        </w:rPr>
      </w:pPr>
      <w:r>
        <w:rPr>
          <w:rFonts w:hint="eastAsia"/>
          <w:sz w:val="21"/>
        </w:rPr>
        <w:t>・乳幼児健康診査の受診率の向上を図るために、広報啓発や母子保健推進員等と連携するほか、保育施設等の協力も得ながら、未受診児の保護者への受診勧奨を強化します。</w:t>
      </w:r>
    </w:p>
    <w:p>
      <w:pPr>
        <w:pStyle w:val="0"/>
        <w:spacing w:line="340" w:lineRule="exact"/>
        <w:ind w:left="774" w:leftChars="250" w:hanging="214" w:hangingChars="100"/>
        <w:rPr>
          <w:rFonts w:hint="default"/>
          <w:sz w:val="21"/>
        </w:rPr>
      </w:pPr>
    </w:p>
    <w:p>
      <w:pPr>
        <w:pStyle w:val="83"/>
        <w:ind w:left="448"/>
        <w:rPr>
          <w:rFonts w:hint="default"/>
          <w:color w:val="auto"/>
        </w:rPr>
      </w:pPr>
      <w:r>
        <w:rPr>
          <w:rFonts w:hint="eastAsia"/>
          <w:color w:val="auto"/>
        </w:rPr>
        <w:t>③のびのび発達相談の充実</w:t>
      </w:r>
    </w:p>
    <w:p>
      <w:pPr>
        <w:pStyle w:val="0"/>
        <w:ind w:left="886" w:leftChars="300" w:hanging="214" w:hangingChars="100"/>
        <w:rPr>
          <w:rFonts w:hint="default"/>
          <w:sz w:val="21"/>
        </w:rPr>
      </w:pPr>
      <w:r>
        <w:rPr>
          <w:rFonts w:hint="eastAsia"/>
          <w:sz w:val="21"/>
        </w:rPr>
        <w:t>・１歳６ヶ月児と２歳児、３歳児の健康診査等で把握された、発達が気になる子を対象に、のびのび発達相談を開催し、心理士や言語聴覚士等による相談指導を実施します。</w:t>
      </w:r>
    </w:p>
    <w:p>
      <w:pPr>
        <w:pStyle w:val="0"/>
        <w:ind w:left="886" w:leftChars="300" w:hanging="214" w:hangingChars="100"/>
        <w:rPr>
          <w:rFonts w:hint="default"/>
          <w:sz w:val="21"/>
        </w:rPr>
      </w:pPr>
      <w:r>
        <w:rPr>
          <w:rFonts w:hint="eastAsia"/>
          <w:sz w:val="21"/>
        </w:rPr>
        <w:t>・療育が必要なケースについては、適切なサービスや専門機関につながるよう、情報の提供や相談・助言等を行います。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④健康相談、栄養相談の推進</w:t>
      </w:r>
    </w:p>
    <w:p>
      <w:pPr>
        <w:pStyle w:val="0"/>
        <w:ind w:left="886" w:leftChars="300" w:hanging="214" w:hangingChars="100"/>
        <w:rPr>
          <w:rFonts w:hint="default"/>
          <w:sz w:val="21"/>
        </w:rPr>
      </w:pPr>
      <w:r>
        <w:rPr>
          <w:rFonts w:hint="eastAsia"/>
          <w:sz w:val="21"/>
        </w:rPr>
        <w:t>・子どもの健やかな成長・発達のために、健康相談、栄養相談を行い、必要な助言・指導及び情報の提供等による育児の不安軽減を図ります。</w:t>
      </w:r>
    </w:p>
    <w:p>
      <w:pPr>
        <w:pStyle w:val="0"/>
        <w:ind w:left="886" w:leftChars="300" w:hanging="214" w:hangingChars="100"/>
        <w:rPr>
          <w:rFonts w:hint="default"/>
          <w:sz w:val="21"/>
        </w:rPr>
      </w:pPr>
    </w:p>
    <w:p>
      <w:pPr>
        <w:pStyle w:val="0"/>
        <w:widowControl w:val="1"/>
        <w:jc w:val="left"/>
        <w:rPr>
          <w:rFonts w:hint="default"/>
          <w:sz w:val="21"/>
        </w:rPr>
      </w:pPr>
      <w:r>
        <w:rPr>
          <w:rFonts w:hint="default"/>
          <w:sz w:val="21"/>
        </w:rPr>
        <w:br w:type="page"/>
      </w:r>
    </w:p>
    <w:p>
      <w:pPr>
        <w:pStyle w:val="83"/>
        <w:ind w:left="448"/>
        <w:rPr>
          <w:rFonts w:hint="default"/>
          <w:color w:val="auto"/>
        </w:rPr>
      </w:pPr>
      <w:r>
        <w:rPr>
          <w:rFonts w:hint="eastAsia"/>
          <w:color w:val="auto"/>
        </w:rPr>
        <w:t>⑤健やかな成長・発達を踏まえた継続支援の推進</w:t>
      </w:r>
    </w:p>
    <w:p>
      <w:pPr>
        <w:pStyle w:val="0"/>
        <w:ind w:left="774" w:leftChars="250" w:hanging="214" w:hangingChars="100"/>
        <w:rPr>
          <w:rFonts w:hint="default"/>
          <w:sz w:val="21"/>
        </w:rPr>
      </w:pPr>
      <w:r>
        <w:rPr>
          <w:rFonts w:hint="eastAsia"/>
          <w:sz w:val="21"/>
        </w:rPr>
        <w:t>・療育上必要があると認められる子や経過観察を必要とする子について、それぞれの状況に応じた個別支援を行い、必要な場合は訪問等により保健所等関係機関と連携をとりながら指導を行います。</w:t>
      </w:r>
    </w:p>
    <w:p>
      <w:pPr>
        <w:pStyle w:val="0"/>
        <w:ind w:left="774" w:leftChars="250" w:hanging="214" w:hangingChars="100"/>
        <w:rPr>
          <w:rFonts w:hint="default"/>
          <w:sz w:val="21"/>
        </w:rPr>
      </w:pPr>
      <w:r>
        <w:rPr>
          <w:rFonts w:hint="eastAsia"/>
          <w:sz w:val="21"/>
        </w:rPr>
        <w:t>・障がいや発達が気になる乳幼児について、親子通園事業、発達支援児保育等と連携した経過観察を行い、必要に応じて適切な支援が受けられるよう、保健・福祉・医療等の専門機関との連携を図ります。</w:t>
      </w:r>
    </w:p>
    <w:p>
      <w:pPr>
        <w:pStyle w:val="0"/>
        <w:ind w:left="774" w:leftChars="250" w:hanging="214" w:hangingChars="100"/>
        <w:rPr>
          <w:rFonts w:hint="default"/>
          <w:sz w:val="21"/>
        </w:rPr>
      </w:pPr>
    </w:p>
    <w:p>
      <w:pPr>
        <w:pStyle w:val="83"/>
        <w:ind w:left="448"/>
        <w:rPr>
          <w:rFonts w:hint="default"/>
          <w:color w:val="auto"/>
        </w:rPr>
      </w:pPr>
      <w:r>
        <w:rPr>
          <w:rFonts w:hint="eastAsia"/>
          <w:color w:val="auto"/>
        </w:rPr>
        <w:t>⑥未熟児養育医療の給付</w:t>
      </w:r>
    </w:p>
    <w:p>
      <w:pPr>
        <w:pStyle w:val="0"/>
        <w:ind w:left="886" w:leftChars="300" w:hanging="214" w:hangingChars="100"/>
        <w:rPr>
          <w:rFonts w:hint="default"/>
          <w:sz w:val="21"/>
        </w:rPr>
      </w:pPr>
      <w:r>
        <w:rPr>
          <w:rFonts w:hint="eastAsia"/>
          <w:sz w:val="21"/>
        </w:rPr>
        <w:t>・養育のために病院又は診療所に入院することを必要とする未熟児に対し、その養育に必要な医療</w:t>
      </w:r>
      <w:r>
        <w:rPr>
          <w:rFonts w:hint="eastAsia"/>
          <w:sz w:val="21"/>
        </w:rPr>
        <w:t>(</w:t>
      </w:r>
      <w:r>
        <w:rPr>
          <w:rFonts w:hint="eastAsia"/>
          <w:sz w:val="21"/>
        </w:rPr>
        <w:t>｢養育医療｣</w:t>
      </w:r>
      <w:r>
        <w:rPr>
          <w:rFonts w:hint="eastAsia"/>
          <w:sz w:val="21"/>
        </w:rPr>
        <w:t>)</w:t>
      </w:r>
      <w:r>
        <w:rPr>
          <w:rFonts w:hint="eastAsia"/>
          <w:sz w:val="21"/>
        </w:rPr>
        <w:t>の給付を行います。</w:t>
      </w: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widowControl w:val="1"/>
        <w:jc w:val="left"/>
        <w:rPr>
          <w:rFonts w:hint="default"/>
          <w:sz w:val="21"/>
        </w:rPr>
      </w:pPr>
      <w:r>
        <w:rPr>
          <w:rFonts w:hint="default"/>
          <w:sz w:val="21"/>
        </w:rPr>
        <w:br w:type="page"/>
      </w:r>
    </w:p>
    <w:p>
      <w:pPr>
        <w:pStyle w:val="22"/>
        <w:spacing w:after="111" w:afterLines="0" w:afterAutospacing="0"/>
        <w:rPr>
          <w:rFonts w:hint="default"/>
        </w:rPr>
      </w:pPr>
      <w:bookmarkStart w:id="129" w:name="_Toc154411481"/>
      <w:r>
        <w:rPr>
          <w:rFonts w:hint="eastAsia"/>
        </w:rPr>
        <w:t>（２）障がいの原因となる疾病予防対策の充実</w:t>
      </w:r>
      <w:bookmarkEnd w:id="129"/>
    </w:p>
    <w:p>
      <w:pPr>
        <w:pStyle w:val="82"/>
        <w:rPr>
          <w:rFonts w:hint="default"/>
        </w:rPr>
      </w:pPr>
      <w:r>
        <w:rPr>
          <w:rFonts w:hint="eastAsia"/>
        </w:rPr>
        <w:t>【現状と課題】</w:t>
      </w:r>
    </w:p>
    <w:p>
      <w:pPr>
        <w:pStyle w:val="84"/>
        <w:rPr>
          <w:rFonts w:hint="default"/>
          <w:color w:val="auto"/>
        </w:rPr>
      </w:pPr>
      <w:r>
        <w:rPr>
          <w:rFonts w:hint="default"/>
          <w:color w:val="auto"/>
        </w:rPr>
        <w:t>►</w:t>
      </w:r>
      <w:r>
        <w:rPr>
          <w:rFonts w:hint="eastAsia"/>
          <w:color w:val="auto"/>
        </w:rPr>
        <w:t>特定健康診査</w:t>
      </w:r>
    </w:p>
    <w:p>
      <w:pPr>
        <w:pStyle w:val="0"/>
        <w:spacing w:line="360" w:lineRule="exact"/>
        <w:ind w:left="774" w:leftChars="250" w:hanging="214" w:hangingChars="100"/>
        <w:rPr>
          <w:rFonts w:hint="default"/>
          <w:sz w:val="21"/>
        </w:rPr>
      </w:pPr>
      <w:r>
        <w:rPr>
          <w:rFonts w:hint="eastAsia"/>
          <w:sz w:val="21"/>
        </w:rPr>
        <w:t>○特定健診受診率向上のため、指導員による電話勧奨やチラシ配布等の広報活動や、ＡＩを活用した健診受診勧奨、受診時におけるＴポイント付与により特定健診受診勧奨に努めました。また、日曜健診やナイト健診を実施し受診しやすい機会の充実にも取り組みました。</w:t>
      </w:r>
    </w:p>
    <w:p>
      <w:pPr>
        <w:pStyle w:val="0"/>
        <w:spacing w:line="360" w:lineRule="exact"/>
        <w:ind w:left="774" w:leftChars="250" w:hanging="214" w:hangingChars="100"/>
        <w:rPr>
          <w:rFonts w:hint="default"/>
          <w:sz w:val="21"/>
        </w:rPr>
      </w:pPr>
      <w:r>
        <w:rPr>
          <w:rFonts w:hint="eastAsia"/>
          <w:sz w:val="21"/>
        </w:rPr>
        <w:t>○特定健診受診率は低下傾向にありましたが、令和３年度は増加に転じています。今後は医療機関との連携や既存事業の効果的実施などにより、受診率向上につなげていけるように検討する必要があります。</w:t>
      </w:r>
    </w:p>
    <w:p>
      <w:pPr>
        <w:pStyle w:val="0"/>
        <w:spacing w:line="360" w:lineRule="exact"/>
        <w:ind w:left="774" w:leftChars="250" w:hanging="214" w:hangingChars="100"/>
        <w:rPr>
          <w:rFonts w:hint="default"/>
          <w:sz w:val="21"/>
        </w:rPr>
      </w:pPr>
    </w:p>
    <w:p>
      <w:pPr>
        <w:pStyle w:val="84"/>
        <w:rPr>
          <w:rFonts w:hint="default"/>
          <w:color w:val="auto"/>
          <w:sz w:val="22"/>
        </w:rPr>
      </w:pPr>
      <w:r>
        <w:rPr>
          <w:rFonts w:hint="default"/>
          <w:color w:val="auto"/>
        </w:rPr>
        <w:t>►</w:t>
      </w:r>
      <w:r>
        <w:rPr>
          <w:rFonts w:hint="eastAsia"/>
          <w:color w:val="auto"/>
        </w:rPr>
        <w:t>特定保健指導</w:t>
      </w:r>
    </w:p>
    <w:p>
      <w:pPr>
        <w:pStyle w:val="0"/>
        <w:spacing w:line="360" w:lineRule="exact"/>
        <w:ind w:left="774" w:leftChars="250" w:hanging="214" w:hangingChars="100"/>
        <w:rPr>
          <w:rFonts w:hint="default"/>
          <w:sz w:val="21"/>
        </w:rPr>
      </w:pPr>
      <w:r>
        <w:rPr>
          <w:rFonts w:hint="eastAsia"/>
          <w:sz w:val="21"/>
        </w:rPr>
        <w:t>○コロナ禍の中、感染拡大予防を徹底しながら、特定保健指導対象者のみならず、特定健診受診者へ保健指導を実施し、生活習慣病の発症予防・重症化予防に取り組んできました。今後も、生活習慣病の発症予防・重症化予防に引き続き取り組む事が必要です。</w:t>
      </w:r>
    </w:p>
    <w:p>
      <w:pPr>
        <w:pStyle w:val="0"/>
        <w:spacing w:line="360" w:lineRule="exact"/>
        <w:ind w:left="774" w:leftChars="250" w:hanging="214" w:hangingChars="100"/>
        <w:rPr>
          <w:rFonts w:hint="default"/>
          <w:sz w:val="21"/>
        </w:rPr>
      </w:pPr>
    </w:p>
    <w:p>
      <w:pPr>
        <w:pStyle w:val="84"/>
        <w:rPr>
          <w:rFonts w:hint="default"/>
          <w:color w:val="auto"/>
          <w:sz w:val="22"/>
        </w:rPr>
      </w:pPr>
      <w:r>
        <w:rPr>
          <w:rFonts w:hint="default"/>
          <w:color w:val="auto"/>
        </w:rPr>
        <w:t>►</w:t>
      </w:r>
      <w:r>
        <w:rPr>
          <w:rFonts w:hint="eastAsia"/>
          <w:color w:val="auto"/>
        </w:rPr>
        <w:t>健康づくり普及啓発</w:t>
      </w:r>
    </w:p>
    <w:p>
      <w:pPr>
        <w:pStyle w:val="0"/>
        <w:spacing w:line="360" w:lineRule="exact"/>
        <w:ind w:left="774" w:leftChars="250" w:hanging="214" w:hangingChars="100"/>
        <w:rPr>
          <w:rFonts w:hint="default"/>
          <w:sz w:val="21"/>
        </w:rPr>
      </w:pPr>
      <w:r>
        <w:rPr>
          <w:rFonts w:hint="eastAsia"/>
          <w:sz w:val="21"/>
        </w:rPr>
        <w:t>○町の健康実態に応じ、健康教育を開催しましたが、コロナ禍の中、感染拡大予防のため集団学習の機会は減少しました。</w:t>
      </w:r>
    </w:p>
    <w:p>
      <w:pPr>
        <w:pStyle w:val="0"/>
        <w:spacing w:line="360" w:lineRule="exact"/>
        <w:ind w:left="774" w:leftChars="250" w:hanging="214" w:hangingChars="100"/>
        <w:rPr>
          <w:rFonts w:hint="default"/>
          <w:sz w:val="21"/>
        </w:rPr>
      </w:pPr>
      <w:r>
        <w:rPr>
          <w:rFonts w:hint="eastAsia"/>
          <w:sz w:val="21"/>
        </w:rPr>
        <w:t>○健康づくりへの意識の普及啓発を図るため町広報紙等を利用した情報発信、各種団体への健康教育を実施することが必要です。</w:t>
      </w:r>
    </w:p>
    <w:p>
      <w:pPr>
        <w:pStyle w:val="0"/>
        <w:spacing w:line="360" w:lineRule="exact"/>
        <w:ind w:left="774" w:leftChars="250" w:hanging="214" w:hangingChars="100"/>
        <w:rPr>
          <w:rFonts w:hint="default"/>
          <w:sz w:val="21"/>
        </w:rPr>
      </w:pPr>
    </w:p>
    <w:p>
      <w:pPr>
        <w:pStyle w:val="84"/>
        <w:rPr>
          <w:rFonts w:hint="default"/>
          <w:color w:val="auto"/>
        </w:rPr>
      </w:pPr>
      <w:r>
        <w:rPr>
          <w:rFonts w:hint="default"/>
          <w:color w:val="auto"/>
        </w:rPr>
        <w:t>►</w:t>
      </w:r>
      <w:r>
        <w:rPr>
          <w:rFonts w:hint="eastAsia"/>
          <w:color w:val="auto"/>
        </w:rPr>
        <w:t>乳幼児期からの生活習慣病対策</w:t>
      </w:r>
    </w:p>
    <w:p>
      <w:pPr>
        <w:pStyle w:val="0"/>
        <w:ind w:left="662" w:leftChars="200" w:hanging="214" w:hangingChars="100"/>
        <w:rPr>
          <w:rFonts w:hint="default"/>
          <w:sz w:val="21"/>
        </w:rPr>
      </w:pPr>
      <w:r>
        <w:rPr>
          <w:rFonts w:hint="eastAsia"/>
          <w:sz w:val="21"/>
        </w:rPr>
        <w:t>○乳幼児期からの生活習慣病予防の視点で各種母子保健事業に取り組んできました。また、学童期においても生活習慣病予防健診を開始し、その結果をもとに学童期の健康実態に町内学校養護教諭と情報共有しました。</w:t>
      </w:r>
    </w:p>
    <w:p>
      <w:pPr>
        <w:pStyle w:val="0"/>
        <w:ind w:left="662" w:leftChars="200" w:hanging="214" w:hangingChars="100"/>
        <w:rPr>
          <w:rFonts w:hint="default"/>
          <w:sz w:val="21"/>
        </w:rPr>
      </w:pPr>
      <w:r>
        <w:rPr>
          <w:rFonts w:hint="eastAsia"/>
          <w:sz w:val="21"/>
        </w:rPr>
        <w:t>○今後も母子保健事業や学童期の生活習慣病予防健診を通し健康実態を情報共有していくことが必要です。</w:t>
      </w:r>
    </w:p>
    <w:p>
      <w:pPr>
        <w:pStyle w:val="0"/>
        <w:ind w:left="672" w:leftChars="200" w:hanging="224" w:hangingChars="100"/>
        <w:rPr>
          <w:rFonts w:hint="default" w:ascii="ＭＳ ゴシック" w:hAnsi="ＭＳ ゴシック" w:eastAsia="ＭＳ ゴシック"/>
        </w:rPr>
      </w:pPr>
    </w:p>
    <w:p>
      <w:pPr>
        <w:pStyle w:val="0"/>
        <w:widowControl w:val="1"/>
        <w:jc w:val="left"/>
        <w:rPr>
          <w:rFonts w:hint="default" w:ascii="ＭＳ ゴシック" w:hAnsi="ＭＳ ゴシック" w:eastAsia="ＭＳ ゴシック"/>
        </w:rPr>
      </w:pPr>
    </w:p>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214"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91"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92"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93"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94"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266;" coordsize="6044565,219710" coordorigin="0,0" o:spid="_x0000_s1191" o:allowincell="t" o:allowoverlap="t">
                <v:roundrect id="今後の取り組み_四角（灰）" style="height:219710;width:6044565;top:0;left:0;position:absolute;" o:spid="_x0000_s1192"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93"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94"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eastAsia"/>
        </w:rPr>
        <w:t>【施策の基本的な考え方】</w:t>
      </w:r>
    </w:p>
    <w:p>
      <w:pPr>
        <w:pStyle w:val="0"/>
        <w:ind w:left="448" w:leftChars="200" w:firstLine="214" w:firstLineChars="100"/>
        <w:rPr>
          <w:rFonts w:hint="default"/>
          <w:sz w:val="21"/>
        </w:rPr>
      </w:pPr>
      <w:r>
        <w:rPr>
          <w:rFonts w:hint="eastAsia"/>
          <w:sz w:val="21"/>
        </w:rPr>
        <w:t>生活習慣病等に起因する障がいの発生を防ぐために、住民一人ひとりが自らの健康を意識し、主体的に健康づくりに取り組むことができるよう、健康づくりの動機付けやきっかけづくり、必要な情報の提供及び知識の普及啓発を図ります。また、特定健康診査受診者の増大と特定健康診査による疾病の早期発見、早期の適正治療を促進するとともに、健康管理に関する相談・指導の強化を図ります。さらに、生活習慣病は長年の生活習慣が影響するため、学童期からの生活習慣病の予防等の対策に取り組み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①特定健康診査受診率向上</w:t>
      </w:r>
    </w:p>
    <w:p>
      <w:pPr>
        <w:pStyle w:val="0"/>
        <w:ind w:left="886" w:leftChars="300" w:hanging="214" w:hangingChars="100"/>
        <w:rPr>
          <w:rFonts w:hint="default"/>
          <w:sz w:val="21"/>
        </w:rPr>
      </w:pPr>
      <w:r>
        <w:rPr>
          <w:rFonts w:hint="eastAsia"/>
          <w:sz w:val="21"/>
        </w:rPr>
        <w:t>・特定健康診査の受診者の増を図るために、広報や各種保健事業を通して、特定健康診査の大切さについて地域への啓発を図ります。</w:t>
      </w:r>
    </w:p>
    <w:p>
      <w:pPr>
        <w:pStyle w:val="0"/>
        <w:ind w:left="886" w:leftChars="300" w:hanging="214" w:hangingChars="100"/>
        <w:rPr>
          <w:rFonts w:hint="default"/>
          <w:sz w:val="21"/>
        </w:rPr>
      </w:pPr>
      <w:r>
        <w:rPr>
          <w:rFonts w:hint="eastAsia"/>
          <w:sz w:val="21"/>
        </w:rPr>
        <w:t>・</w:t>
      </w:r>
      <w:r>
        <w:rPr>
          <w:rFonts w:hint="default"/>
          <w:sz w:val="21"/>
        </w:rPr>
        <w:t>医療機関と連携し</w:t>
      </w:r>
      <w:r>
        <w:rPr>
          <w:rFonts w:hint="eastAsia"/>
          <w:sz w:val="21"/>
        </w:rPr>
        <w:t>、</w:t>
      </w:r>
      <w:r>
        <w:rPr>
          <w:rFonts w:hint="default"/>
          <w:sz w:val="21"/>
        </w:rPr>
        <w:t>通院者への健診受診勧奨を行い、既存の事業効果</w:t>
      </w:r>
      <w:r>
        <w:rPr>
          <w:rFonts w:hint="default"/>
          <w:sz w:val="21"/>
        </w:rPr>
        <w:t>(</w:t>
      </w:r>
      <w:r>
        <w:rPr>
          <w:rFonts w:hint="eastAsia"/>
          <w:sz w:val="21"/>
        </w:rPr>
        <w:t>ＡＩ</w:t>
      </w:r>
      <w:r>
        <w:rPr>
          <w:rFonts w:hint="default"/>
          <w:sz w:val="21"/>
        </w:rPr>
        <w:t>を活用した受診勧奨事業など</w:t>
      </w:r>
      <w:r>
        <w:rPr>
          <w:rFonts w:hint="default"/>
          <w:sz w:val="21"/>
        </w:rPr>
        <w:t>)</w:t>
      </w:r>
      <w:r>
        <w:rPr>
          <w:rFonts w:hint="default"/>
          <w:sz w:val="21"/>
        </w:rPr>
        <w:t>を検証しながら、Ｔポイントに替わりお米券を進呈するなど、受診率の向上に取り組んでいきます。</w:t>
      </w:r>
    </w:p>
    <w:p>
      <w:pPr>
        <w:pStyle w:val="0"/>
        <w:ind w:left="886" w:leftChars="300" w:hanging="214" w:hangingChars="100"/>
        <w:rPr>
          <w:rFonts w:hint="default"/>
          <w:sz w:val="21"/>
        </w:rPr>
      </w:pPr>
      <w:r>
        <w:rPr>
          <w:rFonts w:hint="eastAsia"/>
          <w:sz w:val="21"/>
        </w:rPr>
        <w:t>・働き盛りの人で、平日や昼間に特定健康診査に行くことができない人のために、受診しやすいよう、今後も日曜特定健康診査やナイト特定健康診査を実施します。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②特定保健指導の充実</w:t>
      </w:r>
    </w:p>
    <w:p>
      <w:pPr>
        <w:pStyle w:val="0"/>
        <w:ind w:left="886" w:leftChars="300" w:hanging="214" w:hangingChars="100"/>
        <w:rPr>
          <w:rFonts w:hint="default"/>
          <w:sz w:val="21"/>
        </w:rPr>
      </w:pPr>
      <w:r>
        <w:rPr>
          <w:rFonts w:hint="eastAsia"/>
          <w:sz w:val="21"/>
        </w:rPr>
        <w:t>・特定保健指導の対象者が身体の状態と生活習慣との関係を理解し、生活習慣の改善につながるよう、今後も特定健康診査の結果を直接手渡すとともに、保健師・管理栄養士による結果説明と必要な保健指導や栄養指導を行います。</w:t>
      </w:r>
    </w:p>
    <w:p>
      <w:pPr>
        <w:pStyle w:val="0"/>
        <w:ind w:left="886" w:leftChars="300" w:hanging="214" w:hangingChars="100"/>
        <w:rPr>
          <w:rFonts w:hint="default"/>
          <w:sz w:val="21"/>
        </w:rPr>
      </w:pPr>
      <w:r>
        <w:rPr>
          <w:rFonts w:hint="eastAsia"/>
          <w:sz w:val="21"/>
        </w:rPr>
        <w:t>・また、特定保健指導対象者以外の方への保健指導も実施し、生活習慣病発症予防・重症化予防を推進します。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③健康づくり普及啓発活動の推進</w:t>
      </w:r>
    </w:p>
    <w:p>
      <w:pPr>
        <w:pStyle w:val="0"/>
        <w:ind w:left="886" w:leftChars="300" w:hanging="214" w:hangingChars="100"/>
        <w:rPr>
          <w:rFonts w:hint="default"/>
          <w:sz w:val="21"/>
        </w:rPr>
      </w:pPr>
      <w:r>
        <w:rPr>
          <w:rFonts w:hint="eastAsia"/>
          <w:sz w:val="21"/>
        </w:rPr>
        <w:t>・健康づくりの意識の啓発を図るために、今後も町の広報紙や健康に関する情報の提供や各種団体への講話及び特定健診の結果に基づき、町の健康実態に応じた学習会に取り組んでいきます。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④乳幼児期からの生活習慣病対策の推進</w:t>
      </w:r>
    </w:p>
    <w:p>
      <w:pPr>
        <w:pStyle w:val="0"/>
        <w:ind w:left="886" w:leftChars="300" w:hanging="214" w:hangingChars="100"/>
        <w:rPr>
          <w:rFonts w:hint="default"/>
          <w:sz w:val="21"/>
        </w:rPr>
      </w:pPr>
      <w:r>
        <w:rPr>
          <w:rFonts w:hint="eastAsia"/>
          <w:sz w:val="21"/>
        </w:rPr>
        <w:t>・子どもの頃から将来的な障がいの要因となる生活習慣病を予防するために、乳幼児期から望ましい生活習慣が確立されるよう、広報や各種保健事業を通して保護者への意識啓発を図ります。</w:t>
      </w:r>
    </w:p>
    <w:p>
      <w:pPr>
        <w:pStyle w:val="0"/>
        <w:ind w:left="886" w:leftChars="300" w:hanging="214" w:hangingChars="100"/>
        <w:rPr>
          <w:rFonts w:hint="default"/>
          <w:sz w:val="21"/>
        </w:rPr>
      </w:pPr>
      <w:r>
        <w:rPr>
          <w:rFonts w:hint="eastAsia"/>
          <w:sz w:val="21"/>
        </w:rPr>
        <w:t>・小、中学校と連携しながら、学童期の生活習慣について、今後も実態の把握と情報を共有し、生活習慣病予防に向けた必要な対策を講じていきます。</w:t>
      </w:r>
    </w:p>
    <w:p>
      <w:pPr>
        <w:pStyle w:val="0"/>
        <w:ind w:left="886" w:leftChars="300" w:hanging="214" w:hangingChars="100"/>
        <w:rPr>
          <w:rFonts w:hint="default"/>
          <w:sz w:val="21"/>
        </w:rPr>
      </w:pPr>
      <w:r>
        <w:rPr>
          <w:rFonts w:hint="default"/>
          <w:sz w:val="21"/>
        </w:rPr>
        <w:br w:type="page"/>
      </w:r>
    </w:p>
    <w:p>
      <w:pPr>
        <w:pStyle w:val="22"/>
        <w:spacing w:after="111" w:afterLines="0" w:afterAutospacing="0"/>
        <w:rPr>
          <w:rFonts w:hint="default"/>
        </w:rPr>
      </w:pPr>
      <w:bookmarkStart w:id="130" w:name="_Toc154411482"/>
      <w:r>
        <w:rPr>
          <w:rFonts w:hint="eastAsia"/>
        </w:rPr>
        <w:t>（３）精神保健福祉の充実</w:t>
      </w:r>
      <w:bookmarkEnd w:id="130"/>
    </w:p>
    <w:p>
      <w:pPr>
        <w:pStyle w:val="82"/>
        <w:rPr>
          <w:rFonts w:hint="default"/>
        </w:rPr>
      </w:pPr>
      <w:r>
        <w:rPr>
          <w:rFonts w:hint="eastAsia"/>
        </w:rPr>
        <w:t>【現状と課題】</w:t>
      </w:r>
    </w:p>
    <w:p>
      <w:pPr>
        <w:pStyle w:val="84"/>
        <w:rPr>
          <w:rFonts w:hint="default"/>
          <w:color w:val="auto"/>
        </w:rPr>
      </w:pPr>
      <w:r>
        <w:rPr>
          <w:rFonts w:hint="default"/>
          <w:color w:val="auto"/>
        </w:rPr>
        <w:t>►</w:t>
      </w:r>
      <w:r>
        <w:rPr>
          <w:rFonts w:hint="eastAsia"/>
          <w:color w:val="auto"/>
        </w:rPr>
        <w:t>相談支援</w:t>
      </w:r>
    </w:p>
    <w:p>
      <w:pPr>
        <w:pStyle w:val="84"/>
        <w:rPr>
          <w:rFonts w:hint="default"/>
          <w:color w:val="auto"/>
          <w:sz w:val="22"/>
        </w:rPr>
      </w:pPr>
      <w:bookmarkStart w:id="131" w:name="_Hlk156077194"/>
      <w:r>
        <w:rPr>
          <w:rFonts w:hint="eastAsia"/>
          <w:color w:val="auto"/>
        </w:rPr>
        <w:t>○精神保健福祉に関する行政窓口における相談においては、本人や家族のみならず、地域住民からの相談にも対応しており、保健所や医療機関、障害福祉サービス事業所、地域住民とも連携をはかり、家族支援も視野に入れた相談支援に取り組んでいます。</w:t>
      </w:r>
    </w:p>
    <w:p>
      <w:pPr>
        <w:pStyle w:val="0"/>
        <w:ind w:left="774" w:leftChars="250" w:hanging="214" w:hangingChars="100"/>
        <w:rPr>
          <w:rFonts w:hint="default"/>
          <w:sz w:val="21"/>
        </w:rPr>
      </w:pPr>
      <w:bookmarkEnd w:id="131"/>
    </w:p>
    <w:p>
      <w:pPr>
        <w:pStyle w:val="84"/>
        <w:rPr>
          <w:rFonts w:hint="default"/>
          <w:color w:val="auto"/>
          <w:sz w:val="22"/>
        </w:rPr>
      </w:pPr>
      <w:r>
        <w:rPr>
          <w:rFonts w:hint="default"/>
          <w:color w:val="auto"/>
        </w:rPr>
        <w:t>►</w:t>
      </w:r>
      <w:r>
        <w:rPr>
          <w:rFonts w:hint="eastAsia"/>
          <w:color w:val="auto"/>
        </w:rPr>
        <w:t>日中活動への支援</w:t>
      </w:r>
    </w:p>
    <w:p>
      <w:pPr>
        <w:pStyle w:val="0"/>
        <w:ind w:left="774" w:leftChars="250" w:hanging="214" w:hangingChars="100"/>
        <w:rPr>
          <w:rFonts w:hint="default"/>
          <w:sz w:val="21"/>
        </w:rPr>
      </w:pPr>
      <w:r>
        <w:rPr>
          <w:rFonts w:hint="eastAsia"/>
          <w:sz w:val="21"/>
        </w:rPr>
        <w:t>○本人の希望に応じて日中活動の場の案内や、必要に応じて活動の場へ同行支援をする等、つなぎ支援を行っています。</w:t>
      </w:r>
    </w:p>
    <w:p>
      <w:pPr>
        <w:pStyle w:val="0"/>
        <w:ind w:left="774" w:leftChars="250" w:hanging="214" w:hangingChars="100"/>
        <w:rPr>
          <w:rFonts w:hint="default"/>
          <w:sz w:val="21"/>
        </w:rPr>
      </w:pPr>
    </w:p>
    <w:p>
      <w:pPr>
        <w:pStyle w:val="84"/>
        <w:rPr>
          <w:rFonts w:hint="default"/>
          <w:color w:val="auto"/>
          <w:sz w:val="22"/>
        </w:rPr>
      </w:pPr>
      <w:r>
        <w:rPr>
          <w:rFonts w:hint="default"/>
          <w:color w:val="auto"/>
        </w:rPr>
        <w:t>►</w:t>
      </w:r>
      <w:r>
        <w:rPr>
          <w:rFonts w:hint="eastAsia"/>
          <w:color w:val="auto"/>
        </w:rPr>
        <w:t>関係者による協議の場</w:t>
      </w:r>
    </w:p>
    <w:p>
      <w:pPr>
        <w:pStyle w:val="0"/>
        <w:ind w:left="774" w:leftChars="250" w:hanging="214" w:hangingChars="100"/>
        <w:rPr>
          <w:rFonts w:hint="default"/>
          <w:sz w:val="21"/>
        </w:rPr>
      </w:pPr>
      <w:r>
        <w:rPr>
          <w:rFonts w:hint="eastAsia"/>
          <w:sz w:val="21"/>
        </w:rPr>
        <w:t>○精神科病院からの参加依頼や精神障がい者や家族からの希望により、基幹相談支援センターや委託相談支援事業所が入院中から相談を受け、退院前カンファレンスへの参加等を行い、退院後の生活の安定にむけた支援を行っています。</w:t>
      </w:r>
    </w:p>
    <w:p>
      <w:pPr>
        <w:pStyle w:val="0"/>
        <w:ind w:left="774" w:leftChars="250" w:hanging="214" w:hangingChars="100"/>
        <w:rPr>
          <w:rFonts w:hint="default"/>
          <w:sz w:val="21"/>
        </w:rPr>
      </w:pPr>
      <w:r>
        <w:rPr>
          <w:rFonts w:hint="eastAsia"/>
          <w:sz w:val="21"/>
        </w:rPr>
        <w:t>○関係者による協議の場の開催については取り組めていませんが、相談支援部会において、障がい者の地域移行に関する事例検討を令和３年度から実施しています。</w:t>
      </w: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218"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95"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196"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97"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198"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262;" coordsize="6044565,219710" coordorigin="0,0" o:spid="_x0000_s1195" o:allowincell="t" o:allowoverlap="t">
                <v:roundrect id="今後の取り組み_四角（灰）" style="height:219710;width:6044565;top:0;left:0;position:absolute;" o:spid="_x0000_s1196"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197"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198"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eastAsia"/>
        </w:rPr>
        <w:t>【施策の基本的な考え方】</w:t>
      </w:r>
    </w:p>
    <w:p>
      <w:pPr>
        <w:pStyle w:val="0"/>
        <w:ind w:left="448" w:leftChars="200" w:firstLine="214" w:firstLineChars="100"/>
        <w:rPr>
          <w:rFonts w:hint="default"/>
          <w:sz w:val="21"/>
        </w:rPr>
      </w:pPr>
      <w:r>
        <w:rPr>
          <w:rFonts w:hint="eastAsia"/>
          <w:sz w:val="21"/>
        </w:rPr>
        <w:t>精神疾患に対する早期の適切な相談支援、医療受診等につながるよう、精神疾患に関する地域への理解啓発を進めます。また、保健・福祉・医療等の関係機関と緊密な連携を図り、精神疾患者の日常生活の安定及び社会復帰を目指して、日中等活動の場の提供等地域生活を支援するほか、精神障がい者に対応した地域包括ケアシステムの構築を目指します。</w:t>
      </w:r>
    </w:p>
    <w:p>
      <w:pPr>
        <w:pStyle w:val="0"/>
        <w:ind w:left="448" w:leftChars="200" w:firstLine="214" w:firstLineChars="100"/>
        <w:rPr>
          <w:rFonts w:hint="default"/>
          <w:sz w:val="21"/>
        </w:rPr>
      </w:pPr>
    </w:p>
    <w:p>
      <w:pPr>
        <w:pStyle w:val="83"/>
        <w:ind w:left="448"/>
        <w:rPr>
          <w:rFonts w:hint="default"/>
          <w:color w:val="auto"/>
        </w:rPr>
      </w:pPr>
      <w:r>
        <w:rPr>
          <w:rFonts w:hint="eastAsia"/>
          <w:color w:val="auto"/>
        </w:rPr>
        <w:t>①理解啓発と相談支援の充実</w:t>
      </w:r>
    </w:p>
    <w:p>
      <w:pPr>
        <w:pStyle w:val="0"/>
        <w:ind w:left="886" w:leftChars="300" w:hanging="214" w:hangingChars="100"/>
        <w:rPr>
          <w:rFonts w:hint="default"/>
          <w:sz w:val="21"/>
        </w:rPr>
      </w:pPr>
      <w:r>
        <w:rPr>
          <w:rFonts w:hint="eastAsia"/>
          <w:sz w:val="21"/>
        </w:rPr>
        <w:t>・精神疾患は誰にでも起こりうる疾患であること、また、適切な治療により症状の安定化を図ることが可能な疾患であること、早期の気づきと相談支援の必要性などについて、あらゆる機会を通じて、精神疾患に関する地域への理解啓発を積極的に推進します。</w:t>
      </w:r>
    </w:p>
    <w:p>
      <w:pPr>
        <w:pStyle w:val="0"/>
        <w:ind w:left="886" w:leftChars="300" w:hanging="214" w:hangingChars="100"/>
        <w:rPr>
          <w:rFonts w:hint="default"/>
          <w:sz w:val="21"/>
        </w:rPr>
      </w:pPr>
      <w:r>
        <w:rPr>
          <w:rFonts w:hint="eastAsia"/>
          <w:sz w:val="21"/>
        </w:rPr>
        <w:t>・地域の相談窓口の周知徹底を図るとともに、関係機関と連携した相談支援体制の充実を図り、家族等と連携した早期の医療受診や日常生活及び社会生活の自立を支援します。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②日中活動の支援の推進</w:t>
      </w:r>
    </w:p>
    <w:p>
      <w:pPr>
        <w:pStyle w:val="0"/>
        <w:ind w:left="886" w:leftChars="300" w:hanging="214" w:hangingChars="100"/>
        <w:rPr>
          <w:rFonts w:hint="default"/>
          <w:sz w:val="21"/>
        </w:rPr>
      </w:pPr>
      <w:r>
        <w:rPr>
          <w:rFonts w:hint="eastAsia"/>
          <w:sz w:val="21"/>
        </w:rPr>
        <w:t>・精神障がい者が自宅に引きこもることなく、社会参加の意欲が高まるよう、委託相談支援事業所、計画相談支援事業所、訪問系サービス事業所等と連携し、日中活動の場の紹介と利用支援を行うほか、地域活動への参加を視野に入れた相談支援を行います。</w:t>
      </w:r>
    </w:p>
    <w:p>
      <w:pPr>
        <w:pStyle w:val="0"/>
        <w:ind w:left="886" w:leftChars="300" w:hanging="214" w:hangingChars="100"/>
        <w:rPr>
          <w:rFonts w:hint="default"/>
          <w:sz w:val="21"/>
        </w:rPr>
      </w:pPr>
      <w:r>
        <w:rPr>
          <w:rFonts w:hint="eastAsia"/>
          <w:sz w:val="21"/>
        </w:rPr>
        <w:t>・日中活動の場への参加が中断することなく、継続していけるようフォローできる体制づくりに取り組みます。</w:t>
      </w:r>
    </w:p>
    <w:p>
      <w:pPr>
        <w:pStyle w:val="0"/>
        <w:ind w:left="672" w:leftChars="300"/>
        <w:rPr>
          <w:rFonts w:hint="default"/>
          <w:sz w:val="21"/>
        </w:rPr>
      </w:pPr>
    </w:p>
    <w:p>
      <w:pPr>
        <w:pStyle w:val="83"/>
        <w:ind w:left="448"/>
        <w:rPr>
          <w:rFonts w:hint="default"/>
          <w:color w:val="auto"/>
        </w:rPr>
      </w:pPr>
      <w:r>
        <w:rPr>
          <w:rFonts w:hint="eastAsia"/>
          <w:color w:val="auto"/>
        </w:rPr>
        <w:t>③退院者の地域生活支援の推進</w:t>
      </w:r>
    </w:p>
    <w:p>
      <w:pPr>
        <w:pStyle w:val="0"/>
        <w:ind w:left="886" w:leftChars="300" w:hanging="214" w:hangingChars="100"/>
        <w:rPr>
          <w:rFonts w:hint="default"/>
          <w:sz w:val="21"/>
        </w:rPr>
      </w:pPr>
      <w:r>
        <w:rPr>
          <w:rFonts w:hint="eastAsia"/>
          <w:sz w:val="21"/>
        </w:rPr>
        <w:t>・精神科医療機関を退院後、地域で自立した生活が送れるよう、医療機関が主催する退院時調整会議や退院後のケース会議に参加する等、必要な支援を行います。また、生活上の課題に応じて関係機関から必要な支援が受けられるよう調整を行います。さらに、今後は地域相談支援事業所</w:t>
      </w:r>
      <w:r>
        <w:rPr>
          <w:rFonts w:hint="eastAsia"/>
          <w:sz w:val="21"/>
        </w:rPr>
        <w:t>(</w:t>
      </w:r>
      <w:r>
        <w:rPr>
          <w:rFonts w:hint="eastAsia"/>
          <w:sz w:val="21"/>
        </w:rPr>
        <w:t>地域移行支援・地域定着支援</w:t>
      </w:r>
      <w:r>
        <w:rPr>
          <w:rFonts w:hint="eastAsia"/>
          <w:sz w:val="21"/>
        </w:rPr>
        <w:t>)</w:t>
      </w:r>
      <w:r>
        <w:rPr>
          <w:rFonts w:hint="eastAsia"/>
          <w:sz w:val="21"/>
        </w:rPr>
        <w:t>との連携を図ります。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④関係者による協議の推進</w:t>
      </w:r>
    </w:p>
    <w:p>
      <w:pPr>
        <w:pStyle w:val="0"/>
        <w:ind w:left="886" w:leftChars="300" w:hanging="214" w:hangingChars="100"/>
        <w:rPr>
          <w:rFonts w:hint="default"/>
          <w:sz w:val="21"/>
        </w:rPr>
      </w:pPr>
      <w:r>
        <w:rPr>
          <w:rFonts w:hint="eastAsia"/>
          <w:sz w:val="21"/>
        </w:rPr>
        <w:t>・精神障がい者が地域の一員として、安心して自分らしい暮らしをすることができるよう、精神障がい者にも対応した地域包括ケアシステムの構築を目指して、保健・福祉・医療関係者による協議の場を継続的に開催します。</w:t>
      </w:r>
    </w:p>
    <w:p>
      <w:pPr>
        <w:pStyle w:val="0"/>
        <w:ind w:left="886" w:leftChars="300" w:hanging="214" w:hangingChars="100"/>
        <w:rPr>
          <w:rFonts w:hint="default"/>
          <w:sz w:val="21"/>
        </w:rPr>
      </w:pPr>
    </w:p>
    <w:p>
      <w:pPr>
        <w:pStyle w:val="0"/>
        <w:widowControl w:val="1"/>
        <w:jc w:val="left"/>
        <w:rPr>
          <w:rFonts w:hint="default"/>
          <w:sz w:val="21"/>
        </w:rPr>
      </w:pPr>
      <w:bookmarkStart w:id="132" w:name="_Toc346185255"/>
      <w:bookmarkStart w:id="133" w:name="_Toc416340563"/>
      <w:bookmarkStart w:id="134" w:name="_Toc505592295"/>
      <w:bookmarkStart w:id="135" w:name="_Toc62831673"/>
      <w:r>
        <w:rPr>
          <w:rFonts w:hint="default"/>
          <w:sz w:val="21"/>
        </w:rPr>
        <w:br w:type="page"/>
      </w:r>
    </w:p>
    <w:p>
      <w:pPr>
        <w:pStyle w:val="23"/>
        <w:rPr>
          <w:rFonts w:hint="default"/>
        </w:rPr>
      </w:pPr>
      <w:bookmarkStart w:id="136" w:name="_Toc154411483"/>
      <w:bookmarkStart w:id="137" w:name="_Toc158300418"/>
      <w:r>
        <w:rPr>
          <w:rFonts w:hint="eastAsia"/>
        </w:rPr>
        <w:t>２</w:t>
      </w:r>
      <w:r>
        <w:rPr>
          <w:rFonts w:hint="default"/>
        </w:rPr>
        <w:t>．</w:t>
      </w:r>
      <w:r>
        <w:rPr>
          <w:rFonts w:hint="eastAsia"/>
        </w:rPr>
        <w:t>自立生活支援の充実</w:t>
      </w:r>
      <w:bookmarkEnd w:id="136"/>
      <w:bookmarkEnd w:id="137"/>
      <w:bookmarkEnd w:id="132"/>
      <w:bookmarkEnd w:id="133"/>
      <w:bookmarkEnd w:id="134"/>
      <w:bookmarkEnd w:id="135"/>
    </w:p>
    <w:p>
      <w:pPr>
        <w:pStyle w:val="22"/>
        <w:spacing w:after="111" w:afterLines="0" w:afterAutospacing="0"/>
        <w:rPr>
          <w:rFonts w:hint="default"/>
        </w:rPr>
      </w:pPr>
      <w:bookmarkStart w:id="138" w:name="_Toc154411484"/>
      <w:r>
        <w:rPr>
          <w:rFonts w:hint="eastAsia"/>
        </w:rPr>
        <w:t>（１）障害福祉サービス等の推進</w:t>
      </w:r>
      <w:bookmarkEnd w:id="138"/>
    </w:p>
    <w:p>
      <w:pPr>
        <w:pStyle w:val="82"/>
        <w:rPr>
          <w:rFonts w:hint="default"/>
        </w:rPr>
      </w:pPr>
      <w:r>
        <w:rPr>
          <w:rFonts w:hint="eastAsia"/>
        </w:rPr>
        <w:t>【現状と課題】</w:t>
      </w:r>
    </w:p>
    <w:p>
      <w:pPr>
        <w:pStyle w:val="84"/>
        <w:rPr>
          <w:rFonts w:hint="default"/>
          <w:color w:val="auto"/>
          <w:sz w:val="22"/>
        </w:rPr>
      </w:pPr>
      <w:r>
        <w:rPr>
          <w:rFonts w:hint="default"/>
          <w:color w:val="auto"/>
        </w:rPr>
        <w:t>►</w:t>
      </w:r>
      <w:r>
        <w:rPr>
          <w:rFonts w:hint="eastAsia"/>
          <w:color w:val="auto"/>
        </w:rPr>
        <w:t>障害福祉サービス</w:t>
      </w:r>
    </w:p>
    <w:p>
      <w:pPr>
        <w:pStyle w:val="0"/>
        <w:ind w:left="774" w:leftChars="250" w:hanging="214" w:hangingChars="100"/>
        <w:rPr>
          <w:rFonts w:hint="default"/>
          <w:sz w:val="21"/>
        </w:rPr>
      </w:pPr>
      <w:r>
        <w:rPr>
          <w:rFonts w:hint="eastAsia"/>
          <w:sz w:val="21"/>
        </w:rPr>
        <w:t>○委託相談支援事業所や計画相談支援事業所が利用者のニーズを把握し、サービス提供事業所と連携したサービスの利用支援を行い、障がい者の日常生活を支えています。</w:t>
      </w:r>
    </w:p>
    <w:p>
      <w:pPr>
        <w:pStyle w:val="0"/>
        <w:ind w:left="774" w:leftChars="250" w:hanging="214" w:hangingChars="100"/>
        <w:rPr>
          <w:rFonts w:hint="default"/>
          <w:sz w:val="21"/>
        </w:rPr>
      </w:pPr>
      <w:r>
        <w:rPr>
          <w:rFonts w:hint="eastAsia"/>
          <w:sz w:val="21"/>
        </w:rPr>
        <w:t>○サービス利用者は年々増加する中、町内外の計画相談支援事業所の協力もあり、利用希望者はサービス利用に結びついています。モニタリング等から利用者の変化を確認し、計画相談員と連携を図りながら適切なサービス利用につながるよう取り組んでいます。</w:t>
      </w:r>
    </w:p>
    <w:p>
      <w:pPr>
        <w:pStyle w:val="0"/>
        <w:ind w:left="774" w:leftChars="250" w:hanging="214" w:hangingChars="100"/>
        <w:rPr>
          <w:rFonts w:hint="default"/>
          <w:sz w:val="21"/>
        </w:rPr>
      </w:pPr>
      <w:r>
        <w:rPr>
          <w:rFonts w:hint="eastAsia"/>
          <w:sz w:val="21"/>
        </w:rPr>
        <w:t>○令和４年度に虐待防止に関する学習会を障害福祉サービス事業所向けに実施しました。</w:t>
      </w:r>
    </w:p>
    <w:p>
      <w:pPr>
        <w:pStyle w:val="0"/>
        <w:ind w:left="774" w:leftChars="250" w:hanging="214" w:hangingChars="100"/>
        <w:rPr>
          <w:rFonts w:hint="default"/>
          <w:sz w:val="21"/>
        </w:rPr>
      </w:pPr>
    </w:p>
    <w:p>
      <w:pPr>
        <w:pStyle w:val="84"/>
        <w:rPr>
          <w:rFonts w:hint="default"/>
          <w:color w:val="auto"/>
          <w:sz w:val="22"/>
        </w:rPr>
      </w:pPr>
      <w:r>
        <w:rPr>
          <w:rFonts w:hint="default"/>
          <w:color w:val="auto"/>
        </w:rPr>
        <w:t>►</w:t>
      </w:r>
      <w:r>
        <w:rPr>
          <w:rFonts w:hint="eastAsia"/>
          <w:color w:val="auto"/>
        </w:rPr>
        <w:t>地域生活支援拠点等の整備</w:t>
      </w:r>
    </w:p>
    <w:p>
      <w:pPr>
        <w:pStyle w:val="0"/>
        <w:ind w:left="774" w:leftChars="250" w:hanging="214" w:hangingChars="100"/>
        <w:rPr>
          <w:rFonts w:hint="default"/>
          <w:sz w:val="21"/>
        </w:rPr>
      </w:pPr>
      <w:r>
        <w:rPr>
          <w:rFonts w:hint="eastAsia"/>
          <w:sz w:val="21"/>
        </w:rPr>
        <w:t>○令和３年度から自立支援協議会の専門部会として拠点事業の取り組みを検討する部会を立ち上げ協議を行なってきました。令和５年４月から事業を開始しています。今後は事業所や利用者の登録を進め、事業の推進に向けてさらに協議を進めて行く必要があります。</w:t>
      </w:r>
    </w:p>
    <w:p>
      <w:pPr>
        <w:pStyle w:val="0"/>
        <w:ind w:left="784" w:leftChars="250" w:hanging="224" w:hangingChars="100"/>
        <w:rPr>
          <w:rFonts w:hint="default" w:ascii="ＭＳ ゴシック" w:hAnsi="ＭＳ ゴシック" w:eastAsia="ＭＳ ゴシック"/>
        </w:rPr>
      </w:pPr>
    </w:p>
    <w:p>
      <w:pPr>
        <w:pStyle w:val="0"/>
        <w:ind w:left="224" w:leftChars="100"/>
        <w:rPr>
          <w:rFonts w:hint="default"/>
          <w:sz w:val="21"/>
        </w:rPr>
      </w:pPr>
      <w:r>
        <w:rPr>
          <w:rFonts w:hint="eastAsia" w:ascii="ＭＳ ゴシック" w:hAnsi="ＭＳ ゴシック" w:eastAsia="ＭＳ ゴシック"/>
        </w:rPr>
        <w:t>（アンケート調査より）</w:t>
      </w:r>
    </w:p>
    <w:p>
      <w:pPr>
        <w:pStyle w:val="0"/>
        <w:ind w:left="662" w:leftChars="200" w:hanging="214" w:hangingChars="100"/>
        <w:rPr>
          <w:rFonts w:hint="default"/>
          <w:sz w:val="21"/>
        </w:rPr>
      </w:pPr>
      <w:r>
        <w:rPr>
          <w:rFonts w:hint="eastAsia"/>
          <w:sz w:val="21"/>
        </w:rPr>
        <w:t>○主な介助者の悩みとして「本人の将来の介助や暮らし」が</w:t>
      </w:r>
      <w:r>
        <w:rPr>
          <w:rFonts w:hint="eastAsia"/>
          <w:sz w:val="21"/>
        </w:rPr>
        <w:t>45.0</w:t>
      </w:r>
      <w:r>
        <w:rPr>
          <w:rFonts w:hint="eastAsia"/>
          <w:sz w:val="21"/>
        </w:rPr>
        <w:t>％</w:t>
      </w:r>
      <w:r>
        <w:rPr>
          <w:rFonts w:hint="eastAsia"/>
          <w:sz w:val="21"/>
        </w:rPr>
        <w:t>(</w:t>
      </w:r>
      <w:r>
        <w:rPr>
          <w:rFonts w:hint="eastAsia"/>
          <w:sz w:val="21"/>
        </w:rPr>
        <w:t>前回</w:t>
      </w:r>
      <w:r>
        <w:rPr>
          <w:rFonts w:hint="eastAsia"/>
          <w:sz w:val="21"/>
        </w:rPr>
        <w:t>51.0</w:t>
      </w:r>
      <w:r>
        <w:rPr>
          <w:rFonts w:hint="eastAsia"/>
          <w:sz w:val="21"/>
        </w:rPr>
        <w:t>％</w:t>
      </w:r>
      <w:r>
        <w:rPr>
          <w:rFonts w:hint="eastAsia"/>
          <w:sz w:val="21"/>
        </w:rPr>
        <w:t>)</w:t>
      </w:r>
      <w:r>
        <w:rPr>
          <w:rFonts w:hint="eastAsia"/>
          <w:sz w:val="21"/>
        </w:rPr>
        <w:t>と最も高く、障がい者自身も「将来の生活や介助」で悩んでいる割合が</w:t>
      </w:r>
      <w:r>
        <w:rPr>
          <w:rFonts w:hint="eastAsia"/>
          <w:sz w:val="21"/>
        </w:rPr>
        <w:t>26.7</w:t>
      </w:r>
      <w:r>
        <w:rPr>
          <w:rFonts w:hint="eastAsia"/>
          <w:sz w:val="21"/>
        </w:rPr>
        <w:t>％</w:t>
      </w:r>
      <w:r>
        <w:rPr>
          <w:rFonts w:hint="eastAsia"/>
          <w:sz w:val="21"/>
        </w:rPr>
        <w:t>(</w:t>
      </w:r>
      <w:r>
        <w:rPr>
          <w:rFonts w:hint="eastAsia"/>
          <w:sz w:val="21"/>
        </w:rPr>
        <w:t>前回</w:t>
      </w:r>
      <w:r>
        <w:rPr>
          <w:rFonts w:hint="eastAsia"/>
          <w:sz w:val="21"/>
        </w:rPr>
        <w:t>33.3</w:t>
      </w:r>
      <w:r>
        <w:rPr>
          <w:rFonts w:hint="eastAsia"/>
          <w:sz w:val="21"/>
        </w:rPr>
        <w:t>％</w:t>
      </w:r>
      <w:r>
        <w:rPr>
          <w:rFonts w:hint="eastAsia"/>
          <w:sz w:val="21"/>
        </w:rPr>
        <w:t>)</w:t>
      </w:r>
      <w:r>
        <w:rPr>
          <w:rFonts w:hint="eastAsia"/>
          <w:sz w:val="21"/>
        </w:rPr>
        <w:t>と３番目に高くなっています。こうした地域の実情を勘案しながら、本町においても地域生活拠点等の整備充実に向けた取り組みを進める必要があります。</w:t>
      </w: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222"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199"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200"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01"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02"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258;" coordsize="6044565,219710" coordorigin="0,0" o:spid="_x0000_s1199" o:allowincell="t" o:allowoverlap="t">
                <v:roundrect id="今後の取り組み_四角（灰）" style="height:219710;width:6044565;top:0;left:0;position:absolute;" o:spid="_x0000_s1200"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201"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202"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eastAsia"/>
        </w:rPr>
        <w:t>【施策の基本的な考え方】</w:t>
      </w:r>
    </w:p>
    <w:p>
      <w:pPr>
        <w:pStyle w:val="0"/>
        <w:ind w:left="448" w:leftChars="200" w:firstLine="214" w:firstLineChars="100"/>
        <w:rPr>
          <w:rFonts w:hint="default"/>
          <w:sz w:val="21"/>
        </w:rPr>
      </w:pPr>
      <w:r>
        <w:rPr>
          <w:rFonts w:hint="eastAsia"/>
          <w:sz w:val="21"/>
        </w:rPr>
        <w:t>障がい者が希望する生活の実現に向けて、在宅生活を支援するための障害福祉サービス等が適切に利用できるよう、地域の実情に即したサービス提供体制の確保に取り組みます。また、障害者総合支援法の改正の内容と町の実情を勘案して、サービスの拡充に向けた取り組みを進めます。</w:t>
      </w:r>
    </w:p>
    <w:p>
      <w:pPr>
        <w:pStyle w:val="0"/>
        <w:ind w:left="224" w:leftChars="100"/>
        <w:rPr>
          <w:rFonts w:hint="default"/>
          <w:sz w:val="21"/>
        </w:rPr>
      </w:pPr>
    </w:p>
    <w:p>
      <w:pPr>
        <w:pStyle w:val="83"/>
        <w:ind w:left="448"/>
        <w:rPr>
          <w:rFonts w:hint="default"/>
          <w:color w:val="auto"/>
        </w:rPr>
      </w:pPr>
      <w:r>
        <w:rPr>
          <w:rFonts w:hint="eastAsia"/>
          <w:color w:val="auto"/>
        </w:rPr>
        <w:t>①訪問系サービスの充実</w:t>
      </w:r>
    </w:p>
    <w:p>
      <w:pPr>
        <w:pStyle w:val="0"/>
        <w:ind w:left="886" w:leftChars="300" w:hanging="214" w:hangingChars="100"/>
        <w:rPr>
          <w:rFonts w:hint="default"/>
          <w:sz w:val="21"/>
        </w:rPr>
      </w:pPr>
      <w:r>
        <w:rPr>
          <w:rFonts w:hint="eastAsia"/>
          <w:sz w:val="21"/>
        </w:rPr>
        <w:t>・日常生活を営むにあたり支障のある障がい者の在宅生活を支援するために、障がい者のニーズを的確に把握し、ニーズに即した必要な支援が受けられるよう、在宅における介護や外出時の支援、行動に対する危険回避等の訪問系サービスの適切な確保と利用を促します。</w:t>
      </w:r>
    </w:p>
    <w:p>
      <w:pPr>
        <w:pStyle w:val="0"/>
        <w:ind w:left="886" w:leftChars="300" w:hanging="214" w:hangingChars="100"/>
        <w:rPr>
          <w:rFonts w:hint="default"/>
          <w:sz w:val="21"/>
        </w:rPr>
      </w:pPr>
      <w:r>
        <w:rPr>
          <w:rFonts w:hint="eastAsia"/>
          <w:sz w:val="21"/>
        </w:rPr>
        <w:t>・重度訪問介護については医療機関への入院時も一定の利用が可能であるため、利用に際しては事業所や医療機関と必要な調整等を行います。</w:t>
      </w:r>
    </w:p>
    <w:p>
      <w:pPr>
        <w:pStyle w:val="0"/>
        <w:widowControl w:val="1"/>
        <w:jc w:val="left"/>
        <w:rPr>
          <w:rFonts w:hint="default"/>
          <w:sz w:val="21"/>
        </w:rPr>
      </w:pPr>
      <w:r>
        <w:rPr>
          <w:rFonts w:hint="default"/>
          <w:sz w:val="21"/>
        </w:rPr>
        <w:br w:type="page"/>
      </w:r>
    </w:p>
    <w:p>
      <w:pPr>
        <w:pStyle w:val="83"/>
        <w:ind w:left="448"/>
        <w:rPr>
          <w:rFonts w:hint="default"/>
          <w:color w:val="auto"/>
        </w:rPr>
      </w:pPr>
      <w:r>
        <w:rPr>
          <w:rFonts w:hint="eastAsia"/>
          <w:color w:val="auto"/>
        </w:rPr>
        <w:t>②日中活動系サービスの充実</w:t>
      </w:r>
    </w:p>
    <w:p>
      <w:pPr>
        <w:pStyle w:val="0"/>
        <w:ind w:left="886" w:leftChars="300" w:hanging="214" w:hangingChars="100"/>
        <w:rPr>
          <w:rFonts w:hint="default"/>
          <w:sz w:val="21"/>
        </w:rPr>
      </w:pPr>
      <w:r>
        <w:rPr>
          <w:rFonts w:hint="eastAsia"/>
          <w:sz w:val="21"/>
        </w:rPr>
        <w:t>・障がい者が地域で自分らしく暮らしていくために、ニーズに応じた日中活動の場が選択できるよう、サービス事業所や障がい者支援施設及び医療機関等と連携し、介護、訓練、就労、療養等を提供する日中活動の場の確保を進めます。</w:t>
      </w:r>
    </w:p>
    <w:p>
      <w:pPr>
        <w:pStyle w:val="0"/>
        <w:ind w:left="886" w:leftChars="300" w:hanging="214" w:hangingChars="100"/>
        <w:rPr>
          <w:rFonts w:hint="default"/>
          <w:sz w:val="21"/>
        </w:rPr>
      </w:pPr>
      <w:r>
        <w:rPr>
          <w:rFonts w:hint="eastAsia"/>
          <w:sz w:val="21"/>
        </w:rPr>
        <w:t>・新たに令和６年度より導入される「就労選択支援」サービスについても事業所と連携しながら利用促進を図り、ニーズに応じた就労が提供できるように図ります。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③居住系サービスの充実</w:t>
      </w:r>
    </w:p>
    <w:p>
      <w:pPr>
        <w:pStyle w:val="0"/>
        <w:ind w:left="886" w:leftChars="300" w:hanging="214" w:hangingChars="100"/>
        <w:rPr>
          <w:rFonts w:hint="default"/>
          <w:sz w:val="21"/>
        </w:rPr>
      </w:pPr>
      <w:r>
        <w:rPr>
          <w:rFonts w:hint="eastAsia"/>
          <w:sz w:val="21"/>
        </w:rPr>
        <w:t>・自宅以外で、夜間や休日に日常生活の援助又は介護等が受けられる、共同生活の場や入所施設の場について、障がい者のニーズを的確に把握し、事業所や関係機関と連携して必要なサービス提供体制の確保に取り組みます。</w:t>
      </w:r>
    </w:p>
    <w:p>
      <w:pPr>
        <w:pStyle w:val="0"/>
        <w:ind w:left="886" w:leftChars="300" w:hanging="214" w:hangingChars="100"/>
        <w:rPr>
          <w:rFonts w:hint="default"/>
          <w:sz w:val="21"/>
        </w:rPr>
      </w:pPr>
      <w:r>
        <w:rPr>
          <w:rFonts w:hint="eastAsia"/>
          <w:sz w:val="21"/>
        </w:rPr>
        <w:t>・障がい者支援施設やグループホーム等から、一人暮らしへの移行を希望する障がい者の、地域生活を支援するための「自立生活援助」について、地域の実情を勘案した上で、サービス提供体制の適切な確保に取り組み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④計画相談支援・地域相談支援の推進</w:t>
      </w:r>
    </w:p>
    <w:p>
      <w:pPr>
        <w:pStyle w:val="0"/>
        <w:ind w:left="886" w:leftChars="300" w:hanging="214" w:hangingChars="100"/>
        <w:rPr>
          <w:rFonts w:hint="default"/>
          <w:sz w:val="21"/>
        </w:rPr>
      </w:pPr>
      <w:r>
        <w:rPr>
          <w:rFonts w:hint="eastAsia"/>
          <w:sz w:val="21"/>
        </w:rPr>
        <w:t>・計画相談支援については、サービス利用者の増に対応していけるよう、サービス利用計画作成状況を適時把握し、必要に応じて事業所や関係機関と連携し、計画相談支援の適切な提供体制の確保に取り組みます。</w:t>
      </w:r>
    </w:p>
    <w:p>
      <w:pPr>
        <w:pStyle w:val="0"/>
        <w:ind w:left="886" w:leftChars="300" w:hanging="214" w:hangingChars="100"/>
        <w:rPr>
          <w:rFonts w:hint="default"/>
          <w:sz w:val="21"/>
        </w:rPr>
      </w:pPr>
      <w:r>
        <w:rPr>
          <w:rFonts w:hint="eastAsia"/>
          <w:sz w:val="21"/>
        </w:rPr>
        <w:t>・地域移行支援、地域定着支援については、精神科医療機関や施設から円滑な地域生活への移行と安定した地域生活が送れるよう、サービスの提供を進めるとともに、医療機関、障害者入所施設、相談支援事業所等の関係機関が連携した支援を行います。</w:t>
      </w:r>
    </w:p>
    <w:p>
      <w:pPr>
        <w:pStyle w:val="0"/>
        <w:ind w:left="886" w:leftChars="300" w:hanging="214" w:hangingChars="100"/>
        <w:rPr>
          <w:rFonts w:hint="default"/>
          <w:sz w:val="21"/>
        </w:rPr>
      </w:pPr>
      <w:r>
        <w:rPr>
          <w:rFonts w:hint="eastAsia"/>
          <w:sz w:val="21"/>
        </w:rPr>
        <w:t>・計画相談支援員が安心して業務が遂行できるよう、必要な体制づくりに取り組みます。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⑤障害福祉サービスの質的向上の促進</w:t>
      </w:r>
    </w:p>
    <w:p>
      <w:pPr>
        <w:pStyle w:val="0"/>
        <w:ind w:left="886" w:leftChars="300" w:hanging="214" w:hangingChars="100"/>
        <w:rPr>
          <w:rFonts w:hint="default"/>
          <w:sz w:val="21"/>
        </w:rPr>
      </w:pPr>
      <w:r>
        <w:rPr>
          <w:rFonts w:hint="eastAsia"/>
          <w:sz w:val="21"/>
        </w:rPr>
        <w:t>・障害福祉サービスの質の向上を目的とした情報交換や学習会等の実施を自立支援協議会等と連携し取り組みます。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⑥地域生活支援拠点の整備充実</w:t>
      </w:r>
    </w:p>
    <w:p>
      <w:pPr>
        <w:pStyle w:val="0"/>
        <w:ind w:left="886" w:leftChars="300" w:hanging="214" w:hangingChars="100"/>
        <w:rPr>
          <w:rFonts w:hint="default"/>
          <w:sz w:val="21"/>
        </w:rPr>
      </w:pPr>
      <w:r>
        <w:rPr>
          <w:rFonts w:hint="eastAsia"/>
          <w:sz w:val="21"/>
        </w:rPr>
        <w:t>・地域生活支援拠点の整備に向けた取組を推進するため、引き続き専門部会を活用しながら関係機関と協議を進めていきます。</w:t>
      </w: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widowControl w:val="1"/>
        <w:jc w:val="left"/>
        <w:rPr>
          <w:rFonts w:hint="default"/>
          <w:sz w:val="21"/>
        </w:rPr>
      </w:pPr>
      <w:r>
        <w:rPr>
          <w:rFonts w:hint="default"/>
          <w:sz w:val="21"/>
        </w:rPr>
        <w:br w:type="page"/>
      </w:r>
    </w:p>
    <w:p>
      <w:pPr>
        <w:pStyle w:val="22"/>
        <w:spacing w:after="111" w:afterLines="0" w:afterAutospacing="0"/>
        <w:rPr>
          <w:rFonts w:hint="default"/>
        </w:rPr>
      </w:pPr>
      <w:bookmarkStart w:id="139" w:name="_Toc154411485"/>
      <w:r>
        <w:rPr>
          <w:rFonts w:hint="eastAsia"/>
        </w:rPr>
        <w:t>（２）障がい児支援の充実</w:t>
      </w:r>
      <w:bookmarkEnd w:id="139"/>
    </w:p>
    <w:p>
      <w:pPr>
        <w:pStyle w:val="82"/>
        <w:rPr>
          <w:rFonts w:hint="default"/>
        </w:rPr>
      </w:pPr>
      <w:r>
        <w:rPr>
          <w:rFonts w:hint="eastAsia"/>
        </w:rPr>
        <w:t>【現状と課題】</w:t>
      </w:r>
    </w:p>
    <w:p>
      <w:pPr>
        <w:pStyle w:val="84"/>
        <w:rPr>
          <w:rFonts w:hint="default"/>
          <w:color w:val="auto"/>
          <w:sz w:val="22"/>
        </w:rPr>
      </w:pPr>
      <w:r>
        <w:rPr>
          <w:rFonts w:hint="default"/>
          <w:color w:val="auto"/>
        </w:rPr>
        <w:t>►</w:t>
      </w:r>
      <w:r>
        <w:rPr>
          <w:rFonts w:hint="eastAsia"/>
          <w:color w:val="auto"/>
        </w:rPr>
        <w:t>障がい児支援</w:t>
      </w:r>
    </w:p>
    <w:p>
      <w:pPr>
        <w:pStyle w:val="0"/>
        <w:ind w:left="774" w:leftChars="250" w:hanging="214" w:hangingChars="100"/>
        <w:rPr>
          <w:rFonts w:hint="default"/>
          <w:sz w:val="21"/>
        </w:rPr>
      </w:pPr>
      <w:r>
        <w:rPr>
          <w:rFonts w:hint="eastAsia"/>
          <w:sz w:val="21"/>
        </w:rPr>
        <w:t>○障がい児の支援においては、発達障がいに関する認知度が高まっており、早い段階からの療育に関心を持つ保護者が増え、障がい児の障害福祉サービス利用ニーズが高まっています。町内に児童通所支援事業所も増え身近な環境で療育サービスの利用ができる環境も整い、障がい児や保護者をサポートする体制が充実してきています。</w:t>
      </w:r>
    </w:p>
    <w:p>
      <w:pPr>
        <w:pStyle w:val="0"/>
        <w:ind w:left="774" w:leftChars="250" w:hanging="214" w:hangingChars="100"/>
        <w:rPr>
          <w:rFonts w:hint="default"/>
          <w:sz w:val="21"/>
        </w:rPr>
      </w:pPr>
      <w:bookmarkStart w:id="140" w:name="_Hlk63008123"/>
      <w:r>
        <w:rPr>
          <w:rFonts w:hint="eastAsia"/>
          <w:sz w:val="21"/>
        </w:rPr>
        <w:t>○児童発達支援センターの機能を有する町内事業所と連携し、発達が気になる子の保護者向けの支援として、親子通園事業やペアレント・プログラム事業を実施しました。また、町内の公立・認可保育所の保育士への支援として、関わり方で気になる子について専門員が巡回訪問を行い、関わり方や環境づくりに関する助言を行う事業を実施しました。</w:t>
      </w:r>
    </w:p>
    <w:p>
      <w:pPr>
        <w:pStyle w:val="0"/>
        <w:ind w:left="774" w:leftChars="250" w:hanging="214" w:hangingChars="100"/>
        <w:rPr>
          <w:rFonts w:hint="default"/>
          <w:sz w:val="21"/>
        </w:rPr>
      </w:pPr>
      <w:bookmarkEnd w:id="140"/>
    </w:p>
    <w:p>
      <w:pPr>
        <w:pStyle w:val="84"/>
        <w:rPr>
          <w:rFonts w:hint="default"/>
          <w:color w:val="auto"/>
        </w:rPr>
      </w:pPr>
      <w:r>
        <w:rPr>
          <w:rFonts w:hint="default"/>
          <w:color w:val="auto"/>
        </w:rPr>
        <w:t>►</w:t>
      </w:r>
      <w:r>
        <w:rPr>
          <w:rFonts w:hint="eastAsia"/>
          <w:color w:val="auto"/>
        </w:rPr>
        <w:t>主に</w:t>
      </w:r>
      <w:r>
        <w:rPr>
          <w:rFonts w:hint="eastAsia"/>
          <w:color w:val="auto"/>
          <w:sz w:val="22"/>
          <w:vertAlign w:val="superscript"/>
        </w:rPr>
        <w:t>※</w:t>
      </w:r>
      <w:r>
        <w:rPr>
          <w:rFonts w:hint="eastAsia"/>
          <w:color w:val="auto"/>
        </w:rPr>
        <w:t>重症心身障がい児を支援する通所支援事業所</w:t>
      </w:r>
    </w:p>
    <w:p>
      <w:pPr>
        <w:pStyle w:val="0"/>
        <w:ind w:left="774" w:leftChars="250" w:hanging="214" w:hangingChars="100"/>
        <w:rPr>
          <w:rFonts w:hint="default"/>
          <w:sz w:val="21"/>
        </w:rPr>
      </w:pPr>
      <w:r>
        <w:rPr>
          <w:rFonts w:hint="eastAsia"/>
          <w:sz w:val="21"/>
        </w:rPr>
        <w:t>○町内に、重症心身障がい児を支援する通所支援事業所が２</w:t>
      </w:r>
      <w:r>
        <w:rPr>
          <w:rFonts w:hint="default"/>
          <w:sz w:val="21"/>
        </w:rPr>
        <w:t>箇所開設してい</w:t>
      </w:r>
      <w:r>
        <w:rPr>
          <w:rFonts w:hint="eastAsia"/>
          <w:sz w:val="21"/>
        </w:rPr>
        <w:t>ます</w:t>
      </w:r>
      <w:r>
        <w:rPr>
          <w:rFonts w:hint="default"/>
          <w:sz w:val="21"/>
        </w:rPr>
        <w:t>。身近な地域で重症心身障がい児が療育を受けられる体制があ</w:t>
      </w:r>
      <w:r>
        <w:rPr>
          <w:rFonts w:hint="eastAsia"/>
          <w:sz w:val="21"/>
        </w:rPr>
        <w:t>るため、サービスの周知広報を行い、利用を促す必要があります。</w:t>
      </w:r>
    </w:p>
    <w:p>
      <w:pPr>
        <w:pStyle w:val="0"/>
        <w:ind w:left="774" w:leftChars="250" w:hanging="214" w:hangingChars="100"/>
        <w:rPr>
          <w:rFonts w:hint="default"/>
          <w:sz w:val="21"/>
        </w:rPr>
      </w:pPr>
    </w:p>
    <w:p>
      <w:pPr>
        <w:pStyle w:val="84"/>
        <w:rPr>
          <w:rFonts w:hint="default"/>
          <w:color w:val="auto"/>
          <w:sz w:val="22"/>
        </w:rPr>
      </w:pPr>
      <w:r>
        <w:rPr>
          <w:rFonts w:hint="default"/>
          <w:color w:val="auto"/>
        </w:rPr>
        <w:t>►</w:t>
      </w:r>
      <w:r>
        <w:rPr>
          <w:rFonts w:hint="eastAsia"/>
          <w:color w:val="auto"/>
        </w:rPr>
        <w:t>医療的ケア児</w:t>
      </w:r>
    </w:p>
    <w:p>
      <w:pPr>
        <w:pStyle w:val="0"/>
        <w:ind w:left="774" w:leftChars="250" w:hanging="214" w:hangingChars="100"/>
        <w:rPr>
          <w:rFonts w:hint="default"/>
          <w:sz w:val="21"/>
        </w:rPr>
      </w:pPr>
      <w:r>
        <w:rPr>
          <w:rFonts w:hint="eastAsia"/>
          <w:sz w:val="21"/>
        </w:rPr>
        <w:t>○医療的ケア児の個別支援から見えてきた災害時の避難に関する課題については、関係機関と協議しながら体制づくりや課題整理に取り組みました。</w:t>
      </w:r>
    </w:p>
    <w:p>
      <w:pPr>
        <w:pStyle w:val="0"/>
        <w:ind w:left="774" w:leftChars="250" w:hanging="214" w:hangingChars="100"/>
        <w:rPr>
          <w:rFonts w:hint="default"/>
          <w:sz w:val="21"/>
        </w:rPr>
      </w:pPr>
      <w:r>
        <w:rPr>
          <w:rFonts w:hint="eastAsia"/>
          <w:sz w:val="21"/>
        </w:rPr>
        <w:t>○医療的ケア児コーディネーターの配置と役割整理が課題となっています。</w:t>
      </w: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ind w:left="774" w:leftChars="250" w:hanging="214" w:hangingChars="100"/>
        <w:rPr>
          <w:rFonts w:hint="default"/>
          <w:sz w:val="21"/>
        </w:rPr>
      </w:pPr>
    </w:p>
    <w:p>
      <w:pPr>
        <w:pStyle w:val="0"/>
        <w:spacing w:line="0" w:lineRule="atLeast"/>
        <w:ind w:left="774" w:leftChars="250" w:hanging="214" w:hangingChars="100"/>
        <w:rPr>
          <w:rFonts w:hint="default"/>
          <w:sz w:val="21"/>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86"/>
              <w:spacing w:before="74" w:beforeLines="0" w:beforeAutospacing="0"/>
              <w:rPr>
                <w:rFonts w:hint="default"/>
                <w:color w:val="auto"/>
              </w:rPr>
            </w:pPr>
            <w:r>
              <w:rPr>
                <w:rFonts w:hint="eastAsia"/>
                <w:color w:val="auto"/>
              </w:rPr>
              <w:t>※</w:t>
            </w:r>
            <w:r>
              <w:rPr>
                <w:rFonts w:hint="eastAsia"/>
                <w:color w:val="auto"/>
              </w:rPr>
              <w:t xml:space="preserve"> </w:t>
            </w:r>
            <w:r>
              <w:rPr>
                <w:rFonts w:hint="eastAsia"/>
                <w:color w:val="auto"/>
              </w:rPr>
              <w:t>重症心身障がい児</w:t>
            </w:r>
          </w:p>
          <w:p>
            <w:pPr>
              <w:pStyle w:val="85"/>
              <w:ind w:left="448" w:firstLine="204"/>
              <w:rPr>
                <w:rFonts w:hint="default"/>
                <w:color w:val="auto"/>
              </w:rPr>
            </w:pPr>
            <w:r>
              <w:rPr>
                <w:rFonts w:hint="eastAsia"/>
                <w:color w:val="auto"/>
              </w:rPr>
              <w:t>重度の肢体不自由と重度の知的障がいとが重複した状態を重症心身障がいといい、その状態にある子どもを重症心身障がい児という。さらに成人した重症心身障がい児を含めて重症心身障がい児</w:t>
            </w:r>
            <w:r>
              <w:rPr>
                <w:rFonts w:hint="eastAsia"/>
                <w:color w:val="auto"/>
              </w:rPr>
              <w:t>(</w:t>
            </w:r>
            <w:r>
              <w:rPr>
                <w:rFonts w:hint="eastAsia"/>
                <w:color w:val="auto"/>
              </w:rPr>
              <w:t>者</w:t>
            </w:r>
            <w:r>
              <w:rPr>
                <w:rFonts w:hint="eastAsia"/>
                <w:color w:val="auto"/>
              </w:rPr>
              <w:t>)</w:t>
            </w:r>
            <w:r>
              <w:rPr>
                <w:rFonts w:hint="eastAsia"/>
                <w:color w:val="auto"/>
              </w:rPr>
              <w:t>と呼ぶことに定めている。これは、医学的診断名ではなく、児童福祉での行政上の措置を行うための定義</w:t>
            </w:r>
            <w:r>
              <w:rPr>
                <w:rFonts w:hint="eastAsia"/>
                <w:color w:val="auto"/>
              </w:rPr>
              <w:t>(</w:t>
            </w:r>
            <w:r>
              <w:rPr>
                <w:rFonts w:hint="eastAsia"/>
                <w:color w:val="auto"/>
              </w:rPr>
              <w:t>呼び方</w:t>
            </w:r>
            <w:r>
              <w:rPr>
                <w:rFonts w:hint="eastAsia"/>
                <w:color w:val="auto"/>
              </w:rPr>
              <w:t>)</w:t>
            </w:r>
            <w:r>
              <w:rPr>
                <w:rFonts w:hint="eastAsia"/>
                <w:color w:val="auto"/>
              </w:rPr>
              <w:t>です。</w:t>
            </w:r>
          </w:p>
        </w:tc>
      </w:tr>
    </w:tbl>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226"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203"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204"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05"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06"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254;" coordsize="6044565,219710" coordorigin="0,0" o:spid="_x0000_s1203" o:allowincell="t" o:allowoverlap="t">
                <v:roundrect id="今後の取り組み_四角（灰）" style="height:219710;width:6044565;top:0;left:0;position:absolute;" o:spid="_x0000_s1204"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205"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206"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eastAsia"/>
        </w:rPr>
        <w:t>【施策の基本的な考え方】</w:t>
      </w:r>
    </w:p>
    <w:p>
      <w:pPr>
        <w:pStyle w:val="0"/>
        <w:ind w:left="785" w:leftChars="350" w:firstLine="214" w:firstLineChars="100"/>
        <w:rPr>
          <w:rFonts w:hint="default"/>
          <w:sz w:val="21"/>
        </w:rPr>
      </w:pPr>
      <w:r>
        <w:rPr>
          <w:rFonts w:hint="eastAsia"/>
          <w:sz w:val="21"/>
        </w:rPr>
        <w:t>障がいのある子や発達が気になる子の健やかな発達支援を図るため、保健、</w:t>
      </w:r>
      <w:r>
        <w:rPr>
          <w:rFonts w:hint="default"/>
        </w:rPr>
        <w:t>医療、障害福祉、保育、教育</w:t>
      </w:r>
      <w:r>
        <w:rPr>
          <w:rFonts w:hint="eastAsia"/>
        </w:rPr>
        <w:t>等の関係機関が連携し</w:t>
      </w:r>
      <w:r>
        <w:rPr>
          <w:rFonts w:hint="default"/>
        </w:rPr>
        <w:t>、</w:t>
      </w:r>
      <w:r>
        <w:rPr>
          <w:rFonts w:hint="eastAsia"/>
        </w:rPr>
        <w:t>障がい児や発達が気になる子及びその家族に対して切れ目のない支援を提供する体制が必要です。</w:t>
      </w:r>
      <w:r>
        <w:rPr>
          <w:rFonts w:hint="eastAsia"/>
          <w:sz w:val="21"/>
        </w:rPr>
        <w:t>地域の実情に即した障害児通所支援等のサービス提供体制の確保や、障がいの有無にかかわらず、全ての児童がともに成長できるような体制整備の推進、医療的ケア児に対する支援体制の充実等、障がい児支援体制の拡充に取り組みます。</w:t>
      </w:r>
    </w:p>
    <w:p>
      <w:pPr>
        <w:pStyle w:val="0"/>
        <w:ind w:left="769" w:leftChars="200" w:hanging="321" w:hangingChars="150"/>
        <w:rPr>
          <w:rFonts w:hint="default"/>
          <w:sz w:val="21"/>
        </w:rPr>
      </w:pPr>
    </w:p>
    <w:p>
      <w:pPr>
        <w:pStyle w:val="83"/>
        <w:ind w:left="672" w:hanging="224" w:hangingChars="100"/>
        <w:rPr>
          <w:rFonts w:hint="default"/>
          <w:color w:val="auto"/>
        </w:rPr>
      </w:pPr>
      <w:r>
        <w:rPr>
          <w:rFonts w:hint="eastAsia"/>
          <w:color w:val="auto"/>
        </w:rPr>
        <w:t>①障がい児支援の充実</w:t>
      </w:r>
    </w:p>
    <w:p>
      <w:pPr>
        <w:pStyle w:val="0"/>
        <w:ind w:left="886" w:leftChars="300" w:hanging="214" w:hangingChars="100"/>
        <w:rPr>
          <w:rFonts w:hint="default"/>
          <w:sz w:val="21"/>
        </w:rPr>
      </w:pPr>
      <w:r>
        <w:rPr>
          <w:rFonts w:hint="eastAsia"/>
          <w:sz w:val="21"/>
        </w:rPr>
        <w:t>・障がい児及びその家族に対する支援について、ニーズに応じて身近な場所でサービスを提供できるよう、サービス事業所と連携し、障害児通所支援等サービスの提供体制の確保に取り組みます。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②障害児通所支援の質の向上</w:t>
      </w:r>
    </w:p>
    <w:p>
      <w:pPr>
        <w:pStyle w:val="0"/>
        <w:ind w:left="886" w:leftChars="300" w:hanging="214" w:hangingChars="100"/>
        <w:rPr>
          <w:rFonts w:hint="default"/>
          <w:sz w:val="21"/>
        </w:rPr>
      </w:pPr>
      <w:r>
        <w:rPr>
          <w:rFonts w:hint="eastAsia"/>
          <w:sz w:val="21"/>
        </w:rPr>
        <w:t>・障害児通所支援の質の向上を目的とした情報交換や学習会等の実施を、自立支援協議会等と連携し取り組みます。</w:t>
      </w:r>
    </w:p>
    <w:p>
      <w:pPr>
        <w:pStyle w:val="0"/>
        <w:ind w:left="509" w:leftChars="227"/>
        <w:rPr>
          <w:rFonts w:hint="default"/>
          <w:sz w:val="21"/>
        </w:rPr>
      </w:pPr>
    </w:p>
    <w:p>
      <w:pPr>
        <w:pStyle w:val="83"/>
        <w:ind w:left="448"/>
        <w:rPr>
          <w:rFonts w:hint="default"/>
          <w:color w:val="auto"/>
        </w:rPr>
      </w:pPr>
      <w:r>
        <w:rPr>
          <w:rFonts w:hint="eastAsia"/>
          <w:color w:val="auto"/>
        </w:rPr>
        <w:t>③児童発達支援センターの</w:t>
      </w:r>
      <w:bookmarkStart w:id="141" w:name="_Hlk156134676"/>
      <w:r>
        <w:rPr>
          <w:rFonts w:hint="eastAsia"/>
          <w:color w:val="auto"/>
        </w:rPr>
        <w:t>機能確保</w:t>
      </w:r>
      <w:r>
        <w:rPr>
          <w:rFonts w:hint="default"/>
          <w:color w:val="auto"/>
        </w:rPr>
        <w:t>及び障</w:t>
      </w:r>
      <w:r>
        <w:rPr>
          <w:rFonts w:hint="eastAsia"/>
          <w:color w:val="auto"/>
        </w:rPr>
        <w:t>がい</w:t>
      </w:r>
      <w:r>
        <w:rPr>
          <w:rFonts w:hint="default"/>
          <w:color w:val="auto"/>
        </w:rPr>
        <w:t>児の地域社会への参加・包容（インクルージョン）の推進</w:t>
      </w:r>
    </w:p>
    <w:p>
      <w:pPr>
        <w:pStyle w:val="0"/>
        <w:ind w:left="886" w:leftChars="300" w:hanging="214" w:hangingChars="100"/>
        <w:rPr>
          <w:rFonts w:hint="default"/>
          <w:sz w:val="21"/>
        </w:rPr>
      </w:pPr>
      <w:bookmarkStart w:id="142" w:name="_Hlk156082432"/>
      <w:r>
        <w:rPr>
          <w:rFonts w:hint="eastAsia"/>
          <w:sz w:val="21"/>
        </w:rPr>
        <w:t>・障がい児や発達が気になる子及びその家族が住みやすい地域基盤を整えるため、保健、保育、教育、福祉等の関係機関と児童発達支援センターの機能を有する町内事業所と連携し、児童発達支援センターの機能の確保に向けて取り組みます。</w:t>
      </w:r>
    </w:p>
    <w:p>
      <w:pPr>
        <w:pStyle w:val="0"/>
        <w:ind w:left="886" w:leftChars="300" w:hanging="214" w:hangingChars="100"/>
        <w:rPr>
          <w:rFonts w:hint="default"/>
          <w:sz w:val="21"/>
        </w:rPr>
      </w:pPr>
      <w:bookmarkEnd w:id="142"/>
      <w:r>
        <w:rPr>
          <w:rFonts w:hint="eastAsia"/>
          <w:sz w:val="21"/>
        </w:rPr>
        <w:t>・専門職による</w:t>
      </w:r>
      <w:r>
        <w:rPr>
          <w:rFonts w:hint="default"/>
          <w:sz w:val="21"/>
        </w:rPr>
        <w:t>巡回</w:t>
      </w:r>
      <w:r>
        <w:rPr>
          <w:rFonts w:hint="eastAsia"/>
          <w:sz w:val="21"/>
        </w:rPr>
        <w:t>訪問</w:t>
      </w:r>
      <w:r>
        <w:rPr>
          <w:rFonts w:hint="default"/>
          <w:sz w:val="21"/>
        </w:rPr>
        <w:t>や研修等を</w:t>
      </w:r>
      <w:r>
        <w:rPr>
          <w:rFonts w:hint="eastAsia"/>
          <w:sz w:val="21"/>
        </w:rPr>
        <w:t>通して</w:t>
      </w:r>
      <w:r>
        <w:rPr>
          <w:rFonts w:hint="default"/>
          <w:sz w:val="21"/>
        </w:rPr>
        <w:t>、</w:t>
      </w:r>
      <w:r>
        <w:rPr>
          <w:rFonts w:hint="eastAsia"/>
          <w:sz w:val="21"/>
        </w:rPr>
        <w:t>保育・</w:t>
      </w:r>
      <w:r>
        <w:rPr>
          <w:rFonts w:hint="default"/>
          <w:sz w:val="21"/>
        </w:rPr>
        <w:t>教育環境の充実を図り、障</w:t>
      </w:r>
      <w:r>
        <w:rPr>
          <w:rFonts w:hint="eastAsia"/>
          <w:sz w:val="21"/>
        </w:rPr>
        <w:t>がい</w:t>
      </w:r>
      <w:r>
        <w:rPr>
          <w:rFonts w:hint="default"/>
          <w:sz w:val="21"/>
        </w:rPr>
        <w:t>のある子</w:t>
      </w:r>
      <w:r>
        <w:rPr>
          <w:rFonts w:hint="eastAsia"/>
          <w:sz w:val="21"/>
        </w:rPr>
        <w:t>や発達が気になる子</w:t>
      </w:r>
      <w:r>
        <w:rPr>
          <w:rFonts w:hint="default"/>
          <w:sz w:val="21"/>
        </w:rPr>
        <w:t>が受け入れられる取組等を支援することで、インクルージョンを推進します。</w:t>
      </w:r>
    </w:p>
    <w:p>
      <w:pPr>
        <w:pStyle w:val="0"/>
        <w:ind w:left="886" w:leftChars="300" w:hanging="214" w:hangingChars="100"/>
        <w:rPr>
          <w:rFonts w:hint="default"/>
          <w:sz w:val="21"/>
        </w:rPr>
      </w:pPr>
      <w:bookmarkEnd w:id="141"/>
    </w:p>
    <w:p>
      <w:pPr>
        <w:pStyle w:val="83"/>
        <w:ind w:left="448"/>
        <w:rPr>
          <w:rFonts w:hint="default"/>
          <w:color w:val="auto"/>
        </w:rPr>
      </w:pPr>
      <w:r>
        <w:rPr>
          <w:rFonts w:hint="eastAsia"/>
          <w:color w:val="auto"/>
        </w:rPr>
        <w:t>④主に重症心身障がい児を支援する通所支援事業所の充実</w:t>
      </w:r>
    </w:p>
    <w:p>
      <w:pPr>
        <w:pStyle w:val="0"/>
        <w:ind w:left="886" w:leftChars="300" w:hanging="214" w:hangingChars="100"/>
        <w:rPr>
          <w:rFonts w:hint="default"/>
          <w:sz w:val="21"/>
        </w:rPr>
      </w:pPr>
      <w:r>
        <w:rPr>
          <w:rFonts w:hint="eastAsia"/>
          <w:sz w:val="21"/>
        </w:rPr>
        <w:t>・重度心身障がい児が身近な地域で支援を受けられるよう、主に重症心身障がい児を支援する児童発達支援事業所及び放課後等デイサービス事業所と連携した事業の充実に取り組みます。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⑤医療的ケア児支援の充実</w:t>
      </w:r>
    </w:p>
    <w:p>
      <w:pPr>
        <w:pStyle w:val="0"/>
        <w:ind w:left="886" w:leftChars="300" w:hanging="214" w:hangingChars="100"/>
        <w:rPr>
          <w:rFonts w:hint="default"/>
          <w:sz w:val="21"/>
        </w:rPr>
      </w:pPr>
      <w:r>
        <w:rPr>
          <w:rFonts w:hint="eastAsia"/>
          <w:sz w:val="21"/>
        </w:rPr>
        <w:t>・医療的ケア児支援のための協議の場を継続的に実施し、保健、</w:t>
      </w:r>
      <w:r>
        <w:rPr>
          <w:rFonts w:hint="default"/>
        </w:rPr>
        <w:t>医療、障害福祉、保育、教育</w:t>
      </w:r>
      <w:r>
        <w:rPr>
          <w:rFonts w:hint="eastAsia"/>
        </w:rPr>
        <w:t>等</w:t>
      </w:r>
      <w:r>
        <w:rPr>
          <w:rFonts w:hint="eastAsia"/>
          <w:sz w:val="21"/>
        </w:rPr>
        <w:t>関係機関と協議し、支援体制の充実に向けて取り組みます。また、医療的ケア児等コーディネーター配置に努めます。</w:t>
      </w:r>
    </w:p>
    <w:p>
      <w:pPr>
        <w:pStyle w:val="0"/>
        <w:widowControl w:val="1"/>
        <w:jc w:val="left"/>
        <w:rPr>
          <w:rFonts w:hint="default"/>
          <w:sz w:val="21"/>
        </w:rPr>
      </w:pPr>
      <w:r>
        <w:rPr>
          <w:rFonts w:hint="default"/>
          <w:sz w:val="21"/>
        </w:rPr>
        <w:br w:type="page"/>
      </w:r>
    </w:p>
    <w:p>
      <w:pPr>
        <w:pStyle w:val="22"/>
        <w:spacing w:after="111" w:afterLines="0" w:afterAutospacing="0"/>
        <w:rPr>
          <w:rFonts w:hint="default"/>
        </w:rPr>
      </w:pPr>
      <w:bookmarkStart w:id="143" w:name="_Toc154411486"/>
      <w:r>
        <w:rPr>
          <w:rFonts w:hint="eastAsia"/>
        </w:rPr>
        <w:t>（３）医療費等経済的支援の推進</w:t>
      </w:r>
      <w:bookmarkEnd w:id="143"/>
    </w:p>
    <w:p>
      <w:pPr>
        <w:pStyle w:val="82"/>
        <w:rPr>
          <w:rFonts w:hint="default"/>
        </w:rPr>
      </w:pPr>
      <w:r>
        <w:rPr>
          <w:rFonts w:hint="eastAsia"/>
        </w:rPr>
        <w:t>【現状と課題】</w:t>
      </w:r>
    </w:p>
    <w:p>
      <w:pPr>
        <w:pStyle w:val="0"/>
        <w:ind w:left="662" w:leftChars="200" w:hanging="214" w:hangingChars="100"/>
        <w:rPr>
          <w:rFonts w:hint="default"/>
          <w:sz w:val="21"/>
        </w:rPr>
      </w:pPr>
      <w:r>
        <w:rPr>
          <w:rFonts w:hint="eastAsia"/>
          <w:sz w:val="21"/>
        </w:rPr>
        <w:t>◯｢自立支援医療制度｣に基づき、育成医療、更生医療、精神通院医療について、医療にかかる自己負担額の軽減を図っています。窓口手続時に際しては、制度について分かりやすい説明に努めています。</w:t>
      </w:r>
    </w:p>
    <w:p>
      <w:pPr>
        <w:pStyle w:val="0"/>
        <w:ind w:left="662" w:leftChars="200" w:hanging="214" w:hangingChars="100"/>
        <w:rPr>
          <w:rFonts w:hint="default"/>
          <w:sz w:val="21"/>
        </w:rPr>
      </w:pPr>
      <w:r>
        <w:rPr>
          <w:rFonts w:hint="eastAsia"/>
          <w:sz w:val="21"/>
        </w:rPr>
        <w:t>○障害者総合支援法に基づき、補装具の購入又は修理に要した費用を支給するとともに、サービスの周知と適切な利用を促しました。また、補装具製作に関する利用者からの相談についても更生相談所に助言をいただきながら適切に対応しています。</w:t>
      </w:r>
    </w:p>
    <w:p>
      <w:pPr>
        <w:pStyle w:val="0"/>
        <w:ind w:left="662" w:leftChars="200" w:hanging="214" w:hangingChars="100"/>
        <w:rPr>
          <w:rFonts w:hint="default"/>
          <w:sz w:val="21"/>
        </w:rPr>
      </w:pPr>
      <w:r>
        <w:rPr>
          <w:rFonts w:hint="eastAsia"/>
          <w:sz w:val="21"/>
        </w:rPr>
        <w:t>○広報等を活用し、各種手当等の制度周知に取り組みました。</w:t>
      </w:r>
    </w:p>
    <w:p>
      <w:pPr>
        <w:pStyle w:val="0"/>
        <w:ind w:left="662" w:leftChars="200" w:hanging="214" w:hangingChars="100"/>
        <w:rPr>
          <w:rFonts w:hint="default"/>
          <w:sz w:val="21"/>
        </w:rPr>
      </w:pPr>
      <w:r>
        <w:rPr>
          <w:rFonts w:hint="eastAsia"/>
          <w:sz w:val="21"/>
        </w:rPr>
        <w:t>○重度心身障がい者</w:t>
      </w:r>
      <w:r>
        <w:rPr>
          <w:rFonts w:hint="eastAsia"/>
          <w:sz w:val="21"/>
        </w:rPr>
        <w:t>(</w:t>
      </w:r>
      <w:r>
        <w:rPr>
          <w:rFonts w:hint="eastAsia"/>
          <w:sz w:val="21"/>
        </w:rPr>
        <w:t>児</w:t>
      </w:r>
      <w:r>
        <w:rPr>
          <w:rFonts w:hint="eastAsia"/>
          <w:sz w:val="21"/>
        </w:rPr>
        <w:t>)</w:t>
      </w:r>
      <w:r>
        <w:rPr>
          <w:rFonts w:hint="eastAsia"/>
          <w:sz w:val="21"/>
        </w:rPr>
        <w:t>の経済的負担を軽減するため、保険診療による医療費の自己負担分の助成を行っています。</w:t>
      </w:r>
    </w:p>
    <w:p>
      <w:pPr>
        <w:pStyle w:val="0"/>
        <w:ind w:left="662" w:leftChars="200" w:hanging="214" w:hangingChars="100"/>
        <w:rPr>
          <w:rFonts w:hint="default"/>
          <w:sz w:val="21"/>
        </w:rPr>
      </w:pPr>
    </w:p>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230"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207"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208"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09"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0"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250;" coordsize="6044565,219710" coordorigin="0,0" o:spid="_x0000_s1207" o:allowincell="t" o:allowoverlap="t">
                <v:roundrect id="今後の取り組み_四角（灰）" style="height:219710;width:6044565;top:0;left:0;position:absolute;" o:spid="_x0000_s1208"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209"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210"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eastAsia"/>
        </w:rPr>
        <w:t>【施策の基本的な考え方】</w:t>
      </w:r>
    </w:p>
    <w:p>
      <w:pPr>
        <w:pStyle w:val="0"/>
        <w:ind w:left="448" w:leftChars="200" w:firstLine="214" w:firstLineChars="100"/>
        <w:rPr>
          <w:rFonts w:hint="default"/>
          <w:sz w:val="21"/>
        </w:rPr>
      </w:pPr>
      <w:r>
        <w:rPr>
          <w:rFonts w:hint="eastAsia"/>
          <w:sz w:val="21"/>
        </w:rPr>
        <w:t>障がい者・障がい児の適切な医療受診と自立生活を支援するために、医療費や補装具購入費にかかる自己負担額の軽減を図るとともに、介護の経済的負担感を軽減するために手当の支給手続きを行います。</w:t>
      </w:r>
    </w:p>
    <w:p>
      <w:pPr>
        <w:pStyle w:val="0"/>
        <w:spacing w:line="360" w:lineRule="exact"/>
        <w:ind w:left="774" w:leftChars="250" w:hanging="214" w:hangingChars="100"/>
        <w:rPr>
          <w:rFonts w:hint="default"/>
          <w:sz w:val="21"/>
        </w:rPr>
      </w:pPr>
    </w:p>
    <w:p>
      <w:pPr>
        <w:pStyle w:val="83"/>
        <w:ind w:left="448"/>
        <w:rPr>
          <w:rFonts w:hint="default"/>
          <w:color w:val="auto"/>
        </w:rPr>
      </w:pPr>
      <w:r>
        <w:rPr>
          <w:rFonts w:hint="eastAsia"/>
          <w:color w:val="auto"/>
        </w:rPr>
        <w:t>①自立支援医療の推進</w:t>
      </w:r>
    </w:p>
    <w:p>
      <w:pPr>
        <w:pStyle w:val="0"/>
        <w:ind w:left="886" w:leftChars="300" w:hanging="214" w:hangingChars="100"/>
        <w:rPr>
          <w:rFonts w:hint="default"/>
          <w:sz w:val="21"/>
        </w:rPr>
      </w:pPr>
      <w:r>
        <w:rPr>
          <w:rFonts w:hint="eastAsia"/>
          <w:sz w:val="21"/>
        </w:rPr>
        <w:t>・｢自立支援医療制度｣に基づき、育成医療、更生医療、精神通院医療について、医療にかかる自己負担額の軽減を図るとともに、制度の周知を図り適切な利用を促します。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②補装具費の支給推進</w:t>
      </w:r>
    </w:p>
    <w:p>
      <w:pPr>
        <w:pStyle w:val="0"/>
        <w:ind w:left="886" w:leftChars="300" w:hanging="214" w:hangingChars="100"/>
        <w:rPr>
          <w:rFonts w:hint="default"/>
          <w:sz w:val="21"/>
        </w:rPr>
      </w:pPr>
      <w:r>
        <w:rPr>
          <w:rFonts w:hint="eastAsia"/>
          <w:sz w:val="21"/>
        </w:rPr>
        <w:t>・障害者総合支援法に基づき、補装具の購入又は修理に要した費用を支給するとともに、サービスの周知と適切な利用を促します。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③手当の支給推進</w:t>
      </w:r>
    </w:p>
    <w:p>
      <w:pPr>
        <w:pStyle w:val="0"/>
        <w:ind w:left="886" w:leftChars="300" w:hanging="214" w:hangingChars="100"/>
        <w:rPr>
          <w:rFonts w:hint="default"/>
          <w:sz w:val="21"/>
        </w:rPr>
      </w:pPr>
      <w:r>
        <w:rPr>
          <w:rFonts w:hint="eastAsia"/>
          <w:sz w:val="21"/>
        </w:rPr>
        <w:t>・介護における経済的な負担軽減を図るために特別児童扶養手当、特別障害者手当、障害児福祉手当の支給手続きを継続します。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④重度心身障がい者</w:t>
      </w:r>
      <w:r>
        <w:rPr>
          <w:rFonts w:hint="eastAsia"/>
          <w:color w:val="auto"/>
        </w:rPr>
        <w:t>(</w:t>
      </w:r>
      <w:r>
        <w:rPr>
          <w:rFonts w:hint="eastAsia"/>
          <w:color w:val="auto"/>
        </w:rPr>
        <w:t>児</w:t>
      </w:r>
      <w:r>
        <w:rPr>
          <w:rFonts w:hint="eastAsia"/>
          <w:color w:val="auto"/>
        </w:rPr>
        <w:t>)</w:t>
      </w:r>
      <w:r>
        <w:rPr>
          <w:rFonts w:hint="eastAsia"/>
          <w:color w:val="auto"/>
        </w:rPr>
        <w:t>医療費助成推進</w:t>
      </w:r>
    </w:p>
    <w:p>
      <w:pPr>
        <w:pStyle w:val="0"/>
        <w:ind w:left="886" w:leftChars="300" w:hanging="214" w:hangingChars="100"/>
        <w:rPr>
          <w:rFonts w:hint="default"/>
          <w:sz w:val="21"/>
        </w:rPr>
      </w:pPr>
      <w:r>
        <w:rPr>
          <w:rFonts w:hint="eastAsia"/>
          <w:sz w:val="21"/>
        </w:rPr>
        <w:t>・重度心身障がい者</w:t>
      </w:r>
      <w:r>
        <w:rPr>
          <w:rFonts w:hint="eastAsia"/>
          <w:sz w:val="21"/>
        </w:rPr>
        <w:t>(</w:t>
      </w:r>
      <w:r>
        <w:rPr>
          <w:rFonts w:hint="eastAsia"/>
          <w:sz w:val="21"/>
        </w:rPr>
        <w:t>児</w:t>
      </w:r>
      <w:r>
        <w:rPr>
          <w:rFonts w:hint="eastAsia"/>
          <w:sz w:val="21"/>
        </w:rPr>
        <w:t>)</w:t>
      </w:r>
      <w:r>
        <w:rPr>
          <w:rFonts w:hint="eastAsia"/>
          <w:sz w:val="21"/>
        </w:rPr>
        <w:t>の経済的負担を軽減するため、保険診療による医療費の自己負担分の助成を継続して行います。</w:t>
      </w:r>
    </w:p>
    <w:p>
      <w:pPr>
        <w:pStyle w:val="0"/>
        <w:widowControl w:val="1"/>
        <w:jc w:val="left"/>
        <w:rPr>
          <w:rFonts w:hint="default"/>
          <w:sz w:val="21"/>
        </w:rPr>
      </w:pPr>
      <w:r>
        <w:rPr>
          <w:rFonts w:hint="default"/>
          <w:sz w:val="21"/>
        </w:rPr>
        <w:br w:type="page"/>
      </w:r>
    </w:p>
    <w:p>
      <w:pPr>
        <w:pStyle w:val="22"/>
        <w:spacing w:after="111" w:afterLines="0" w:afterAutospacing="0"/>
        <w:rPr>
          <w:rFonts w:hint="default"/>
        </w:rPr>
      </w:pPr>
      <w:bookmarkStart w:id="144" w:name="_Toc154411487"/>
      <w:r>
        <w:rPr>
          <w:rFonts w:hint="eastAsia"/>
        </w:rPr>
        <w:t>（４）その他の生活支援の推進</w:t>
      </w:r>
      <w:bookmarkEnd w:id="144"/>
    </w:p>
    <w:p>
      <w:pPr>
        <w:pStyle w:val="82"/>
        <w:rPr>
          <w:rFonts w:hint="default"/>
        </w:rPr>
      </w:pPr>
      <w:r>
        <w:rPr>
          <w:rFonts w:hint="eastAsia"/>
        </w:rPr>
        <w:t>【現状と課題】</w:t>
      </w:r>
    </w:p>
    <w:p>
      <w:pPr>
        <w:pStyle w:val="0"/>
        <w:ind w:left="662" w:leftChars="200" w:hanging="214" w:hangingChars="100"/>
        <w:rPr>
          <w:rFonts w:hint="default"/>
          <w:sz w:val="21"/>
        </w:rPr>
      </w:pPr>
      <w:r>
        <w:rPr>
          <w:rFonts w:hint="eastAsia"/>
          <w:sz w:val="21"/>
        </w:rPr>
        <w:t>◯日常生活用具給付等事業については、必要な方に必要な用具を給付しています。</w:t>
      </w:r>
    </w:p>
    <w:p>
      <w:pPr>
        <w:pStyle w:val="0"/>
        <w:ind w:left="662" w:leftChars="200" w:hanging="214" w:hangingChars="100"/>
        <w:rPr>
          <w:rFonts w:hint="default"/>
          <w:sz w:val="21"/>
        </w:rPr>
      </w:pPr>
      <w:r>
        <w:rPr>
          <w:rFonts w:hint="eastAsia"/>
          <w:sz w:val="21"/>
        </w:rPr>
        <w:t>◯地域活動支援センターについては、町内事業所に委託し、障がい者の創作的活動や生産活動の機会提供を図っています。</w:t>
      </w:r>
    </w:p>
    <w:p>
      <w:pPr>
        <w:pStyle w:val="0"/>
        <w:ind w:left="662" w:leftChars="200" w:hanging="214" w:hangingChars="100"/>
        <w:rPr>
          <w:rFonts w:hint="default"/>
          <w:sz w:val="21"/>
        </w:rPr>
      </w:pPr>
      <w:r>
        <w:rPr>
          <w:rFonts w:hint="eastAsia"/>
          <w:sz w:val="21"/>
        </w:rPr>
        <w:t>○障がい者等の家族の就労支援及び介護の一時的な休息を図るために、放課後等デイサービスや生活介護事業所及び就労訓練事業所に日中一時支援事業を行っています。</w:t>
      </w:r>
    </w:p>
    <w:p>
      <w:pPr>
        <w:pStyle w:val="0"/>
        <w:ind w:left="662" w:leftChars="200" w:hanging="214" w:hangingChars="100"/>
        <w:rPr>
          <w:rFonts w:hint="default"/>
          <w:sz w:val="21"/>
        </w:rPr>
      </w:pPr>
      <w:r>
        <w:rPr>
          <w:rFonts w:hint="eastAsia"/>
          <w:sz w:val="21"/>
        </w:rPr>
        <w:t>◯障がい者の社会参加促進に取り組むことを目的にスポーツ活動を通して交流する事業を毎月１回実施しています。コロナ禍でも感染対策を図りながら、利用者の交流の場の継続に取り組みました。</w:t>
      </w:r>
    </w:p>
    <w:p>
      <w:pPr>
        <w:pStyle w:val="0"/>
        <w:ind w:left="662" w:leftChars="200" w:hanging="214" w:hangingChars="100"/>
        <w:rPr>
          <w:rFonts w:hint="default"/>
          <w:sz w:val="21"/>
        </w:rPr>
      </w:pPr>
      <w:r>
        <w:rPr>
          <w:rFonts w:hint="eastAsia"/>
          <w:sz w:val="21"/>
        </w:rPr>
        <w:t>◯町社会福祉協議会へ事業委託し福祉機器リサイクル事業に取り組んでいます。在宅療養者の生活支援や制度利用までの応急的な支援が図られました。</w:t>
      </w:r>
    </w:p>
    <w:p>
      <w:pPr>
        <w:pStyle w:val="0"/>
        <w:ind w:left="662" w:leftChars="200" w:hanging="214" w:hangingChars="100"/>
        <w:rPr>
          <w:rFonts w:hint="default"/>
          <w:sz w:val="21"/>
        </w:rPr>
      </w:pPr>
    </w:p>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234"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211"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212"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3"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4"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246;" coordsize="6044565,219710" coordorigin="0,0" o:spid="_x0000_s1211" o:allowincell="t" o:allowoverlap="t">
                <v:roundrect id="今後の取り組み_四角（灰）" style="height:219710;width:6044565;top:0;left:0;position:absolute;" o:spid="_x0000_s1212"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213"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214"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eastAsia"/>
        </w:rPr>
        <w:t>【施策の基本的な考え方】</w:t>
      </w:r>
    </w:p>
    <w:p>
      <w:pPr>
        <w:pStyle w:val="0"/>
        <w:ind w:left="448" w:leftChars="200" w:firstLine="214" w:firstLineChars="100"/>
        <w:rPr>
          <w:rFonts w:hint="default"/>
          <w:sz w:val="21"/>
        </w:rPr>
      </w:pPr>
      <w:r>
        <w:rPr>
          <w:rFonts w:hint="eastAsia"/>
          <w:sz w:val="21"/>
        </w:rPr>
        <w:t>障害福祉サービスとともに、地域の障がい者・障がい児の実情やニーズを踏まえ、日常生活の自立や社会参加等を支えるために必要な生活支援に取り組みます。</w:t>
      </w:r>
    </w:p>
    <w:p>
      <w:pPr>
        <w:pStyle w:val="0"/>
        <w:spacing w:line="0" w:lineRule="atLeast"/>
        <w:ind w:left="448" w:leftChars="200" w:firstLine="214" w:firstLineChars="100"/>
        <w:rPr>
          <w:rFonts w:hint="default"/>
          <w:sz w:val="21"/>
        </w:rPr>
      </w:pPr>
    </w:p>
    <w:p>
      <w:pPr>
        <w:pStyle w:val="83"/>
        <w:ind w:left="448"/>
        <w:rPr>
          <w:rFonts w:hint="default"/>
          <w:color w:val="auto"/>
        </w:rPr>
      </w:pPr>
      <w:r>
        <w:rPr>
          <w:rFonts w:hint="eastAsia"/>
          <w:color w:val="auto"/>
        </w:rPr>
        <w:t>①日常生活用具給付等事業の推進</w:t>
      </w:r>
    </w:p>
    <w:p>
      <w:pPr>
        <w:pStyle w:val="0"/>
        <w:ind w:left="886" w:leftChars="300" w:hanging="214" w:hangingChars="100"/>
        <w:rPr>
          <w:rFonts w:hint="default"/>
          <w:sz w:val="21"/>
        </w:rPr>
      </w:pPr>
      <w:r>
        <w:rPr>
          <w:rFonts w:hint="eastAsia"/>
          <w:sz w:val="21"/>
        </w:rPr>
        <w:t>・障がい者の日常生活の便宜を図るために、今後も適切な日常生活用具の給付等を行います。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②地域活動支援センター事業の推進</w:t>
      </w:r>
    </w:p>
    <w:p>
      <w:pPr>
        <w:pStyle w:val="0"/>
        <w:ind w:left="886" w:leftChars="300" w:hanging="214" w:hangingChars="100"/>
        <w:rPr>
          <w:rFonts w:hint="default"/>
          <w:sz w:val="21"/>
        </w:rPr>
      </w:pPr>
      <w:r>
        <w:rPr>
          <w:rFonts w:hint="eastAsia"/>
          <w:sz w:val="21"/>
        </w:rPr>
        <w:t>・町内事業所への委託により、障がい者の創作的活動や生産活動等の機会の提供及び地域社会との交流促進などを図り、障がい者の地域生活を支援します。また、事業の周知と利用促進を図ります。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③日中一時支援事業の推進</w:t>
      </w:r>
    </w:p>
    <w:p>
      <w:pPr>
        <w:pStyle w:val="0"/>
        <w:ind w:left="886" w:leftChars="300" w:hanging="214" w:hangingChars="100"/>
        <w:rPr>
          <w:rFonts w:hint="default"/>
          <w:sz w:val="21"/>
        </w:rPr>
      </w:pPr>
      <w:r>
        <w:rPr>
          <w:rFonts w:hint="eastAsia"/>
          <w:sz w:val="21"/>
        </w:rPr>
        <w:t>・障がい者等の家族の就労支援及び介護の一時的な休息を図るために、引き続き日中一時支援事業を実施します。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④社会参加促進事業の推進</w:t>
      </w:r>
    </w:p>
    <w:p>
      <w:pPr>
        <w:pStyle w:val="0"/>
        <w:ind w:left="886" w:leftChars="300" w:hanging="214" w:hangingChars="100"/>
        <w:rPr>
          <w:rFonts w:hint="default"/>
          <w:sz w:val="21"/>
        </w:rPr>
      </w:pPr>
      <w:r>
        <w:rPr>
          <w:rFonts w:hint="eastAsia"/>
          <w:sz w:val="21"/>
        </w:rPr>
        <w:t>・障がい者の交流、余暇活動の質の向上、体力増強等に資するためのレクリエーション活動等を行うことにより、障がい者の社会参加促進に取り組みます。また、事業の周知により、利用者の増加を図り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⑤福祉機器リサイクル事業の推進</w:t>
      </w:r>
    </w:p>
    <w:p>
      <w:pPr>
        <w:pStyle w:val="0"/>
        <w:ind w:left="886" w:leftChars="300" w:hanging="214" w:hangingChars="100"/>
        <w:rPr>
          <w:rFonts w:hint="default"/>
          <w:sz w:val="21"/>
        </w:rPr>
      </w:pPr>
      <w:r>
        <w:rPr>
          <w:rFonts w:hint="eastAsia"/>
          <w:sz w:val="21"/>
        </w:rPr>
        <w:t>・不要になった福祉機器を再利用し、在宅療養者の生活支援や制度利用までの応急的な支援等を行うために、福祉機器リサイクル事業を継続します。</w:t>
      </w:r>
      <w:r>
        <w:rPr>
          <w:rFonts w:hint="default"/>
          <w:sz w:val="21"/>
        </w:rPr>
        <w:br w:type="page"/>
      </w:r>
    </w:p>
    <w:p>
      <w:pPr>
        <w:pStyle w:val="79"/>
        <w:spacing w:before="111" w:beforeLines="0" w:beforeAutospacing="0"/>
        <w:ind w:left="1121"/>
        <w:rPr>
          <w:rFonts w:hint="default"/>
        </w:rPr>
      </w:pPr>
      <w:bookmarkStart w:id="145" w:name="_Toc154411488"/>
      <w:bookmarkStart w:id="146" w:name="_Toc158300419"/>
      <w:bookmarkStart w:id="147" w:name="_Toc346185257"/>
      <w:bookmarkStart w:id="148" w:name="_Toc416340565"/>
      <w:bookmarkStart w:id="149" w:name="_Toc62831674"/>
      <w:r>
        <w:rPr>
          <w:rFonts w:hint="eastAsia"/>
        </w:rPr>
        <w:t>基本目標３　住み良い環境と生きがいの持てるまち</w:t>
      </w:r>
      <w:bookmarkEnd w:id="145"/>
      <w:bookmarkEnd w:id="146"/>
      <w:bookmarkEnd w:id="149"/>
    </w:p>
    <w:p>
      <w:pPr>
        <w:pStyle w:val="0"/>
        <w:spacing w:line="160" w:lineRule="exact"/>
        <w:rPr>
          <w:rFonts w:hint="default"/>
        </w:rPr>
      </w:pPr>
      <w:bookmarkStart w:id="150" w:name="_Toc505592296"/>
      <w:r>
        <w:rPr>
          <w:rFonts w:hint="eastAsia" w:ascii="ＭＳ ゴシック" w:hAnsi="ＭＳ ゴシック" w:eastAsia="ＭＳ ゴシック"/>
          <w:sz w:val="32"/>
        </w:rPr>
        <mc:AlternateContent>
          <mc:Choice Requires="wpg">
            <w:drawing>
              <wp:anchor distT="0" distB="0" distL="114300" distR="114300" simplePos="0" relativeHeight="238" behindDoc="1" locked="1" layoutInCell="1" hidden="0" allowOverlap="1">
                <wp:simplePos x="0" y="0"/>
                <wp:positionH relativeFrom="column">
                  <wp:posOffset>607060</wp:posOffset>
                </wp:positionH>
                <wp:positionV relativeFrom="paragraph">
                  <wp:posOffset>-302260</wp:posOffset>
                </wp:positionV>
                <wp:extent cx="5379085" cy="367665"/>
                <wp:effectExtent l="635" t="635" r="5080" b="635"/>
                <wp:wrapNone/>
                <wp:docPr id="1215" name="節の飾り（テキストの背景）"/>
                <a:graphic xmlns:a="http://schemas.openxmlformats.org/drawingml/2006/main">
                  <a:graphicData uri="http://schemas.microsoft.com/office/word/2010/wordprocessingGroup">
                    <wpg:wgp>
                      <wpg:cNvGrpSpPr/>
                      <wpg:grpSpPr>
                        <a:xfrm>
                          <a:off x="0" y="0"/>
                          <a:ext cx="5379085" cy="367665"/>
                          <a:chOff x="-1" y="0"/>
                          <a:chExt cx="5383414" cy="368807"/>
                        </a:xfrm>
                      </wpg:grpSpPr>
                      <wps:wsp>
                        <wps:cNvPr id="1216" name="節（項目）の影"/>
                        <wps:cNvSpPr/>
                        <wps:spPr>
                          <a:xfrm>
                            <a:off x="1276491" y="19050"/>
                            <a:ext cx="4106922" cy="349757"/>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7" name="節（数値）の影"/>
                        <wps:cNvSpPr/>
                        <wps:spPr>
                          <a:xfrm>
                            <a:off x="38099" y="19050"/>
                            <a:ext cx="1152820" cy="349757"/>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8" name="節（項目）"/>
                        <wps:cNvSpPr/>
                        <wps:spPr>
                          <a:xfrm>
                            <a:off x="1238390" y="0"/>
                            <a:ext cx="4120167" cy="32670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9" name="節（数値）"/>
                        <wps:cNvSpPr/>
                        <wps:spPr>
                          <a:xfrm>
                            <a:off x="-1" y="0"/>
                            <a:ext cx="1152820" cy="32630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節の飾り（テキストの背景）" style="mso-wrap-distance-right:9pt;mso-wrap-distance-bottom:0pt;margin-top:-23.8pt;mso-position-vertical-relative:text;mso-position-horizontal-relative:text;position:absolute;height:28.95pt;mso-wrap-distance-top:0pt;width:423.55pt;mso-wrap-distance-left:9pt;margin-left:47.8pt;z-index:-503316242;" coordsize="5383414,368807" coordorigin="-1,0" o:spid="_x0000_s1215" o:allowincell="t" o:allowoverlap="t">
                <v:roundrect id="節（項目）の影" style="height:349757;width:4106922;top:19050;left:1276491;position:absolute;" o:spid="_x0000_s1216" filled="t" fillcolor="#a6a6a6 [2092]" stroked="f" strokecolor="#42709c" strokeweight="1pt" o:spt="2" arcsize="10923f">
                  <v:fill/>
                  <v:stroke linestyle="single" miterlimit="8" endcap="flat" dashstyle="solid"/>
                  <v:textbox style="layout-flow:horizontal;"/>
                  <v:imagedata o:title=""/>
                  <w10:wrap type="none" anchorx="text" anchory="text"/>
                  <w10:anchorlock/>
                </v:roundrect>
                <v:roundrect id="節（数値）の影" style="height:349757;width:1152820;top:19050;left:38099;position:absolute;" o:spid="_x0000_s1217" filled="t" fillcolor="#a6a6a6 [2092]" stroked="f" strokecolor="#42709c" strokeweight="1pt" o:spt="2" arcsize="10923f">
                  <v:fill/>
                  <v:stroke linestyle="single" miterlimit="8" endcap="flat" dashstyle="solid"/>
                  <v:textbox style="layout-flow:horizontal;"/>
                  <v:imagedata o:title=""/>
                  <w10:wrap type="none" anchorx="text" anchory="text"/>
                  <w10:anchorlock/>
                </v:roundrect>
                <v:roundrect id="節（項目）" style="height:326708;width:4120167;top:0;left:1238390;position:absolute;" o:spid="_x0000_s1218" filled="t" fillcolor="#ffffff [3212]" stroked="t" strokecolor="#000000 [3213]" strokeweight="1pt" o:spt="2" arcsize="10923f">
                  <v:fill/>
                  <v:stroke linestyle="single" miterlimit="8" endcap="flat" dashstyle="solid" filltype="solid"/>
                  <v:textbox style="layout-flow:horizontal;"/>
                  <v:imagedata o:title=""/>
                  <w10:wrap type="none" anchorx="text" anchory="text"/>
                  <w10:anchorlock/>
                </v:roundrect>
                <v:roundrect id="節（数値）" style="height:326307;width:1152820;top:0;left:-1;position:absolute;" o:spid="_x0000_s1219" filled="t" fillcolor="#ffffff [3212]" stroked="t" strokecolor="#000000 [3213]" strokeweight="1pt" o:spt="2" arcsize="10923f">
                  <v:fill/>
                  <v:stroke linestyle="single" miterlimit="8" endcap="flat" dashstyle="solid" filltype="solid"/>
                  <v:textbox style="layout-flow:horizontal;"/>
                  <v:imagedata o:title=""/>
                  <w10:wrap type="none" anchorx="text" anchory="text"/>
                  <w10:anchorlock/>
                </v:roundrect>
                <w10:wrap type="none" anchorx="text" anchory="text"/>
                <w10:anchorlock/>
              </v:group>
            </w:pict>
          </mc:Fallback>
        </mc:AlternateContent>
      </w:r>
    </w:p>
    <w:p>
      <w:pPr>
        <w:pStyle w:val="0"/>
        <w:spacing w:line="0" w:lineRule="atLeast"/>
        <w:ind w:left="662" w:leftChars="200" w:hanging="214" w:hangingChars="100"/>
        <w:rPr>
          <w:rFonts w:hint="default"/>
          <w:sz w:val="21"/>
        </w:rPr>
      </w:pPr>
      <w:bookmarkStart w:id="151" w:name="_Toc154411489"/>
      <w:bookmarkStart w:id="152" w:name="_Toc62831675"/>
    </w:p>
    <w:p>
      <w:pPr>
        <w:pStyle w:val="23"/>
        <w:rPr>
          <w:rFonts w:hint="default"/>
        </w:rPr>
      </w:pPr>
      <w:bookmarkStart w:id="153" w:name="_Toc158300420"/>
      <w:r>
        <w:rPr>
          <w:rFonts w:hint="default"/>
        </w:rPr>
        <w:t>１．生活環境の整備推進</w:t>
      </w:r>
      <w:bookmarkEnd w:id="151"/>
      <w:bookmarkEnd w:id="153"/>
      <w:bookmarkEnd w:id="147"/>
      <w:bookmarkEnd w:id="148"/>
      <w:bookmarkEnd w:id="150"/>
      <w:bookmarkEnd w:id="152"/>
    </w:p>
    <w:p>
      <w:pPr>
        <w:pStyle w:val="22"/>
        <w:spacing w:after="111" w:afterLines="0" w:afterAutospacing="0"/>
        <w:rPr>
          <w:rFonts w:hint="default"/>
        </w:rPr>
      </w:pPr>
      <w:bookmarkStart w:id="154" w:name="_Toc154411490"/>
      <w:r>
        <w:rPr>
          <w:rFonts w:hint="eastAsia"/>
        </w:rPr>
        <w:t>（１）外出・移動支援の推進</w:t>
      </w:r>
      <w:bookmarkEnd w:id="154"/>
    </w:p>
    <w:p>
      <w:pPr>
        <w:pStyle w:val="82"/>
        <w:rPr>
          <w:rFonts w:hint="default"/>
        </w:rPr>
      </w:pPr>
      <w:r>
        <w:rPr>
          <w:rFonts w:hint="eastAsia"/>
        </w:rPr>
        <w:t>【現状と課題】</w:t>
      </w:r>
    </w:p>
    <w:p>
      <w:pPr>
        <w:pStyle w:val="0"/>
        <w:ind w:left="662" w:leftChars="200" w:hanging="214" w:hangingChars="100"/>
        <w:rPr>
          <w:rFonts w:hint="default"/>
          <w:sz w:val="21"/>
        </w:rPr>
      </w:pPr>
      <w:r>
        <w:rPr>
          <w:rFonts w:hint="eastAsia"/>
          <w:sz w:val="21"/>
        </w:rPr>
        <w:t>○津嘉山公園の整備において、出入口のバリアフリー化や多目的トイレの整備を実施しました。また、道路管理については、日々のパトロールを実施し、危険箇所の除去や除草作業を実施しています。違法駐車や放置車両等についても、関係機関と連携し適宜対応を行っています。今後も法律に基づいた公共施設の整備に取り組む必要があります。</w:t>
      </w:r>
    </w:p>
    <w:p>
      <w:pPr>
        <w:pStyle w:val="0"/>
        <w:ind w:left="662" w:leftChars="200" w:hanging="214" w:hangingChars="100"/>
        <w:rPr>
          <w:rFonts w:hint="default"/>
          <w:sz w:val="21"/>
        </w:rPr>
      </w:pPr>
      <w:r>
        <w:rPr>
          <w:rFonts w:hint="eastAsia"/>
          <w:sz w:val="21"/>
        </w:rPr>
        <w:t>○単独では外出困難な障がい者児が、社会生活上必要不可欠な外出及び余暇活動や社会参加のため、移動支援サービスが利用できるよう支援を行いました。</w:t>
      </w:r>
    </w:p>
    <w:p>
      <w:pPr>
        <w:pStyle w:val="0"/>
        <w:ind w:left="662" w:leftChars="200" w:hanging="214" w:hangingChars="100"/>
        <w:rPr>
          <w:rFonts w:hint="default"/>
          <w:sz w:val="21"/>
        </w:rPr>
      </w:pPr>
      <w:r>
        <w:rPr>
          <w:rFonts w:hint="eastAsia"/>
          <w:sz w:val="21"/>
        </w:rPr>
        <w:t>◯自動車運転免許の取得や自動車の改造にかかる費用の一部助成を実施しています。</w:t>
      </w:r>
    </w:p>
    <w:p>
      <w:pPr>
        <w:pStyle w:val="0"/>
        <w:ind w:left="662" w:leftChars="200" w:hanging="214" w:hangingChars="100"/>
        <w:rPr>
          <w:rFonts w:hint="default"/>
          <w:sz w:val="21"/>
        </w:rPr>
      </w:pPr>
    </w:p>
    <w:p>
      <w:pPr>
        <w:pStyle w:val="0"/>
        <w:ind w:left="224" w:leftChars="100"/>
        <w:rPr>
          <w:rFonts w:hint="default" w:ascii="ＭＳ ゴシック" w:hAnsi="ＭＳ ゴシック" w:eastAsia="ＭＳ ゴシック"/>
        </w:rPr>
      </w:pPr>
      <w:r>
        <w:rPr>
          <w:rFonts w:hint="eastAsia" w:ascii="ＭＳ ゴシック" w:hAnsi="ＭＳ ゴシック" w:eastAsia="ＭＳ ゴシック"/>
        </w:rPr>
        <w:t>（アンケート調査より）</w:t>
      </w:r>
    </w:p>
    <w:p>
      <w:pPr>
        <w:pStyle w:val="0"/>
        <w:ind w:left="662" w:leftChars="200" w:hanging="214" w:hangingChars="100"/>
        <w:rPr>
          <w:rFonts w:hint="default"/>
          <w:sz w:val="21"/>
        </w:rPr>
      </w:pPr>
      <w:r>
        <w:rPr>
          <w:rFonts w:hint="eastAsia"/>
          <w:sz w:val="21"/>
        </w:rPr>
        <w:t>○外出する時に困ることについては､「外出にお金がかかる」が</w:t>
      </w:r>
      <w:r>
        <w:rPr>
          <w:rFonts w:hint="eastAsia"/>
          <w:sz w:val="21"/>
        </w:rPr>
        <w:t>22.2</w:t>
      </w:r>
      <w:r>
        <w:rPr>
          <w:rFonts w:hint="eastAsia"/>
          <w:sz w:val="21"/>
        </w:rPr>
        <w:t>％と最も高く、次に「困った時にどうすればいいのか心配」が</w:t>
      </w:r>
      <w:r>
        <w:rPr>
          <w:rFonts w:hint="eastAsia"/>
          <w:sz w:val="21"/>
        </w:rPr>
        <w:t>20.8</w:t>
      </w:r>
      <w:r>
        <w:rPr>
          <w:rFonts w:hint="eastAsia"/>
          <w:sz w:val="21"/>
        </w:rPr>
        <w:t>％、「公共交通機関が少な</w:t>
      </w:r>
      <w:r>
        <w:rPr>
          <w:rFonts w:hint="default"/>
          <w:sz w:val="21"/>
        </w:rPr>
        <w:t>い</w:t>
      </w:r>
      <w:r>
        <w:rPr>
          <w:rFonts w:hint="default"/>
          <w:sz w:val="21"/>
        </w:rPr>
        <w:t>(</w:t>
      </w:r>
      <w:r>
        <w:rPr>
          <w:rFonts w:hint="default"/>
          <w:sz w:val="21"/>
        </w:rPr>
        <w:t>ない</w:t>
      </w:r>
      <w:r>
        <w:rPr>
          <w:rFonts w:hint="default"/>
          <w:sz w:val="21"/>
        </w:rPr>
        <w:t>)</w:t>
      </w:r>
      <w:r>
        <w:rPr>
          <w:rFonts w:hint="eastAsia"/>
          <w:sz w:val="21"/>
        </w:rPr>
        <w:t>」が</w:t>
      </w:r>
      <w:r>
        <w:rPr>
          <w:rFonts w:hint="eastAsia"/>
          <w:sz w:val="21"/>
        </w:rPr>
        <w:t>17.7</w:t>
      </w:r>
      <w:r>
        <w:rPr>
          <w:rFonts w:hint="eastAsia"/>
          <w:sz w:val="21"/>
        </w:rPr>
        <w:t>％となっています。</w:t>
      </w:r>
    </w:p>
    <w:p>
      <w:pPr>
        <w:pStyle w:val="0"/>
        <w:ind w:left="662" w:leftChars="200" w:hanging="214" w:hangingChars="100"/>
        <w:rPr>
          <w:rFonts w:hint="default"/>
          <w:sz w:val="21"/>
        </w:rPr>
      </w:pPr>
    </w:p>
    <w:p>
      <w:pPr>
        <w:pStyle w:val="0"/>
        <w:ind w:left="662" w:leftChars="200" w:hanging="214" w:hangingChars="100"/>
        <w:rPr>
          <w:rFonts w:hint="default"/>
          <w:sz w:val="21"/>
        </w:rPr>
      </w:pPr>
    </w:p>
    <w:p>
      <w:pPr>
        <w:pStyle w:val="0"/>
        <w:widowControl w:val="1"/>
        <w:jc w:val="left"/>
        <w:rPr>
          <w:rFonts w:hint="default"/>
          <w:sz w:val="21"/>
        </w:rPr>
      </w:pPr>
      <w:r>
        <w:rPr>
          <w:rFonts w:hint="default"/>
          <w:sz w:val="21"/>
        </w:rPr>
        <w:br w:type="page"/>
      </w:r>
    </w:p>
    <w:p>
      <w:pPr>
        <w:pStyle w:val="0"/>
        <w:widowControl w:val="1"/>
        <w:spacing w:line="20" w:lineRule="exact"/>
        <w:jc w:val="left"/>
        <w:rPr>
          <w:rFonts w:hint="default"/>
          <w:sz w:val="21"/>
        </w:rPr>
      </w:pPr>
    </w:p>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243"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220"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221"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22"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23"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237;" coordsize="6044565,219710" coordorigin="0,0" o:spid="_x0000_s1220" o:allowincell="t" o:allowoverlap="t">
                <v:roundrect id="今後の取り組み_四角（灰）" style="height:219710;width:6044565;top:0;left:0;position:absolute;" o:spid="_x0000_s1221"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222"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223"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eastAsia"/>
        </w:rPr>
        <w:t>【施策の基本的な考え方】</w:t>
      </w:r>
    </w:p>
    <w:p>
      <w:pPr>
        <w:pStyle w:val="0"/>
        <w:spacing w:line="360" w:lineRule="exact"/>
        <w:ind w:left="560" w:leftChars="250" w:firstLine="214" w:firstLineChars="100"/>
        <w:rPr>
          <w:rFonts w:hint="default"/>
          <w:sz w:val="21"/>
        </w:rPr>
      </w:pPr>
      <w:r>
        <w:rPr>
          <w:rFonts w:hint="eastAsia"/>
          <w:sz w:val="21"/>
        </w:rPr>
        <w:t>障がい者等が安心して外出することができ、自立と社会参加が促進されるよう、公共施設の段差解消等物理的な障壁の除去、わかりやすい案内表示の整備等を推進するとともに、障がい者の外出や移動に対する支援を提供し、行動圏を広げていきます。</w:t>
      </w:r>
    </w:p>
    <w:p>
      <w:pPr>
        <w:pStyle w:val="0"/>
        <w:spacing w:line="360" w:lineRule="exact"/>
        <w:ind w:left="774" w:leftChars="250" w:hanging="214" w:hangingChars="100"/>
        <w:rPr>
          <w:rFonts w:hint="default"/>
          <w:sz w:val="21"/>
        </w:rPr>
      </w:pPr>
    </w:p>
    <w:p>
      <w:pPr>
        <w:pStyle w:val="83"/>
        <w:ind w:left="448"/>
        <w:rPr>
          <w:rFonts w:hint="default"/>
          <w:color w:val="auto"/>
        </w:rPr>
      </w:pPr>
      <w:r>
        <w:rPr>
          <w:rFonts w:hint="eastAsia"/>
          <w:color w:val="auto"/>
        </w:rPr>
        <w:t>①公共施設の整備推進</w:t>
      </w:r>
    </w:p>
    <w:p>
      <w:pPr>
        <w:pStyle w:val="0"/>
        <w:ind w:left="886" w:leftChars="300" w:hanging="214" w:hangingChars="100"/>
        <w:rPr>
          <w:rFonts w:hint="default"/>
          <w:sz w:val="21"/>
        </w:rPr>
      </w:pPr>
      <w:r>
        <w:rPr>
          <w:rFonts w:hint="eastAsia"/>
          <w:sz w:val="21"/>
        </w:rPr>
        <w:t>・新たに整備する道路や公共建築物、公園等について、引き続きバリアフリーに関する法律や｢沖縄県福祉のまちづくり条例｣等に基づく設置基準に従って、障がい者等の円滑な利用に配慮したバリアフリーを推進します。</w:t>
      </w:r>
    </w:p>
    <w:p>
      <w:pPr>
        <w:pStyle w:val="0"/>
        <w:ind w:left="886" w:leftChars="300" w:hanging="214" w:hangingChars="100"/>
        <w:rPr>
          <w:rFonts w:hint="default"/>
          <w:sz w:val="21"/>
        </w:rPr>
      </w:pPr>
      <w:r>
        <w:rPr>
          <w:rFonts w:hint="eastAsia"/>
          <w:sz w:val="21"/>
        </w:rPr>
        <w:t>・道路管理については、引き続きパトロール等により危険箇所を把握し、適時修繕を行います。</w:t>
      </w:r>
    </w:p>
    <w:p>
      <w:pPr>
        <w:pStyle w:val="0"/>
        <w:ind w:left="886" w:leftChars="300" w:hanging="214" w:hangingChars="100"/>
        <w:rPr>
          <w:rFonts w:hint="default"/>
          <w:sz w:val="21"/>
        </w:rPr>
      </w:pPr>
      <w:r>
        <w:rPr>
          <w:rFonts w:hint="eastAsia"/>
          <w:sz w:val="21"/>
        </w:rPr>
        <w:t>・安全な歩行を妨げる車の違法駐車や障害物の設置及び身体障害者専用駐車場への健常者の駐車防止等について、地域への啓発を行います。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②</w:t>
      </w:r>
      <w:r>
        <w:rPr>
          <w:rFonts w:hint="eastAsia"/>
          <w:color w:val="auto"/>
          <w:vertAlign w:val="superscript"/>
        </w:rPr>
        <w:t>※</w:t>
      </w:r>
      <w:r>
        <w:rPr>
          <w:rFonts w:hint="eastAsia"/>
          <w:color w:val="auto"/>
        </w:rPr>
        <w:t>ユニバーサルデザインの普及啓発</w:t>
      </w:r>
    </w:p>
    <w:p>
      <w:pPr>
        <w:pStyle w:val="0"/>
        <w:ind w:left="886" w:leftChars="300" w:hanging="214" w:hangingChars="100"/>
        <w:rPr>
          <w:rFonts w:hint="default"/>
          <w:sz w:val="21"/>
        </w:rPr>
      </w:pPr>
      <w:r>
        <w:rPr>
          <w:rFonts w:hint="eastAsia"/>
          <w:sz w:val="21"/>
        </w:rPr>
        <w:t>・できるだけ多くの住民にとって、より快適な生活環境を整えるために、はじめからあらゆる方法で障壁を生み出させないようデザインすることも大切であり、その観点から引き続きユニバーサルデザインの考え方の普及啓発に努めます。</w:t>
      </w:r>
    </w:p>
    <w:p>
      <w:pPr>
        <w:pStyle w:val="0"/>
        <w:ind w:left="886" w:leftChars="300" w:hanging="214" w:hangingChars="100"/>
        <w:rPr>
          <w:rFonts w:hint="default"/>
          <w:sz w:val="21"/>
        </w:rPr>
      </w:pPr>
      <w:r>
        <w:rPr>
          <w:rFonts w:hint="eastAsia"/>
          <w:sz w:val="21"/>
        </w:rPr>
        <w:t>・出前講座を実施する際には、身近にある商品を活用したわかり易い内容で、啓発に取り組みます。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③わかりやすい案内表示の整備推進</w:t>
      </w:r>
    </w:p>
    <w:p>
      <w:pPr>
        <w:pStyle w:val="0"/>
        <w:ind w:left="886" w:leftChars="300" w:hanging="214" w:hangingChars="100"/>
        <w:rPr>
          <w:rFonts w:hint="default"/>
          <w:sz w:val="21"/>
        </w:rPr>
      </w:pPr>
      <w:r>
        <w:rPr>
          <w:rFonts w:hint="eastAsia"/>
          <w:sz w:val="21"/>
        </w:rPr>
        <w:t>・障がい者が必要な情報を広い空間の中から読みとることができるよう、多様な障がいの特性を踏まえて、公共施設等の案内表示について、その位置や高さ、向き、標記のデザイン等の検証を行い、障がい者にわかりやすい案内表示となるよう必要な整備を進め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④外出時の同行支援の推進</w:t>
      </w:r>
    </w:p>
    <w:p>
      <w:pPr>
        <w:pStyle w:val="0"/>
        <w:ind w:left="886" w:leftChars="300" w:hanging="214" w:hangingChars="100"/>
        <w:rPr>
          <w:rFonts w:hint="default"/>
          <w:sz w:val="21"/>
        </w:rPr>
      </w:pPr>
      <w:r>
        <w:rPr>
          <w:rFonts w:hint="eastAsia"/>
          <w:sz w:val="21"/>
        </w:rPr>
        <w:t>・障害福祉サービスの同行援護、行動援護及び重度訪問介護といった、外出・移動等の際にヘルパーによる支援が受けられるサービスの利活用を進めます。また、移動支援事業により屋外での移動が困難な障がい者等について、外出のための支援を行なうヘルパーの派遣を継続し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⑤自動車運転免許取得・自動車改造支援の推進</w:t>
      </w:r>
    </w:p>
    <w:p>
      <w:pPr>
        <w:pStyle w:val="0"/>
        <w:ind w:left="886" w:leftChars="300" w:hanging="214" w:hangingChars="100"/>
        <w:rPr>
          <w:rFonts w:hint="default"/>
          <w:sz w:val="21"/>
        </w:rPr>
      </w:pPr>
      <w:r>
        <w:rPr>
          <w:rFonts w:hint="eastAsia"/>
          <w:sz w:val="21"/>
        </w:rPr>
        <w:t>・障がい者の社会活動への参加を促進するために、自動車運転免許の取得や自動車の改造にかかる費用の一部助成を継続します。</w:t>
      </w:r>
    </w:p>
    <w:p>
      <w:pPr>
        <w:pStyle w:val="0"/>
        <w:spacing w:line="0" w:lineRule="atLeast"/>
        <w:ind w:left="886" w:leftChars="300" w:hanging="214" w:hangingChars="100"/>
        <w:rPr>
          <w:rFonts w:hint="default"/>
          <w:sz w:val="21"/>
        </w:rPr>
      </w:pPr>
    </w:p>
    <w:tbl>
      <w:tblPr>
        <w:tblStyle w:val="11"/>
        <w:tblW w:w="9486" w:type="dxa"/>
        <w:tblInd w:w="142" w:type="dxa"/>
        <w:tblLayout w:type="fixed"/>
        <w:tblLook w:firstRow="1" w:lastRow="0" w:firstColumn="1" w:lastColumn="0" w:noHBand="0" w:noVBand="1" w:val="04A0"/>
      </w:tblPr>
      <w:tblGrid>
        <w:gridCol w:w="9486"/>
      </w:tblGrid>
      <w:tr>
        <w:trPr/>
        <w:tc>
          <w:tcPr>
            <w:tcW w:w="9486" w:type="dxa"/>
            <w:tcBorders>
              <w:top w:val="single" w:color="auto" w:sz="8" w:space="0"/>
              <w:left w:val="nil"/>
              <w:bottom w:val="nil"/>
              <w:right w:val="nil"/>
              <w:tl2br w:val="none" w:color="auto" w:sz="0" w:space="0"/>
              <w:tr2bl w:val="none" w:color="auto" w:sz="0" w:space="0"/>
            </w:tcBorders>
            <w:vAlign w:val="top"/>
          </w:tcPr>
          <w:p>
            <w:pPr>
              <w:pStyle w:val="86"/>
              <w:spacing w:before="74" w:beforeLines="0" w:beforeAutospacing="0"/>
              <w:rPr>
                <w:rFonts w:hint="default"/>
                <w:color w:val="auto"/>
              </w:rPr>
            </w:pPr>
            <w:r>
              <w:rPr>
                <w:rFonts w:hint="eastAsia"/>
                <w:color w:val="auto"/>
              </w:rPr>
              <w:t>※</w:t>
            </w:r>
            <w:r>
              <w:rPr>
                <w:rFonts w:hint="eastAsia"/>
                <w:color w:val="auto"/>
              </w:rPr>
              <w:t xml:space="preserve"> </w:t>
            </w:r>
            <w:r>
              <w:rPr>
                <w:rFonts w:hint="eastAsia"/>
                <w:color w:val="auto"/>
              </w:rPr>
              <w:t>ユニバーサルデザイン</w:t>
            </w:r>
          </w:p>
          <w:p>
            <w:pPr>
              <w:pStyle w:val="85"/>
              <w:ind w:left="448" w:firstLine="204"/>
              <w:rPr>
                <w:rFonts w:hint="default"/>
                <w:color w:val="auto"/>
              </w:rPr>
            </w:pPr>
            <w:r>
              <w:rPr>
                <w:rFonts w:hint="eastAsia"/>
                <w:color w:val="auto"/>
              </w:rPr>
              <w:t>障がいの有無、年齡、性別、人種等の違いを超えて、誰もが利用しやすいよう、あらかじめ配慮して、まちづくりや建物、製品等のデザインをしていこうという考え方です。</w:t>
            </w:r>
          </w:p>
        </w:tc>
      </w:tr>
    </w:tbl>
    <w:p>
      <w:pPr>
        <w:pStyle w:val="0"/>
        <w:widowControl w:val="1"/>
        <w:spacing w:line="20" w:lineRule="exact"/>
        <w:jc w:val="left"/>
        <w:rPr>
          <w:rFonts w:hint="default"/>
          <w:sz w:val="21"/>
        </w:rPr>
      </w:pPr>
      <w:bookmarkStart w:id="155" w:name="_Toc154411491"/>
      <w:r>
        <w:rPr>
          <w:rFonts w:hint="default"/>
          <w:sz w:val="21"/>
        </w:rPr>
        <w:br w:type="page"/>
      </w:r>
    </w:p>
    <w:p>
      <w:pPr>
        <w:pStyle w:val="22"/>
        <w:spacing w:after="111" w:afterLines="0" w:afterAutospacing="0"/>
        <w:rPr>
          <w:rFonts w:hint="default"/>
        </w:rPr>
      </w:pPr>
      <w:r>
        <w:rPr>
          <w:rFonts w:hint="eastAsia"/>
        </w:rPr>
        <w:t>（２）住環境の整備推進</w:t>
      </w:r>
      <w:bookmarkEnd w:id="155"/>
    </w:p>
    <w:p>
      <w:pPr>
        <w:pStyle w:val="82"/>
        <w:rPr>
          <w:rFonts w:hint="default"/>
        </w:rPr>
      </w:pPr>
      <w:r>
        <w:rPr>
          <w:rFonts w:hint="eastAsia"/>
        </w:rPr>
        <w:t>【現状と課題】</w:t>
      </w:r>
    </w:p>
    <w:p>
      <w:pPr>
        <w:pStyle w:val="84"/>
        <w:rPr>
          <w:rFonts w:hint="default"/>
          <w:color w:val="auto"/>
        </w:rPr>
      </w:pPr>
      <w:r>
        <w:rPr>
          <w:rFonts w:hint="default"/>
          <w:color w:val="auto"/>
        </w:rPr>
        <w:t>►</w:t>
      </w:r>
      <w:r>
        <w:rPr>
          <w:rFonts w:hint="eastAsia"/>
          <w:color w:val="auto"/>
        </w:rPr>
        <w:t>住環境の改善に関する相談支援</w:t>
      </w:r>
    </w:p>
    <w:p>
      <w:pPr>
        <w:pStyle w:val="0"/>
        <w:ind w:left="774" w:leftChars="250" w:hanging="214" w:hangingChars="100"/>
        <w:rPr>
          <w:rFonts w:hint="default"/>
          <w:sz w:val="21"/>
        </w:rPr>
      </w:pPr>
      <w:r>
        <w:rPr>
          <w:rFonts w:hint="eastAsia"/>
          <w:sz w:val="21"/>
        </w:rPr>
        <w:t>○住環境の改善に関する相談がある場合は、現在の状況等を聞き取りながら他制度</w:t>
      </w:r>
      <w:r>
        <w:rPr>
          <w:rFonts w:hint="default"/>
          <w:sz w:val="21"/>
        </w:rPr>
        <w:t>(</w:t>
      </w:r>
      <w:r>
        <w:rPr>
          <w:rFonts w:hint="default"/>
          <w:sz w:val="21"/>
        </w:rPr>
        <w:t>介護保険・住宅リフォーム制度</w:t>
      </w:r>
      <w:r>
        <w:rPr>
          <w:rFonts w:hint="default"/>
          <w:sz w:val="21"/>
        </w:rPr>
        <w:t>)</w:t>
      </w:r>
      <w:r>
        <w:rPr>
          <w:rFonts w:hint="default"/>
          <w:sz w:val="21"/>
        </w:rPr>
        <w:t>の該当有無も視野に入れながら対応に努め</w:t>
      </w:r>
      <w:r>
        <w:rPr>
          <w:rFonts w:hint="eastAsia"/>
          <w:sz w:val="21"/>
        </w:rPr>
        <w:t>ました。</w:t>
      </w:r>
    </w:p>
    <w:p>
      <w:pPr>
        <w:pStyle w:val="0"/>
        <w:ind w:left="774" w:leftChars="250" w:hanging="214" w:hangingChars="100"/>
        <w:rPr>
          <w:rFonts w:hint="default"/>
          <w:sz w:val="21"/>
        </w:rPr>
      </w:pPr>
      <w:r>
        <w:rPr>
          <w:rFonts w:hint="eastAsia"/>
          <w:sz w:val="21"/>
        </w:rPr>
        <w:t>○施設や医療機関から地域への移行が進められている中で、グループホーム等の共同生活の場のニーズも高まっています。</w:t>
      </w:r>
    </w:p>
    <w:p>
      <w:pPr>
        <w:pStyle w:val="0"/>
        <w:ind w:left="774" w:leftChars="250" w:hanging="214" w:hangingChars="100"/>
        <w:rPr>
          <w:rFonts w:hint="default"/>
          <w:sz w:val="21"/>
        </w:rPr>
      </w:pPr>
    </w:p>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247"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224"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225"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26"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27"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233;" coordsize="6044565,219710" coordorigin="0,0" o:spid="_x0000_s1224" o:allowincell="t" o:allowoverlap="t">
                <v:roundrect id="今後の取り組み_四角（灰）" style="height:219710;width:6044565;top:0;left:0;position:absolute;" o:spid="_x0000_s1225"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226"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227"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eastAsia"/>
        </w:rPr>
        <w:t>【施策の基本的な考え方】</w:t>
      </w:r>
    </w:p>
    <w:p>
      <w:pPr>
        <w:pStyle w:val="0"/>
        <w:ind w:left="560" w:leftChars="250" w:firstLine="214" w:firstLineChars="100"/>
        <w:rPr>
          <w:rFonts w:hint="default"/>
          <w:sz w:val="21"/>
        </w:rPr>
      </w:pPr>
      <w:r>
        <w:rPr>
          <w:rFonts w:hint="eastAsia"/>
          <w:sz w:val="21"/>
        </w:rPr>
        <w:t>障がい者それぞれの状態やニーズに応じた安心、安全、快適な住まいが確保できるよう、住宅改修等の相談支援の充実や共同生活援助</w:t>
      </w:r>
      <w:r>
        <w:rPr>
          <w:rFonts w:hint="default"/>
          <w:sz w:val="21"/>
        </w:rPr>
        <w:t>(</w:t>
      </w:r>
      <w:r>
        <w:rPr>
          <w:rFonts w:hint="eastAsia"/>
          <w:sz w:val="21"/>
        </w:rPr>
        <w:t>グループホーム</w:t>
      </w:r>
      <w:r>
        <w:rPr>
          <w:rFonts w:hint="default"/>
          <w:sz w:val="21"/>
        </w:rPr>
        <w:t>)</w:t>
      </w:r>
      <w:r>
        <w:rPr>
          <w:rFonts w:hint="eastAsia"/>
          <w:sz w:val="21"/>
        </w:rPr>
        <w:t>の整備について関係機関と連携を図ります。</w:t>
      </w:r>
    </w:p>
    <w:p>
      <w:pPr>
        <w:pStyle w:val="0"/>
        <w:ind w:left="560" w:leftChars="250" w:firstLine="214" w:firstLineChars="100"/>
        <w:rPr>
          <w:rFonts w:hint="default"/>
          <w:sz w:val="21"/>
        </w:rPr>
      </w:pPr>
    </w:p>
    <w:p>
      <w:pPr>
        <w:pStyle w:val="83"/>
        <w:ind w:left="448"/>
        <w:rPr>
          <w:rFonts w:hint="default"/>
          <w:color w:val="auto"/>
        </w:rPr>
      </w:pPr>
      <w:r>
        <w:rPr>
          <w:rFonts w:hint="eastAsia"/>
          <w:color w:val="auto"/>
        </w:rPr>
        <w:t>①住環境の改善に関する相談支援の充実</w:t>
      </w:r>
    </w:p>
    <w:p>
      <w:pPr>
        <w:pStyle w:val="0"/>
        <w:ind w:left="886" w:leftChars="300" w:hanging="214" w:hangingChars="100"/>
        <w:rPr>
          <w:rFonts w:hint="default"/>
          <w:sz w:val="21"/>
        </w:rPr>
      </w:pPr>
      <w:r>
        <w:rPr>
          <w:rFonts w:hint="eastAsia"/>
          <w:sz w:val="21"/>
        </w:rPr>
        <w:t>・障がい者の住まいが安全で快適に暮らせる場となるよう関係機関と連携した相談体制の充実を図ります。また、日常生活用具給付等事業による自立生活支援用具等の周知と利用促進を図ります。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②共同生活の場の確保推進</w:t>
      </w:r>
    </w:p>
    <w:p>
      <w:pPr>
        <w:pStyle w:val="0"/>
        <w:ind w:left="886" w:leftChars="300" w:hanging="214" w:hangingChars="100"/>
        <w:rPr>
          <w:rFonts w:hint="default"/>
          <w:sz w:val="21"/>
        </w:rPr>
      </w:pPr>
      <w:r>
        <w:rPr>
          <w:rFonts w:hint="eastAsia"/>
          <w:sz w:val="21"/>
        </w:rPr>
        <w:t>・障害福祉サービスの居住系サービスである｢共同生活援助</w:t>
      </w:r>
      <w:r>
        <w:rPr>
          <w:rFonts w:hint="eastAsia"/>
          <w:sz w:val="21"/>
        </w:rPr>
        <w:t>(</w:t>
      </w:r>
      <w:r>
        <w:rPr>
          <w:rFonts w:hint="eastAsia"/>
          <w:sz w:val="21"/>
        </w:rPr>
        <w:t>グループホーム</w:t>
      </w:r>
      <w:r>
        <w:rPr>
          <w:rFonts w:hint="eastAsia"/>
          <w:sz w:val="21"/>
        </w:rPr>
        <w:t>)</w:t>
      </w:r>
      <w:r>
        <w:rPr>
          <w:rFonts w:hint="eastAsia"/>
          <w:sz w:val="21"/>
        </w:rPr>
        <w:t>｣といった共同生活の場について、障がい者のニーズを踏まえて、障害福祉サービス事業所や関係機関と連携を図ります。</w:t>
      </w: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widowControl w:val="1"/>
        <w:jc w:val="left"/>
        <w:rPr>
          <w:rFonts w:hint="default"/>
          <w:sz w:val="21"/>
        </w:rPr>
      </w:pPr>
      <w:r>
        <w:rPr>
          <w:rFonts w:hint="default"/>
          <w:sz w:val="21"/>
        </w:rPr>
        <w:br w:type="page"/>
      </w:r>
    </w:p>
    <w:p>
      <w:pPr>
        <w:pStyle w:val="23"/>
        <w:rPr>
          <w:rFonts w:hint="default"/>
        </w:rPr>
      </w:pPr>
      <w:bookmarkStart w:id="156" w:name="_Toc154411492"/>
      <w:bookmarkStart w:id="157" w:name="_Toc158300421"/>
      <w:bookmarkStart w:id="158" w:name="_Toc346185258"/>
      <w:bookmarkStart w:id="159" w:name="_Toc416340566"/>
      <w:bookmarkStart w:id="160" w:name="_Toc505592297"/>
      <w:bookmarkStart w:id="161" w:name="_Toc62831676"/>
      <w:r>
        <w:rPr>
          <w:rFonts w:hint="default"/>
        </w:rPr>
        <w:t>２．社会参加・生きがい活動の推進</w:t>
      </w:r>
      <w:bookmarkEnd w:id="156"/>
      <w:bookmarkEnd w:id="157"/>
      <w:bookmarkEnd w:id="158"/>
      <w:bookmarkEnd w:id="159"/>
      <w:bookmarkEnd w:id="160"/>
      <w:bookmarkEnd w:id="161"/>
    </w:p>
    <w:p>
      <w:pPr>
        <w:pStyle w:val="22"/>
        <w:spacing w:after="111" w:afterLines="0" w:afterAutospacing="0"/>
        <w:rPr>
          <w:rFonts w:hint="default"/>
        </w:rPr>
      </w:pPr>
      <w:bookmarkStart w:id="162" w:name="_Toc154411493"/>
      <w:r>
        <w:rPr>
          <w:rFonts w:hint="eastAsia"/>
        </w:rPr>
        <w:t>（１）スポーツ・レクリエーション及び文化活動の推進</w:t>
      </w:r>
      <w:bookmarkEnd w:id="162"/>
    </w:p>
    <w:p>
      <w:pPr>
        <w:pStyle w:val="82"/>
        <w:rPr>
          <w:rFonts w:hint="default"/>
        </w:rPr>
      </w:pPr>
      <w:r>
        <w:rPr>
          <w:rFonts w:hint="eastAsia"/>
        </w:rPr>
        <w:t>【現状と課題】</w:t>
      </w:r>
    </w:p>
    <w:p>
      <w:pPr>
        <w:pStyle w:val="84"/>
        <w:rPr>
          <w:rFonts w:hint="default"/>
          <w:color w:val="auto"/>
        </w:rPr>
      </w:pPr>
      <w:r>
        <w:rPr>
          <w:rFonts w:hint="default"/>
          <w:color w:val="auto"/>
        </w:rPr>
        <w:t>►</w:t>
      </w:r>
      <w:r>
        <w:rPr>
          <w:rFonts w:hint="eastAsia"/>
          <w:color w:val="auto"/>
        </w:rPr>
        <w:t>スポーツ・レクリエーション活動</w:t>
      </w:r>
    </w:p>
    <w:p>
      <w:pPr>
        <w:pStyle w:val="0"/>
        <w:ind w:left="774" w:leftChars="250" w:hanging="214" w:hangingChars="100"/>
        <w:rPr>
          <w:rFonts w:hint="default"/>
          <w:spacing w:val="-4"/>
          <w:sz w:val="21"/>
        </w:rPr>
      </w:pPr>
      <w:r>
        <w:rPr>
          <w:rFonts w:hint="eastAsia"/>
          <w:sz w:val="21"/>
        </w:rPr>
        <w:t>◯</w:t>
      </w:r>
      <w:r>
        <w:rPr>
          <w:rFonts w:hint="eastAsia"/>
          <w:spacing w:val="-4"/>
          <w:sz w:val="21"/>
        </w:rPr>
        <w:t>町身体障害者福祉協会と町社会福祉協議会と連携し、「沖縄県身体障害者スポーツ大会」への参加を行いました。また、ＭＩＸスポーツ教室を開催し、障がい者のスポーツ活動を通した社会参加を図っています。</w:t>
      </w:r>
    </w:p>
    <w:p>
      <w:pPr>
        <w:pStyle w:val="0"/>
        <w:ind w:left="766" w:leftChars="250" w:hanging="206" w:hangingChars="100"/>
        <w:rPr>
          <w:rFonts w:hint="default"/>
          <w:spacing w:val="-4"/>
          <w:sz w:val="21"/>
        </w:rPr>
      </w:pPr>
    </w:p>
    <w:p>
      <w:pPr>
        <w:pStyle w:val="84"/>
        <w:rPr>
          <w:rFonts w:hint="default"/>
          <w:color w:val="auto"/>
        </w:rPr>
      </w:pPr>
      <w:r>
        <w:rPr>
          <w:rFonts w:hint="default"/>
          <w:color w:val="auto"/>
        </w:rPr>
        <w:t>►</w:t>
      </w:r>
      <w:r>
        <w:rPr>
          <w:rFonts w:hint="eastAsia"/>
          <w:color w:val="auto"/>
        </w:rPr>
        <w:t>文化活動</w:t>
      </w:r>
    </w:p>
    <w:p>
      <w:pPr>
        <w:pStyle w:val="0"/>
        <w:ind w:left="774" w:leftChars="250" w:hanging="214" w:hangingChars="100"/>
        <w:rPr>
          <w:rFonts w:hint="default"/>
          <w:sz w:val="21"/>
        </w:rPr>
      </w:pPr>
      <w:r>
        <w:rPr>
          <w:rFonts w:hint="eastAsia"/>
          <w:sz w:val="21"/>
        </w:rPr>
        <w:t>◯令和元年度までは、町社会福祉協議会の活動においてパソコン教室やスマホ教室等を開催していましたが、コロナ禍により取り組みができていない状況です。ニーズに合わせた教室など活動機会の確保が必要です。</w:t>
      </w:r>
    </w:p>
    <w:p>
      <w:pPr>
        <w:pStyle w:val="0"/>
        <w:ind w:left="774" w:leftChars="250" w:hanging="214" w:hangingChars="100"/>
        <w:rPr>
          <w:rFonts w:hint="default"/>
          <w:sz w:val="21"/>
        </w:rPr>
      </w:pPr>
    </w:p>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251"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228"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229"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30"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31"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229;" coordsize="6044565,219710" coordorigin="0,0" o:spid="_x0000_s1228" o:allowincell="t" o:allowoverlap="t">
                <v:roundrect id="今後の取り組み_四角（灰）" style="height:219710;width:6044565;top:0;left:0;position:absolute;" o:spid="_x0000_s1229"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230"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231"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eastAsia"/>
        </w:rPr>
        <w:t>【施策の基本的な考え方】</w:t>
      </w:r>
    </w:p>
    <w:p>
      <w:pPr>
        <w:pStyle w:val="0"/>
        <w:ind w:left="448" w:leftChars="200" w:firstLine="214" w:firstLineChars="100"/>
        <w:rPr>
          <w:rFonts w:hint="default"/>
          <w:sz w:val="21"/>
        </w:rPr>
      </w:pPr>
      <w:r>
        <w:rPr>
          <w:rFonts w:hint="eastAsia"/>
          <w:sz w:val="21"/>
        </w:rPr>
        <w:t>障がい者のスポーツ・レクリエーション及び文化活動等多様な活動への参加は、障がい者の生活の質の向上や自己実現につながるとともに、障がい者の社会参加の促進と地域の障がい者に対する理解と認識を深めることから、障がい者のニーズに基づき必要な支援を行います。</w:t>
      </w:r>
    </w:p>
    <w:p>
      <w:pPr>
        <w:pStyle w:val="0"/>
        <w:ind w:left="448" w:leftChars="200" w:firstLine="214" w:firstLineChars="100"/>
        <w:rPr>
          <w:rFonts w:hint="default"/>
          <w:sz w:val="21"/>
        </w:rPr>
      </w:pPr>
    </w:p>
    <w:p>
      <w:pPr>
        <w:pStyle w:val="83"/>
        <w:ind w:left="448"/>
        <w:rPr>
          <w:rFonts w:hint="default"/>
          <w:color w:val="auto"/>
        </w:rPr>
      </w:pPr>
      <w:r>
        <w:rPr>
          <w:rFonts w:hint="eastAsia"/>
          <w:color w:val="auto"/>
        </w:rPr>
        <w:t>①スポーツ・レクリエーション活動の振興</w:t>
      </w:r>
    </w:p>
    <w:p>
      <w:pPr>
        <w:pStyle w:val="0"/>
        <w:ind w:left="886" w:leftChars="300" w:hanging="214" w:hangingChars="100"/>
        <w:rPr>
          <w:rFonts w:hint="default"/>
          <w:sz w:val="21"/>
        </w:rPr>
      </w:pPr>
      <w:r>
        <w:rPr>
          <w:rFonts w:hint="eastAsia"/>
          <w:sz w:val="21"/>
        </w:rPr>
        <w:t>・障がい者のスポーツ・レクリエーション活動の振興を図るため、今後も｢沖縄県身体障害者スポーツ大会｣への参加を支援します。また、｢障がい者スポレク交流事業｣及び障がい者のグループ活動等について、町社会福祉協議会、地域の関係団体等と連携し、必要な支援を行います。</w:t>
      </w:r>
    </w:p>
    <w:p>
      <w:pPr>
        <w:pStyle w:val="0"/>
        <w:ind w:left="886" w:leftChars="300" w:hanging="214" w:hangingChars="100"/>
        <w:rPr>
          <w:rFonts w:hint="default"/>
          <w:sz w:val="21"/>
        </w:rPr>
      </w:pPr>
    </w:p>
    <w:p>
      <w:pPr>
        <w:pStyle w:val="83"/>
        <w:ind w:left="448"/>
        <w:rPr>
          <w:rFonts w:hint="default"/>
          <w:color w:val="auto"/>
        </w:rPr>
      </w:pPr>
      <w:r>
        <w:rPr>
          <w:rFonts w:hint="eastAsia"/>
          <w:color w:val="auto"/>
        </w:rPr>
        <w:t>②文化活動の振興</w:t>
      </w:r>
    </w:p>
    <w:p>
      <w:pPr>
        <w:pStyle w:val="0"/>
        <w:ind w:left="886" w:leftChars="300" w:hanging="214" w:hangingChars="100"/>
        <w:rPr>
          <w:rFonts w:hint="default"/>
          <w:sz w:val="21"/>
        </w:rPr>
      </w:pPr>
      <w:r>
        <w:rPr>
          <w:rFonts w:hint="eastAsia"/>
          <w:sz w:val="21"/>
        </w:rPr>
        <w:t>・障がい者の文化活動の振興を図るため、文化活動発表の場を提供するとともに、障がい者の具体的なニーズを踏まえて、障がい者に対応した生涯学習講座の開催や文化サークル活動等に参加しやすい環境づくりを進めます。</w:t>
      </w:r>
    </w:p>
    <w:p>
      <w:pPr>
        <w:pStyle w:val="0"/>
        <w:ind w:left="886" w:leftChars="300" w:hanging="214" w:hangingChars="100"/>
        <w:rPr>
          <w:rFonts w:hint="default"/>
          <w:sz w:val="21"/>
        </w:rPr>
      </w:pPr>
    </w:p>
    <w:p>
      <w:pPr>
        <w:pStyle w:val="0"/>
        <w:ind w:left="896" w:leftChars="300" w:hanging="224" w:hangingChars="100"/>
        <w:rPr>
          <w:rFonts w:hint="default" w:ascii="ＭＳ ゴシック" w:hAnsi="ＭＳ ゴシック" w:eastAsia="ＭＳ ゴシック"/>
        </w:rPr>
      </w:pPr>
      <w:r>
        <w:rPr>
          <w:rFonts w:hint="default"/>
        </w:rPr>
        <w:br w:type="page"/>
      </w:r>
    </w:p>
    <w:p>
      <w:pPr>
        <w:pStyle w:val="22"/>
        <w:spacing w:after="111" w:afterLines="0" w:afterAutospacing="0"/>
        <w:rPr>
          <w:rFonts w:hint="default"/>
        </w:rPr>
      </w:pPr>
      <w:bookmarkStart w:id="163" w:name="_Toc154411494"/>
      <w:r>
        <w:rPr>
          <w:rFonts w:hint="eastAsia"/>
        </w:rPr>
        <w:t>（２）就労支援</w:t>
      </w:r>
      <w:bookmarkEnd w:id="163"/>
    </w:p>
    <w:p>
      <w:pPr>
        <w:pStyle w:val="82"/>
        <w:rPr>
          <w:rFonts w:hint="default"/>
        </w:rPr>
      </w:pPr>
      <w:r>
        <w:rPr>
          <w:rFonts w:hint="eastAsia"/>
        </w:rPr>
        <w:t>【現状と課題】</w:t>
      </w:r>
    </w:p>
    <w:p>
      <w:pPr>
        <w:pStyle w:val="0"/>
        <w:ind w:left="662" w:leftChars="200" w:hanging="214" w:hangingChars="100"/>
        <w:rPr>
          <w:rFonts w:hint="default"/>
          <w:sz w:val="21"/>
        </w:rPr>
      </w:pPr>
      <w:r>
        <w:rPr>
          <w:rFonts w:hint="eastAsia"/>
          <w:sz w:val="21"/>
        </w:rPr>
        <w:t>○毎年度、優先調達方針を策定し、就労支援事業所等からの役務の優先調達に取り組み、実績をホームページで公表しています。</w:t>
      </w:r>
    </w:p>
    <w:p>
      <w:pPr>
        <w:pStyle w:val="0"/>
        <w:ind w:left="662" w:leftChars="200" w:hanging="214" w:hangingChars="100"/>
        <w:rPr>
          <w:rFonts w:hint="default"/>
          <w:sz w:val="21"/>
        </w:rPr>
      </w:pPr>
      <w:r>
        <w:rPr>
          <w:rFonts w:hint="eastAsia"/>
          <w:sz w:val="21"/>
        </w:rPr>
        <w:t>○障害者週間期間中に、町内の就労支援事業所で製作した作品の販売会を、町内のスーパーで行いました。利用客に、就労事業所の活動を周知する機会となっています。</w:t>
      </w:r>
    </w:p>
    <w:p>
      <w:pPr>
        <w:pStyle w:val="0"/>
        <w:ind w:left="662" w:leftChars="200" w:hanging="214" w:hangingChars="100"/>
        <w:rPr>
          <w:rFonts w:hint="default"/>
          <w:sz w:val="21"/>
        </w:rPr>
      </w:pPr>
      <w:r>
        <w:rPr>
          <w:rFonts w:hint="eastAsia"/>
          <w:sz w:val="21"/>
        </w:rPr>
        <w:t>○町及び町教育委員会における障がい者を対象とした職員採用試験は、平成</w:t>
      </w:r>
      <w:r>
        <w:rPr>
          <w:rFonts w:hint="default"/>
          <w:sz w:val="21"/>
        </w:rPr>
        <w:t>20</w:t>
      </w:r>
      <w:r>
        <w:rPr>
          <w:rFonts w:hint="default"/>
          <w:sz w:val="21"/>
        </w:rPr>
        <w:t>年度以来実施</w:t>
      </w:r>
      <w:r>
        <w:rPr>
          <w:rFonts w:hint="eastAsia"/>
          <w:sz w:val="21"/>
        </w:rPr>
        <w:t>されていませんが、</w:t>
      </w:r>
      <w:r>
        <w:rPr>
          <w:rFonts w:hint="default"/>
          <w:sz w:val="21"/>
        </w:rPr>
        <w:t>法定雇用率を念頭に</w:t>
      </w:r>
      <w:r>
        <w:rPr>
          <w:rFonts w:hint="eastAsia"/>
          <w:sz w:val="21"/>
        </w:rPr>
        <w:t>、</w:t>
      </w:r>
      <w:r>
        <w:rPr>
          <w:rFonts w:hint="default"/>
          <w:sz w:val="21"/>
        </w:rPr>
        <w:t>職員及び会計年度任用職員を雇用し、働きやすく能力が発揮できるよう職員配置・業務配分を行ってい</w:t>
      </w:r>
      <w:r>
        <w:rPr>
          <w:rFonts w:hint="eastAsia"/>
          <w:sz w:val="21"/>
        </w:rPr>
        <w:t>ます</w:t>
      </w:r>
      <w:r>
        <w:rPr>
          <w:rFonts w:hint="default"/>
          <w:sz w:val="21"/>
        </w:rPr>
        <w:t>。</w:t>
      </w:r>
    </w:p>
    <w:p>
      <w:pPr>
        <w:pStyle w:val="0"/>
        <w:ind w:left="662" w:leftChars="200" w:hanging="214" w:hangingChars="100"/>
        <w:rPr>
          <w:rFonts w:hint="default"/>
          <w:sz w:val="21"/>
        </w:rPr>
      </w:pPr>
      <w:r>
        <w:rPr>
          <w:rFonts w:hint="eastAsia"/>
          <w:sz w:val="21"/>
        </w:rPr>
        <w:t>○障がい者が働きやすい環境整備や配慮に努めていますが、ここ数年は法定雇用率を下回っており、今後、法定雇用率の引上げもあることから、喫緊の課題と認識し改善に向けて取り組む必要があります。</w:t>
      </w:r>
    </w:p>
    <w:p>
      <w:pPr>
        <w:pStyle w:val="0"/>
        <w:ind w:left="662" w:leftChars="200" w:hanging="214" w:hangingChars="100"/>
        <w:rPr>
          <w:rFonts w:hint="default"/>
          <w:sz w:val="21"/>
        </w:rPr>
      </w:pPr>
    </w:p>
    <w:p>
      <w:pPr>
        <w:pStyle w:val="0"/>
        <w:ind w:left="224" w:leftChars="100"/>
        <w:rPr>
          <w:rFonts w:hint="default" w:ascii="ＭＳ ゴシック" w:hAnsi="ＭＳ ゴシック" w:eastAsia="ＭＳ ゴシック"/>
        </w:rPr>
      </w:pPr>
      <w:r>
        <w:rPr>
          <w:rFonts w:hint="eastAsia" w:ascii="ＭＳ ゴシック" w:hAnsi="ＭＳ ゴシック" w:eastAsia="ＭＳ ゴシック"/>
        </w:rPr>
        <w:t>（アンケート調査より）</w:t>
      </w:r>
    </w:p>
    <w:p>
      <w:pPr>
        <w:pStyle w:val="0"/>
        <w:ind w:left="662" w:leftChars="200" w:hanging="214" w:hangingChars="100"/>
        <w:rPr>
          <w:rFonts w:hint="default"/>
          <w:sz w:val="21"/>
        </w:rPr>
      </w:pPr>
      <w:r>
        <w:rPr>
          <w:rFonts w:hint="eastAsia"/>
          <w:sz w:val="21"/>
        </w:rPr>
        <w:t>○アンケート調査では、</w:t>
      </w:r>
      <w:r>
        <w:rPr>
          <w:rFonts w:hint="eastAsia"/>
          <w:sz w:val="21"/>
        </w:rPr>
        <w:t>54.3</w:t>
      </w:r>
      <w:r>
        <w:rPr>
          <w:rFonts w:hint="eastAsia"/>
          <w:sz w:val="21"/>
        </w:rPr>
        <w:t>％</w:t>
      </w:r>
      <w:r>
        <w:rPr>
          <w:rFonts w:hint="eastAsia"/>
          <w:sz w:val="21"/>
        </w:rPr>
        <w:t>(</w:t>
      </w:r>
      <w:r>
        <w:rPr>
          <w:rFonts w:hint="eastAsia"/>
          <w:sz w:val="21"/>
        </w:rPr>
        <w:t>前回</w:t>
      </w:r>
      <w:r>
        <w:rPr>
          <w:rFonts w:hint="eastAsia"/>
          <w:sz w:val="21"/>
        </w:rPr>
        <w:t>54.2</w:t>
      </w:r>
      <w:r>
        <w:rPr>
          <w:rFonts w:hint="eastAsia"/>
          <w:sz w:val="21"/>
        </w:rPr>
        <w:t>％</w:t>
      </w:r>
      <w:r>
        <w:rPr>
          <w:rFonts w:hint="eastAsia"/>
          <w:sz w:val="21"/>
        </w:rPr>
        <w:t>)</w:t>
      </w:r>
      <w:r>
        <w:rPr>
          <w:rFonts w:hint="eastAsia"/>
          <w:sz w:val="21"/>
        </w:rPr>
        <w:t>の障がい者が「働いている」と答え、そのうち「パート・アルバイトをしている」が</w:t>
      </w:r>
      <w:r>
        <w:rPr>
          <w:rFonts w:hint="eastAsia"/>
          <w:sz w:val="21"/>
        </w:rPr>
        <w:t>24.8</w:t>
      </w:r>
      <w:r>
        <w:rPr>
          <w:rFonts w:hint="eastAsia"/>
          <w:sz w:val="21"/>
        </w:rPr>
        <w:t>％</w:t>
      </w:r>
      <w:r>
        <w:rPr>
          <w:rFonts w:hint="eastAsia"/>
          <w:sz w:val="21"/>
        </w:rPr>
        <w:t>(</w:t>
      </w:r>
      <w:r>
        <w:rPr>
          <w:rFonts w:hint="eastAsia"/>
          <w:sz w:val="21"/>
        </w:rPr>
        <w:t>前回</w:t>
      </w:r>
      <w:r>
        <w:rPr>
          <w:rFonts w:hint="eastAsia"/>
          <w:sz w:val="21"/>
        </w:rPr>
        <w:t>20.7</w:t>
      </w:r>
      <w:r>
        <w:rPr>
          <w:rFonts w:hint="eastAsia"/>
          <w:sz w:val="21"/>
        </w:rPr>
        <w:t>％</w:t>
      </w:r>
      <w:r>
        <w:rPr>
          <w:rFonts w:hint="eastAsia"/>
          <w:sz w:val="21"/>
        </w:rPr>
        <w:t>)</w:t>
      </w:r>
      <w:r>
        <w:rPr>
          <w:rFonts w:hint="eastAsia"/>
          <w:sz w:val="21"/>
        </w:rPr>
        <w:t>と最も高く、次に｢正規職員として働いている｣が</w:t>
      </w:r>
      <w:r>
        <w:rPr>
          <w:rFonts w:hint="eastAsia"/>
          <w:sz w:val="21"/>
        </w:rPr>
        <w:t>23.4</w:t>
      </w:r>
      <w:r>
        <w:rPr>
          <w:rFonts w:hint="eastAsia"/>
          <w:sz w:val="21"/>
        </w:rPr>
        <w:t>％</w:t>
      </w:r>
      <w:r>
        <w:rPr>
          <w:rFonts w:hint="eastAsia"/>
          <w:sz w:val="21"/>
        </w:rPr>
        <w:t>(</w:t>
      </w:r>
      <w:r>
        <w:rPr>
          <w:rFonts w:hint="eastAsia"/>
          <w:sz w:val="21"/>
        </w:rPr>
        <w:t>前回</w:t>
      </w:r>
      <w:r>
        <w:rPr>
          <w:rFonts w:hint="eastAsia"/>
          <w:sz w:val="21"/>
        </w:rPr>
        <w:t>23.5</w:t>
      </w:r>
      <w:r>
        <w:rPr>
          <w:rFonts w:hint="eastAsia"/>
          <w:sz w:val="21"/>
        </w:rPr>
        <w:t>％</w:t>
      </w:r>
      <w:r>
        <w:rPr>
          <w:rFonts w:hint="eastAsia"/>
          <w:sz w:val="21"/>
        </w:rPr>
        <w:t>)</w:t>
      </w:r>
      <w:r>
        <w:rPr>
          <w:rFonts w:hint="eastAsia"/>
          <w:sz w:val="21"/>
        </w:rPr>
        <w:t>、｢就労継続支援事業所に通っている｣が</w:t>
      </w:r>
      <w:r>
        <w:rPr>
          <w:rFonts w:hint="eastAsia"/>
          <w:sz w:val="21"/>
        </w:rPr>
        <w:t>19.7</w:t>
      </w:r>
      <w:r>
        <w:rPr>
          <w:rFonts w:hint="eastAsia"/>
          <w:sz w:val="21"/>
        </w:rPr>
        <w:t>％</w:t>
      </w:r>
      <w:r>
        <w:rPr>
          <w:rFonts w:hint="eastAsia"/>
          <w:sz w:val="21"/>
        </w:rPr>
        <w:t>(</w:t>
      </w:r>
      <w:r>
        <w:rPr>
          <w:rFonts w:hint="eastAsia"/>
          <w:sz w:val="21"/>
        </w:rPr>
        <w:t>前回</w:t>
      </w:r>
      <w:r>
        <w:rPr>
          <w:rFonts w:hint="eastAsia"/>
          <w:sz w:val="21"/>
        </w:rPr>
        <w:t>25.7</w:t>
      </w:r>
      <w:r>
        <w:rPr>
          <w:rFonts w:hint="eastAsia"/>
          <w:sz w:val="21"/>
        </w:rPr>
        <w:t>％</w:t>
      </w:r>
      <w:r>
        <w:rPr>
          <w:rFonts w:hint="eastAsia"/>
          <w:sz w:val="21"/>
        </w:rPr>
        <w:t>)</w:t>
      </w:r>
      <w:r>
        <w:rPr>
          <w:rFonts w:hint="eastAsia"/>
          <w:sz w:val="21"/>
        </w:rPr>
        <w:t>となっております。</w:t>
      </w:r>
    </w:p>
    <w:p>
      <w:pPr>
        <w:pStyle w:val="0"/>
        <w:ind w:left="662" w:leftChars="200" w:hanging="214" w:hangingChars="100"/>
        <w:rPr>
          <w:rFonts w:hint="default"/>
          <w:sz w:val="21"/>
        </w:rPr>
      </w:pPr>
      <w:r>
        <w:rPr>
          <w:rFonts w:hint="eastAsia"/>
          <w:sz w:val="21"/>
        </w:rPr>
        <w:t>◯仕事をする上で悩んでいることについては、「給与・工賃などの収入が少ない」が</w:t>
      </w:r>
      <w:r>
        <w:rPr>
          <w:rFonts w:hint="eastAsia"/>
          <w:sz w:val="21"/>
        </w:rPr>
        <w:t>23.4</w:t>
      </w:r>
      <w:r>
        <w:rPr>
          <w:rFonts w:hint="eastAsia"/>
          <w:sz w:val="21"/>
        </w:rPr>
        <w:t>％</w:t>
      </w:r>
      <w:r>
        <w:rPr>
          <w:rFonts w:hint="eastAsia"/>
          <w:sz w:val="21"/>
        </w:rPr>
        <w:t>(</w:t>
      </w:r>
      <w:r>
        <w:rPr>
          <w:rFonts w:hint="eastAsia"/>
          <w:sz w:val="21"/>
        </w:rPr>
        <w:t>前回</w:t>
      </w:r>
      <w:r>
        <w:rPr>
          <w:rFonts w:hint="eastAsia"/>
          <w:sz w:val="21"/>
        </w:rPr>
        <w:t>27.9</w:t>
      </w:r>
      <w:r>
        <w:rPr>
          <w:rFonts w:hint="eastAsia"/>
          <w:sz w:val="21"/>
        </w:rPr>
        <w:t>％</w:t>
      </w:r>
      <w:r>
        <w:rPr>
          <w:rFonts w:hint="eastAsia"/>
          <w:sz w:val="21"/>
        </w:rPr>
        <w:t>)</w:t>
      </w:r>
      <w:r>
        <w:rPr>
          <w:rFonts w:hint="eastAsia"/>
          <w:sz w:val="21"/>
        </w:rPr>
        <w:t>と最も高く、次に「職場の人間関係」が</w:t>
      </w:r>
      <w:r>
        <w:rPr>
          <w:rFonts w:hint="eastAsia"/>
          <w:sz w:val="21"/>
        </w:rPr>
        <w:t>18.8</w:t>
      </w:r>
      <w:r>
        <w:rPr>
          <w:rFonts w:hint="eastAsia"/>
          <w:sz w:val="21"/>
        </w:rPr>
        <w:t>％</w:t>
      </w:r>
      <w:r>
        <w:rPr>
          <w:rFonts w:hint="eastAsia"/>
          <w:sz w:val="21"/>
        </w:rPr>
        <w:t>(</w:t>
      </w:r>
      <w:r>
        <w:rPr>
          <w:rFonts w:hint="eastAsia"/>
          <w:sz w:val="21"/>
        </w:rPr>
        <w:t>前回</w:t>
      </w:r>
      <w:r>
        <w:rPr>
          <w:rFonts w:hint="eastAsia"/>
          <w:sz w:val="21"/>
        </w:rPr>
        <w:t>17.3</w:t>
      </w:r>
      <w:r>
        <w:rPr>
          <w:rFonts w:hint="eastAsia"/>
          <w:sz w:val="21"/>
        </w:rPr>
        <w:t>％</w:t>
      </w:r>
      <w:r>
        <w:rPr>
          <w:rFonts w:hint="eastAsia"/>
          <w:sz w:val="21"/>
        </w:rPr>
        <w:t>)</w:t>
      </w:r>
      <w:r>
        <w:rPr>
          <w:rFonts w:hint="eastAsia"/>
          <w:sz w:val="21"/>
        </w:rPr>
        <w:t>、「精神的な負担が大きい」が</w:t>
      </w:r>
      <w:r>
        <w:rPr>
          <w:rFonts w:hint="eastAsia"/>
          <w:sz w:val="21"/>
        </w:rPr>
        <w:t>18.8</w:t>
      </w:r>
      <w:r>
        <w:rPr>
          <w:rFonts w:hint="eastAsia"/>
          <w:sz w:val="21"/>
        </w:rPr>
        <w:t>％</w:t>
      </w:r>
      <w:r>
        <w:rPr>
          <w:rFonts w:hint="eastAsia"/>
          <w:sz w:val="21"/>
        </w:rPr>
        <w:t>(</w:t>
      </w:r>
      <w:r>
        <w:rPr>
          <w:rFonts w:hint="eastAsia"/>
          <w:sz w:val="21"/>
        </w:rPr>
        <w:t>前回</w:t>
      </w:r>
      <w:r>
        <w:rPr>
          <w:rFonts w:hint="eastAsia"/>
          <w:sz w:val="21"/>
        </w:rPr>
        <w:t>19.6</w:t>
      </w:r>
      <w:r>
        <w:rPr>
          <w:rFonts w:hint="eastAsia"/>
          <w:sz w:val="21"/>
        </w:rPr>
        <w:t>％</w:t>
      </w:r>
      <w:r>
        <w:rPr>
          <w:rFonts w:hint="eastAsia"/>
          <w:sz w:val="21"/>
        </w:rPr>
        <w:t>)</w:t>
      </w:r>
      <w:r>
        <w:rPr>
          <w:rFonts w:hint="eastAsia"/>
          <w:sz w:val="21"/>
        </w:rPr>
        <w:t>、「身体的な負担が大きい」が</w:t>
      </w:r>
      <w:r>
        <w:rPr>
          <w:rFonts w:hint="eastAsia"/>
          <w:sz w:val="21"/>
        </w:rPr>
        <w:t>15.6</w:t>
      </w:r>
      <w:r>
        <w:rPr>
          <w:rFonts w:hint="eastAsia"/>
          <w:sz w:val="21"/>
        </w:rPr>
        <w:t>％</w:t>
      </w:r>
      <w:r>
        <w:rPr>
          <w:rFonts w:hint="eastAsia"/>
          <w:sz w:val="21"/>
        </w:rPr>
        <w:t>(</w:t>
      </w:r>
      <w:r>
        <w:rPr>
          <w:rFonts w:hint="eastAsia"/>
          <w:sz w:val="21"/>
        </w:rPr>
        <w:t>前回</w:t>
      </w:r>
      <w:r>
        <w:rPr>
          <w:rFonts w:hint="eastAsia"/>
          <w:sz w:val="21"/>
        </w:rPr>
        <w:t>18.4</w:t>
      </w:r>
      <w:r>
        <w:rPr>
          <w:rFonts w:hint="eastAsia"/>
          <w:sz w:val="21"/>
        </w:rPr>
        <w:t>％</w:t>
      </w:r>
      <w:r>
        <w:rPr>
          <w:rFonts w:hint="eastAsia"/>
          <w:sz w:val="21"/>
        </w:rPr>
        <w:t>)</w:t>
      </w:r>
      <w:r>
        <w:rPr>
          <w:rFonts w:hint="eastAsia"/>
          <w:sz w:val="21"/>
        </w:rPr>
        <w:t>となっています。また、「困っていることに対し相談や援助をしてくれる人がいない」ことで悩んでいる障がい者が</w:t>
      </w:r>
      <w:r>
        <w:rPr>
          <w:rFonts w:hint="eastAsia"/>
          <w:sz w:val="21"/>
        </w:rPr>
        <w:t>6.4</w:t>
      </w:r>
      <w:r>
        <w:rPr>
          <w:rFonts w:hint="eastAsia"/>
          <w:sz w:val="21"/>
        </w:rPr>
        <w:t>％</w:t>
      </w:r>
      <w:r>
        <w:rPr>
          <w:rFonts w:hint="eastAsia"/>
          <w:sz w:val="21"/>
        </w:rPr>
        <w:t>(</w:t>
      </w:r>
      <w:r>
        <w:rPr>
          <w:rFonts w:hint="eastAsia"/>
          <w:sz w:val="21"/>
        </w:rPr>
        <w:t>前回</w:t>
      </w:r>
      <w:r>
        <w:rPr>
          <w:rFonts w:hint="eastAsia"/>
          <w:sz w:val="21"/>
        </w:rPr>
        <w:t>2.2</w:t>
      </w:r>
      <w:r>
        <w:rPr>
          <w:rFonts w:hint="eastAsia"/>
          <w:sz w:val="21"/>
        </w:rPr>
        <w:t>％</w:t>
      </w:r>
      <w:r>
        <w:rPr>
          <w:rFonts w:hint="eastAsia"/>
          <w:sz w:val="21"/>
        </w:rPr>
        <w:t>)</w:t>
      </w:r>
      <w:r>
        <w:rPr>
          <w:rFonts w:hint="eastAsia"/>
          <w:sz w:val="21"/>
        </w:rPr>
        <w:t>おり、前回より高くなっています。</w:t>
      </w:r>
    </w:p>
    <w:p>
      <w:pPr>
        <w:pStyle w:val="0"/>
        <w:ind w:left="662" w:leftChars="200" w:hanging="214" w:hangingChars="100"/>
        <w:rPr>
          <w:rFonts w:hint="default"/>
          <w:sz w:val="21"/>
        </w:rPr>
      </w:pPr>
      <w:r>
        <w:rPr>
          <w:rFonts w:hint="eastAsia"/>
          <w:sz w:val="21"/>
        </w:rPr>
        <w:t>○特に早めに取り組んでほしいことでは､「一般企業で働くことができるよう、訓練する場所や支援を強化してほしい」が</w:t>
      </w:r>
      <w:r>
        <w:rPr>
          <w:rFonts w:hint="eastAsia"/>
          <w:sz w:val="21"/>
        </w:rPr>
        <w:t>10.2</w:t>
      </w:r>
      <w:r>
        <w:rPr>
          <w:rFonts w:hint="eastAsia"/>
          <w:sz w:val="21"/>
        </w:rPr>
        <w:t>％</w:t>
      </w:r>
      <w:r>
        <w:rPr>
          <w:rFonts w:hint="eastAsia"/>
          <w:sz w:val="21"/>
        </w:rPr>
        <w:t>(</w:t>
      </w:r>
      <w:r>
        <w:rPr>
          <w:rFonts w:hint="eastAsia"/>
          <w:sz w:val="21"/>
        </w:rPr>
        <w:t>前回</w:t>
      </w:r>
      <w:r>
        <w:rPr>
          <w:rFonts w:hint="eastAsia"/>
          <w:sz w:val="21"/>
        </w:rPr>
        <w:t>12.1</w:t>
      </w:r>
      <w:r>
        <w:rPr>
          <w:rFonts w:hint="eastAsia"/>
          <w:sz w:val="21"/>
        </w:rPr>
        <w:t>％</w:t>
      </w:r>
      <w:r>
        <w:rPr>
          <w:rFonts w:hint="eastAsia"/>
          <w:sz w:val="21"/>
        </w:rPr>
        <w:t>)</w:t>
      </w:r>
      <w:r>
        <w:rPr>
          <w:rFonts w:hint="eastAsia"/>
          <w:sz w:val="21"/>
        </w:rPr>
        <w:t>､「一般企業で働くことが難しいので、就労支援事業所を増やしてほしい」が</w:t>
      </w:r>
      <w:r>
        <w:rPr>
          <w:rFonts w:hint="eastAsia"/>
          <w:sz w:val="21"/>
        </w:rPr>
        <w:t>7.0</w:t>
      </w:r>
      <w:r>
        <w:rPr>
          <w:rFonts w:hint="eastAsia"/>
          <w:sz w:val="21"/>
        </w:rPr>
        <w:t>％</w:t>
      </w:r>
      <w:r>
        <w:rPr>
          <w:rFonts w:hint="eastAsia"/>
          <w:sz w:val="21"/>
        </w:rPr>
        <w:t>(</w:t>
      </w:r>
      <w:r>
        <w:rPr>
          <w:rFonts w:hint="eastAsia"/>
          <w:sz w:val="21"/>
        </w:rPr>
        <w:t>前回</w:t>
      </w:r>
      <w:r>
        <w:rPr>
          <w:rFonts w:hint="default"/>
          <w:sz w:val="21"/>
        </w:rPr>
        <w:t>1</w:t>
      </w:r>
      <w:r>
        <w:rPr>
          <w:rFonts w:hint="eastAsia"/>
          <w:sz w:val="21"/>
        </w:rPr>
        <w:t>0.3</w:t>
      </w:r>
      <w:r>
        <w:rPr>
          <w:rFonts w:hint="eastAsia"/>
          <w:sz w:val="21"/>
        </w:rPr>
        <w:t>％</w:t>
      </w:r>
      <w:r>
        <w:rPr>
          <w:rFonts w:hint="eastAsia"/>
          <w:sz w:val="21"/>
        </w:rPr>
        <w:t>)</w:t>
      </w:r>
      <w:r>
        <w:rPr>
          <w:rFonts w:hint="eastAsia"/>
          <w:sz w:val="21"/>
        </w:rPr>
        <w:t>となっています。</w:t>
      </w:r>
    </w:p>
    <w:p>
      <w:pPr>
        <w:pStyle w:val="0"/>
        <w:ind w:left="662" w:leftChars="200" w:hanging="214" w:hangingChars="100"/>
        <w:rPr>
          <w:rFonts w:hint="default"/>
          <w:sz w:val="21"/>
        </w:rPr>
      </w:pPr>
    </w:p>
    <w:p>
      <w:pPr>
        <w:pStyle w:val="0"/>
        <w:widowControl w:val="1"/>
        <w:jc w:val="left"/>
        <w:rPr>
          <w:rFonts w:hint="default" w:ascii="ＭＳ ゴシック" w:hAnsi="ＭＳ ゴシック" w:eastAsia="ＭＳ ゴシック"/>
        </w:rPr>
      </w:pPr>
      <w:r>
        <w:rPr>
          <w:rFonts w:hint="default" w:ascii="ＭＳ ゴシック" w:hAnsi="ＭＳ ゴシック" w:eastAsia="ＭＳ ゴシック"/>
        </w:rPr>
        <w:br w:type="page"/>
      </w:r>
    </w:p>
    <w:p>
      <w:pPr>
        <w:pStyle w:val="81"/>
        <w:rPr>
          <w:rFonts w:hint="default"/>
        </w:rPr>
      </w:pPr>
      <w:r>
        <w:rPr>
          <w:rFonts w:hint="eastAsia"/>
        </w:rPr>
        <w:t>今後の取り組み</w:t>
      </w:r>
    </w:p>
    <w:p>
      <w:pPr>
        <w:pStyle w:val="0"/>
        <w:spacing w:line="80" w:lineRule="exact"/>
        <w:rPr>
          <w:rFonts w:hint="default"/>
        </w:rPr>
      </w:pPr>
      <w:r>
        <w:rPr>
          <w:rFonts w:hint="eastAsia"/>
        </w:rPr>
        <mc:AlternateContent>
          <mc:Choice Requires="wpg">
            <w:drawing>
              <wp:anchor distT="0" distB="0" distL="114300" distR="114300" simplePos="0" relativeHeight="255" behindDoc="1" locked="1" layoutInCell="1" hidden="0" allowOverlap="1">
                <wp:simplePos x="0" y="0"/>
                <wp:positionH relativeFrom="column">
                  <wp:posOffset>76835</wp:posOffset>
                </wp:positionH>
                <wp:positionV relativeFrom="paragraph">
                  <wp:posOffset>-225425</wp:posOffset>
                </wp:positionV>
                <wp:extent cx="6044565" cy="219075"/>
                <wp:effectExtent l="0" t="0" r="29210" b="9525"/>
                <wp:wrapNone/>
                <wp:docPr id="1232" name="飾り＿今後の取り組み"/>
                <a:graphic xmlns:a="http://schemas.openxmlformats.org/drawingml/2006/main">
                  <a:graphicData uri="http://schemas.microsoft.com/office/word/2010/wordprocessingGroup">
                    <wpg:wgp>
                      <wpg:cNvGrpSpPr/>
                      <wpg:grpSpPr>
                        <a:xfrm>
                          <a:off x="0" y="0"/>
                          <a:ext cx="6044565" cy="219075"/>
                          <a:chOff x="0" y="0"/>
                          <a:chExt cx="6044565" cy="219710"/>
                        </a:xfrm>
                      </wpg:grpSpPr>
                      <wps:wsp>
                        <wps:cNvPr id="1233" name="今後の取り組み_四角（灰）"/>
                        <wps:cNvSpPr/>
                        <wps:spPr>
                          <a:xfrm>
                            <a:off x="0" y="0"/>
                            <a:ext cx="6044565" cy="219710"/>
                          </a:xfrm>
                          <a:prstGeom prst="roundRect">
                            <a:avLst>
                              <a:gd name="adj" fmla="val 0"/>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34" name="今後の取り組み_四角（黒）"/>
                        <wps:cNvSpPr/>
                        <wps:spPr>
                          <a:xfrm>
                            <a:off x="2429302" y="0"/>
                            <a:ext cx="1185545" cy="219710"/>
                          </a:xfrm>
                          <a:prstGeom prst="roundRect">
                            <a:avLst>
                              <a:gd name="adj" fmla="val 0"/>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235" name="今後の取り組み_直線"/>
                        <wps:cNvSpPr/>
                        <wps:spPr>
                          <a:xfrm>
                            <a:off x="0" y="218364"/>
                            <a:ext cx="60445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飾り＿今後の取り組み" style="mso-wrap-distance-right:9pt;mso-wrap-distance-bottom:0pt;margin-top:-17.75pt;mso-position-vertical-relative:text;mso-position-horizontal-relative:text;position:absolute;height:17.25pt;mso-wrap-distance-top:0pt;width:475.95pt;mso-wrap-distance-left:9pt;margin-left:6.05pt;z-index:-503316225;" coordsize="6044565,219710" coordorigin="0,0" o:spid="_x0000_s1232" o:allowincell="t" o:allowoverlap="t">
                <v:roundrect id="今後の取り組み_四角（灰）" style="height:219710;width:6044565;top:0;left:0;position:absolute;" o:spid="_x0000_s1233" filled="t" fillcolor="#d9d9d9 [2732]" stroked="f" strokecolor="#42709c" strokeweight="1pt" o:spt="2" arcsize="0f">
                  <v:fill/>
                  <v:stroke linestyle="single" miterlimit="8" endcap="flat" dashstyle="solid"/>
                  <v:textbox style="layout-flow:horizontal;"/>
                  <v:imagedata o:title=""/>
                  <w10:wrap type="none" anchorx="text" anchory="text"/>
                  <w10:anchorlock/>
                </v:roundrect>
                <v:roundrect id="今後の取り組み_四角（黒）" style="height:219710;width:1185545;top:0;left:2429302;position:absolute;" o:spid="_x0000_s1234" filled="t" fillcolor="#000000 [3213]" stroked="f" strokecolor="#42709c" strokeweight="1pt" o:spt="2" arcsize="0f">
                  <v:fill/>
                  <v:stroke linestyle="single" miterlimit="8" endcap="flat" dashstyle="solid"/>
                  <v:textbox style="layout-flow:horizontal;"/>
                  <v:imagedata o:title=""/>
                  <w10:wrap type="none" anchorx="text" anchory="text"/>
                  <w10:anchorlock/>
                </v:roundrect>
                <v:line id="今後の取り組み_直線" style="height:0;width:6044565;top:218364;left:0;position:absolute;" o:spid="_x0000_s1235" filled="f" stroked="t" strokecolor="#000000 [3213]" strokeweight="0.5pt" o:spt="20" from="0,218364" to="6044565,218364">
                  <v:fill/>
                  <v:stroke linestyle="single" miterlimit="8" endcap="flat" dashstyle="solid" filltype="solid"/>
                  <v:textbox style="layout-flow:horizontal;"/>
                  <v:imagedata o:title=""/>
                  <w10:wrap type="none" anchorx="text" anchory="text"/>
                  <w10:anchorlock/>
                </v:line>
                <w10:wrap type="none" anchorx="text" anchory="text"/>
                <w10:anchorlock/>
              </v:group>
            </w:pict>
          </mc:Fallback>
        </mc:AlternateContent>
      </w:r>
    </w:p>
    <w:p>
      <w:pPr>
        <w:pStyle w:val="82"/>
        <w:rPr>
          <w:rFonts w:hint="default"/>
        </w:rPr>
      </w:pPr>
      <w:r>
        <w:rPr>
          <w:rFonts w:hint="eastAsia"/>
        </w:rPr>
        <w:t>【施策の基本的な考え方】</w:t>
      </w:r>
    </w:p>
    <w:p>
      <w:pPr>
        <w:pStyle w:val="0"/>
        <w:ind w:left="560" w:leftChars="250" w:firstLine="214" w:firstLineChars="100"/>
        <w:rPr>
          <w:rFonts w:hint="default"/>
          <w:sz w:val="21"/>
        </w:rPr>
      </w:pPr>
      <w:r>
        <w:rPr>
          <w:rFonts w:hint="eastAsia"/>
          <w:sz w:val="21"/>
        </w:rPr>
        <w:t>障がい者が働くことを通じて生きがいを持ち、自立した生活を営み、社会参加を図るために、障がいの特性や障がい者のニーズに応じた、多様な働き方ができるよう、事業所や関係機関等と連携します。</w:t>
      </w:r>
    </w:p>
    <w:p>
      <w:pPr>
        <w:pStyle w:val="0"/>
        <w:ind w:left="560" w:leftChars="250" w:firstLine="214" w:firstLineChars="100"/>
        <w:rPr>
          <w:rFonts w:hint="default"/>
          <w:sz w:val="21"/>
        </w:rPr>
      </w:pPr>
    </w:p>
    <w:p>
      <w:pPr>
        <w:pStyle w:val="83"/>
        <w:ind w:left="448"/>
        <w:rPr>
          <w:rFonts w:hint="default"/>
          <w:color w:val="auto"/>
        </w:rPr>
      </w:pPr>
      <w:r>
        <w:rPr>
          <w:rFonts w:hint="eastAsia"/>
          <w:color w:val="auto"/>
        </w:rPr>
        <w:t>①一般就労への移行・定着促進</w:t>
      </w:r>
    </w:p>
    <w:p>
      <w:pPr>
        <w:pStyle w:val="0"/>
        <w:ind w:left="886" w:leftChars="300" w:hanging="214" w:hangingChars="100"/>
        <w:rPr>
          <w:rFonts w:hint="default"/>
          <w:sz w:val="21"/>
        </w:rPr>
      </w:pPr>
      <w:r>
        <w:rPr>
          <w:rFonts w:hint="eastAsia"/>
          <w:sz w:val="21"/>
        </w:rPr>
        <w:t>・就労移行支援事業所等から一般就労への移行を促進するために、就労移行支援事業所や計画相談支援事業所、ハローワークや障害者職業センター、障がい者就業・生活支援センター等の関係機関と連携を図ります。</w:t>
      </w:r>
    </w:p>
    <w:p>
      <w:pPr>
        <w:pStyle w:val="0"/>
        <w:ind w:left="886" w:leftChars="300" w:hanging="214" w:hangingChars="100"/>
        <w:rPr>
          <w:rFonts w:hint="default"/>
          <w:sz w:val="21"/>
        </w:rPr>
      </w:pPr>
      <w:r>
        <w:rPr>
          <w:rFonts w:hint="eastAsia"/>
          <w:sz w:val="21"/>
        </w:rPr>
        <w:t>・就労移行支援事業所等から一般就労につながった利用者について、就労定着支援を活用することにより、就労の継続を支援します。</w:t>
      </w:r>
    </w:p>
    <w:p>
      <w:pPr>
        <w:pStyle w:val="0"/>
        <w:ind w:left="896" w:leftChars="300" w:hanging="224" w:hangingChars="100"/>
        <w:rPr>
          <w:rFonts w:hint="default" w:ascii="ＭＳ ゴシック" w:hAnsi="ＭＳ ゴシック" w:eastAsia="ＭＳ ゴシック"/>
        </w:rPr>
      </w:pPr>
    </w:p>
    <w:p>
      <w:pPr>
        <w:pStyle w:val="83"/>
        <w:ind w:left="448"/>
        <w:rPr>
          <w:rFonts w:hint="default"/>
          <w:color w:val="auto"/>
        </w:rPr>
      </w:pPr>
      <w:r>
        <w:rPr>
          <w:rFonts w:hint="eastAsia"/>
          <w:color w:val="auto"/>
        </w:rPr>
        <w:t>②就労継続支援の推進</w:t>
      </w:r>
    </w:p>
    <w:p>
      <w:pPr>
        <w:pStyle w:val="0"/>
        <w:ind w:left="886" w:leftChars="300" w:hanging="214" w:hangingChars="100"/>
        <w:rPr>
          <w:rFonts w:hint="default"/>
          <w:sz w:val="21"/>
        </w:rPr>
      </w:pPr>
      <w:r>
        <w:rPr>
          <w:rFonts w:hint="eastAsia"/>
          <w:sz w:val="21"/>
        </w:rPr>
        <w:t>・一般就労が困難な障がい者の就労の場を提供していくために、就労継続支援事業所</w:t>
      </w:r>
      <w:r>
        <w:rPr>
          <w:rFonts w:hint="eastAsia"/>
          <w:sz w:val="21"/>
        </w:rPr>
        <w:t>(</w:t>
      </w:r>
      <w:r>
        <w:rPr>
          <w:rFonts w:hint="eastAsia"/>
          <w:sz w:val="21"/>
        </w:rPr>
        <w:t>Ａ型・Ｂ型</w:t>
      </w:r>
      <w:r>
        <w:rPr>
          <w:rFonts w:hint="eastAsia"/>
          <w:sz w:val="21"/>
        </w:rPr>
        <w:t>)</w:t>
      </w:r>
      <w:r>
        <w:rPr>
          <w:rFonts w:hint="eastAsia"/>
          <w:sz w:val="21"/>
        </w:rPr>
        <w:t>の周知と利用促進を図ります。</w:t>
      </w:r>
    </w:p>
    <w:p>
      <w:pPr>
        <w:pStyle w:val="0"/>
        <w:ind w:left="896" w:leftChars="300" w:hanging="224" w:hangingChars="100"/>
        <w:rPr>
          <w:rFonts w:hint="default" w:ascii="ＭＳ ゴシック" w:hAnsi="ＭＳ ゴシック" w:eastAsia="ＭＳ ゴシック"/>
        </w:rPr>
      </w:pPr>
    </w:p>
    <w:p>
      <w:pPr>
        <w:pStyle w:val="83"/>
        <w:ind w:left="448"/>
        <w:rPr>
          <w:rFonts w:hint="default"/>
          <w:color w:val="auto"/>
        </w:rPr>
      </w:pPr>
      <w:r>
        <w:rPr>
          <w:rFonts w:hint="eastAsia"/>
          <w:color w:val="auto"/>
        </w:rPr>
        <w:t>③障がい者優先調達の推進</w:t>
      </w:r>
    </w:p>
    <w:p>
      <w:pPr>
        <w:pStyle w:val="0"/>
        <w:ind w:left="886" w:leftChars="300" w:hanging="214" w:hangingChars="100"/>
        <w:rPr>
          <w:rFonts w:hint="default"/>
          <w:sz w:val="21"/>
        </w:rPr>
      </w:pPr>
      <w:r>
        <w:rPr>
          <w:rFonts w:hint="eastAsia"/>
          <w:sz w:val="21"/>
        </w:rPr>
        <w:t>・毎年度策定される「南風原町障がい者優先調達方針」に基づき、就労支援事業所等からの物品購入や役務の優先調達を更に推進します。また、毎年度の調達実績について、ホームページ等での公表を継続します。</w:t>
      </w:r>
    </w:p>
    <w:p>
      <w:pPr>
        <w:pStyle w:val="0"/>
        <w:ind w:left="886" w:leftChars="300" w:hanging="214" w:hangingChars="100"/>
        <w:rPr>
          <w:rFonts w:hint="default"/>
          <w:sz w:val="21"/>
        </w:rPr>
      </w:pPr>
      <w:r>
        <w:rPr>
          <w:rFonts w:hint="eastAsia"/>
          <w:sz w:val="21"/>
        </w:rPr>
        <w:t>・地域においても、就労支援事業所等から物品等の優先調達が図られるよう、町内の就労支援事業所等が提供できる物品等の情報を地域に広く周知するために、就労支援事業所等と連携した効果的な情報提供に取り組みます。</w:t>
      </w:r>
    </w:p>
    <w:p>
      <w:pPr>
        <w:pStyle w:val="0"/>
        <w:ind w:left="896" w:leftChars="300" w:hanging="224" w:hangingChars="100"/>
        <w:rPr>
          <w:rFonts w:hint="default" w:ascii="ＭＳ ゴシック" w:hAnsi="ＭＳ ゴシック" w:eastAsia="ＭＳ ゴシック"/>
        </w:rPr>
      </w:pPr>
    </w:p>
    <w:p>
      <w:pPr>
        <w:pStyle w:val="83"/>
        <w:ind w:left="448"/>
        <w:rPr>
          <w:rFonts w:hint="default"/>
          <w:color w:val="auto"/>
        </w:rPr>
      </w:pPr>
      <w:r>
        <w:rPr>
          <w:rFonts w:hint="eastAsia"/>
          <w:color w:val="auto"/>
        </w:rPr>
        <w:t>④町の障がい者法定雇用率の維持</w:t>
      </w:r>
    </w:p>
    <w:p>
      <w:pPr>
        <w:pStyle w:val="0"/>
        <w:ind w:left="886" w:leftChars="300" w:hanging="214" w:hangingChars="100"/>
        <w:rPr>
          <w:rFonts w:hint="default"/>
          <w:sz w:val="21"/>
        </w:rPr>
      </w:pPr>
      <w:r>
        <w:rPr>
          <w:rFonts w:hint="default"/>
          <w:sz w:val="21"/>
        </w:rPr>
        <w:t>・</w:t>
      </w:r>
      <w:r>
        <w:rPr>
          <w:rFonts w:hint="eastAsia"/>
          <w:sz w:val="21"/>
        </w:rPr>
        <w:t>法定雇用率を意識した雇用と職場環境の充実を図っていきます。</w:t>
      </w:r>
    </w:p>
    <w:p>
      <w:pPr>
        <w:pStyle w:val="0"/>
        <w:ind w:left="886" w:leftChars="300" w:hanging="214" w:hangingChars="100"/>
        <w:rPr>
          <w:rFonts w:hint="default"/>
          <w:sz w:val="21"/>
        </w:rPr>
      </w:pPr>
      <w:r>
        <w:rPr>
          <w:rFonts w:hint="eastAsia"/>
          <w:sz w:val="21"/>
        </w:rPr>
        <w:t>・障がいのある職員が働きやすいよう、必要に応じてその能力と適正に応じた業務内容等について検討します。</w:t>
      </w:r>
    </w:p>
    <w:p>
      <w:pPr>
        <w:pStyle w:val="0"/>
        <w:ind w:left="896" w:leftChars="300" w:hanging="224" w:hangingChars="100"/>
        <w:rPr>
          <w:rFonts w:hint="default" w:ascii="ＭＳ ゴシック" w:hAnsi="ＭＳ ゴシック" w:eastAsia="ＭＳ ゴシック"/>
        </w:rPr>
      </w:pPr>
    </w:p>
    <w:p>
      <w:pPr>
        <w:pStyle w:val="0"/>
        <w:ind w:left="896" w:leftChars="300" w:hanging="224" w:hangingChars="100"/>
        <w:rPr>
          <w:rFonts w:hint="default" w:ascii="ＭＳ ゴシック" w:hAnsi="ＭＳ ゴシック" w:eastAsia="ＭＳ ゴシック"/>
        </w:rPr>
      </w:pPr>
    </w:p>
    <w:p>
      <w:pPr>
        <w:pStyle w:val="0"/>
        <w:ind w:left="896" w:leftChars="300" w:hanging="224" w:hangingChars="100"/>
        <w:rPr>
          <w:rFonts w:hint="default" w:ascii="ＭＳ ゴシック" w:hAnsi="ＭＳ ゴシック" w:eastAsia="ＭＳ ゴシック"/>
        </w:rPr>
      </w:pPr>
    </w:p>
    <w:p>
      <w:pPr>
        <w:pStyle w:val="0"/>
        <w:widowControl w:val="1"/>
        <w:jc w:val="left"/>
        <w:rPr>
          <w:rFonts w:hint="default"/>
          <w:sz w:val="21"/>
        </w:rPr>
      </w:pPr>
      <w:r>
        <w:rPr>
          <w:rFonts w:hint="default"/>
          <w:sz w:val="21"/>
        </w:rPr>
        <w:br w:type="page"/>
      </w: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96" w:leftChars="300" w:hanging="224" w:hangingChars="100"/>
        <w:rPr>
          <w:rFonts w:hint="default"/>
          <w:sz w:val="21"/>
        </w:rPr>
      </w:pPr>
      <w:r>
        <w:rPr>
          <w:rFonts w:hint="default"/>
        </w:rPr>
        <mc:AlternateContent>
          <mc:Choice Requires="wps">
            <w:drawing>
              <wp:anchor distT="0" distB="0" distL="114300" distR="114300" simplePos="0" relativeHeight="316" behindDoc="0" locked="1" layoutInCell="1" hidden="0" allowOverlap="1">
                <wp:simplePos x="0" y="0"/>
                <wp:positionH relativeFrom="column">
                  <wp:posOffset>-266700</wp:posOffset>
                </wp:positionH>
                <wp:positionV relativeFrom="page">
                  <wp:posOffset>5840730</wp:posOffset>
                </wp:positionV>
                <wp:extent cx="6920865" cy="4728210"/>
                <wp:effectExtent l="635" t="635" r="29845" b="10795"/>
                <wp:wrapNone/>
                <wp:docPr id="1236" name="正方形/長方形 15"/>
                <a:graphic xmlns:a="http://schemas.openxmlformats.org/drawingml/2006/main">
                  <a:graphicData uri="http://schemas.microsoft.com/office/word/2010/wordprocessingShape">
                    <wps:wsp>
                      <wps:cNvPr id="1236" name="正方形/長方形 15"/>
                      <wps:cNvSpPr/>
                      <wps:spPr>
                        <a:xfrm>
                          <a:off x="0" y="0"/>
                          <a:ext cx="6920865" cy="47282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5" style="mso-wrap-distance-right:9pt;mso-wrap-distance-bottom:0pt;margin-top:459.9pt;mso-position-vertical-relative:page;mso-position-horizontal-relative:text;position:absolute;height:372.3pt;mso-wrap-distance-top:0pt;width:544.95000000000005pt;mso-wrap-distance-left:9pt;margin-left:-21pt;z-index:316;" o:spid="_x0000_s1236"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page"/>
                <w10:anchorlock/>
              </v:rect>
            </w:pict>
          </mc:Fallback>
        </mc:AlternateContent>
      </w: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p>
    <w:p>
      <w:pPr>
        <w:pStyle w:val="0"/>
        <w:ind w:left="886" w:leftChars="300" w:hanging="214" w:hangingChars="100"/>
        <w:rPr>
          <w:rFonts w:hint="default"/>
          <w:sz w:val="21"/>
        </w:rPr>
      </w:pPr>
      <w:r>
        <w:rPr>
          <w:rFonts w:hint="default"/>
          <w:sz w:val="21"/>
        </w:rPr>
        <mc:AlternateContent>
          <mc:Choice Requires="wps">
            <w:drawing>
              <wp:anchor distT="0" distB="0" distL="114300" distR="114300" simplePos="0" relativeHeight="127" behindDoc="0" locked="0" layoutInCell="1" hidden="0" allowOverlap="1">
                <wp:simplePos x="0" y="0"/>
                <wp:positionH relativeFrom="column">
                  <wp:posOffset>1149985</wp:posOffset>
                </wp:positionH>
                <wp:positionV relativeFrom="paragraph">
                  <wp:posOffset>127000</wp:posOffset>
                </wp:positionV>
                <wp:extent cx="3782060" cy="3013075"/>
                <wp:effectExtent l="0" t="0" r="635" b="635"/>
                <wp:wrapNone/>
                <wp:docPr id="1237" name="正方形/長方形 137"/>
                <a:graphic xmlns:a="http://schemas.openxmlformats.org/drawingml/2006/main">
                  <a:graphicData uri="http://schemas.microsoft.com/office/word/2010/wordprocessingShape">
                    <wps:wsp>
                      <wps:cNvPr id="1237" name="正方形/長方形 137"/>
                      <wps:cNvSpPr/>
                      <wps:spPr>
                        <a:xfrm>
                          <a:off x="0" y="0"/>
                          <a:ext cx="3782060" cy="3013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37" style="mso-wrap-distance-right:9pt;mso-wrap-distance-bottom:0pt;margin-top:10pt;mso-position-vertical-relative:text;mso-position-horizontal-relative:text;position:absolute;height:237.25pt;mso-wrap-distance-top:0pt;width:297.8pt;mso-wrap-distance-left:9pt;margin-left:90.55pt;z-index:127;" o:spid="_x0000_s1237" o:allowincell="t" o:allowoverlap="t" filled="t" fillcolor="#ffffff [3212]" stroked="f" strokecolor="#42709c" strokeweight="1pt" o:spt="1">
                <v:fill/>
                <v:stroke linestyle="single" miterlimit="8" endcap="flat" dashstyle="solid"/>
                <v:textbox style="layout-flow:horizontal;"/>
                <v:imagedata o:title=""/>
                <w10:wrap type="none" anchorx="text" anchory="text"/>
              </v:rect>
            </w:pict>
          </mc:Fallback>
        </mc:AlternateContent>
      </w:r>
    </w:p>
    <w:p>
      <w:pPr>
        <w:pStyle w:val="0"/>
        <w:ind w:left="886" w:leftChars="300" w:hanging="214" w:hangingChars="100"/>
        <w:rPr>
          <w:rFonts w:hint="default"/>
          <w:sz w:val="21"/>
        </w:rPr>
      </w:pPr>
    </w:p>
    <w:p>
      <w:pPr>
        <w:pStyle w:val="0"/>
        <w:widowControl w:val="1"/>
        <w:jc w:val="left"/>
        <w:rPr>
          <w:rFonts w:hint="default"/>
          <w:kern w:val="0"/>
        </w:rPr>
      </w:pPr>
      <w:bookmarkEnd w:id="2"/>
      <w:bookmarkEnd w:id="36"/>
      <w:r>
        <w:rPr>
          <w:rFonts w:hint="default"/>
        </w:rPr>
        <w:br w:type="page"/>
      </w:r>
    </w:p>
    <w:p>
      <w:pPr>
        <w:pStyle w:val="24"/>
        <w:rPr>
          <w:rFonts w:hint="default"/>
        </w:rPr>
      </w:pPr>
      <w:bookmarkStart w:id="164" w:name="_Toc158300422"/>
      <w:bookmarkStart w:id="165" w:name="_Toc505592304"/>
      <w:bookmarkStart w:id="166" w:name="_Toc62832255"/>
      <w:r>
        <w:rPr>
          <w:rFonts w:hint="default"/>
        </w:rPr>
        <w:t>第</w:t>
      </w:r>
      <w:r>
        <w:rPr>
          <w:rFonts w:hint="eastAsia"/>
        </w:rPr>
        <w:t>５</w:t>
      </w:r>
      <w:r>
        <w:rPr>
          <w:rFonts w:hint="default"/>
        </w:rPr>
        <w:t>章　</w:t>
      </w:r>
      <w:r>
        <w:rPr>
          <w:rFonts w:hint="eastAsia"/>
        </w:rPr>
        <w:t>第７期障がい</w:t>
      </w:r>
      <w:r>
        <w:rPr>
          <w:rFonts w:hint="default"/>
        </w:rPr>
        <w:t>福祉</w:t>
      </w:r>
      <w:r>
        <w:rPr>
          <w:rFonts w:hint="eastAsia"/>
        </w:rPr>
        <w:t>計画</w:t>
      </w:r>
      <w:bookmarkEnd w:id="164"/>
      <w:bookmarkEnd w:id="165"/>
      <w:bookmarkEnd w:id="166"/>
    </w:p>
    <w:p>
      <w:pPr>
        <w:pStyle w:val="241"/>
        <w:spacing w:after="92" w:afterLines="0" w:afterAutospacing="0"/>
        <w:rPr>
          <w:rFonts w:hint="default"/>
        </w:rPr>
      </w:pPr>
      <w:bookmarkStart w:id="167" w:name="_Toc158300423"/>
      <w:bookmarkStart w:id="168" w:name="_Toc410123488"/>
      <w:bookmarkStart w:id="169" w:name="_Toc412313239"/>
      <w:bookmarkStart w:id="170" w:name="_Toc416340575"/>
      <w:bookmarkStart w:id="171" w:name="_Toc505592305"/>
      <w:bookmarkStart w:id="172" w:name="_Toc62832256"/>
      <w:r>
        <w:rPr>
          <w:rFonts w:hint="eastAsia"/>
        </w:rPr>
        <w:t>１．成果</w:t>
      </w:r>
      <w:r>
        <w:rPr>
          <w:rFonts w:hint="default"/>
        </w:rPr>
        <w:t>目標</w:t>
      </w:r>
      <w:bookmarkEnd w:id="167"/>
      <w:bookmarkEnd w:id="168"/>
      <w:bookmarkEnd w:id="169"/>
      <w:bookmarkEnd w:id="170"/>
      <w:bookmarkEnd w:id="171"/>
      <w:bookmarkEnd w:id="172"/>
    </w:p>
    <w:p>
      <w:pPr>
        <w:pStyle w:val="0"/>
        <w:ind w:left="448" w:leftChars="200" w:firstLine="214" w:firstLineChars="100"/>
        <w:rPr>
          <w:rFonts w:hint="default"/>
          <w:sz w:val="21"/>
        </w:rPr>
      </w:pPr>
      <w:r>
        <w:rPr>
          <w:rFonts w:hint="default"/>
          <w:sz w:val="21"/>
        </w:rPr>
        <w:t>障がい者の日常生活及び社会生活における自立に向けた支援を進めていく</w:t>
      </w:r>
      <w:r>
        <w:rPr>
          <w:rFonts w:hint="eastAsia"/>
          <w:sz w:val="21"/>
        </w:rPr>
        <w:t>ために</w:t>
      </w:r>
      <w:r>
        <w:rPr>
          <w:rFonts w:hint="default"/>
          <w:sz w:val="21"/>
        </w:rPr>
        <w:t>、国の基本指針の内容</w:t>
      </w:r>
      <w:r>
        <w:rPr>
          <w:rFonts w:hint="eastAsia"/>
          <w:sz w:val="21"/>
        </w:rPr>
        <w:t>と本町</w:t>
      </w:r>
      <w:r>
        <w:rPr>
          <w:rFonts w:hint="default"/>
          <w:sz w:val="21"/>
        </w:rPr>
        <w:t>の実情を踏まえ</w:t>
      </w:r>
      <w:r>
        <w:rPr>
          <w:rFonts w:hint="eastAsia"/>
          <w:sz w:val="21"/>
        </w:rPr>
        <w:t>た</w:t>
      </w:r>
      <w:r>
        <w:rPr>
          <w:rFonts w:hint="default"/>
          <w:sz w:val="21"/>
        </w:rPr>
        <w:t>成果目標を設定するとともに、目標の達成に向けて関係機関等と連携した取り組みを</w:t>
      </w:r>
      <w:r>
        <w:rPr>
          <w:rFonts w:hint="eastAsia"/>
          <w:sz w:val="21"/>
        </w:rPr>
        <w:t>行い</w:t>
      </w:r>
      <w:r>
        <w:rPr>
          <w:rFonts w:hint="default"/>
          <w:sz w:val="21"/>
        </w:rPr>
        <w:t>ます。</w:t>
      </w:r>
    </w:p>
    <w:p>
      <w:pPr>
        <w:pStyle w:val="0"/>
        <w:spacing w:line="0" w:lineRule="atLeast"/>
        <w:ind w:left="448" w:leftChars="200"/>
        <w:rPr>
          <w:rFonts w:hint="default"/>
          <w:sz w:val="20"/>
        </w:rPr>
      </w:pPr>
    </w:p>
    <w:p>
      <w:pPr>
        <w:pStyle w:val="242"/>
        <w:spacing w:after="37" w:afterLines="0" w:afterAutospacing="0"/>
        <w:ind w:left="224"/>
        <w:rPr>
          <w:rFonts w:hint="default"/>
        </w:rPr>
      </w:pPr>
      <w:bookmarkStart w:id="173" w:name="_Toc158300424"/>
      <w:bookmarkStart w:id="174" w:name="_Toc67040242"/>
      <w:r>
        <w:rPr>
          <w:rFonts w:hint="default"/>
        </w:rPr>
        <w:t>(</w:t>
      </w:r>
      <w:r>
        <w:rPr>
          <w:rFonts w:hint="eastAsia"/>
        </w:rPr>
        <w:t>１</w:t>
      </w:r>
      <w:r>
        <w:rPr>
          <w:rFonts w:hint="default"/>
        </w:rPr>
        <w:t>)</w:t>
      </w:r>
      <w:r>
        <w:rPr>
          <w:rFonts w:hint="eastAsia"/>
        </w:rPr>
        <w:t>福祉施設の入所者の地域生活への移行</w:t>
      </w:r>
      <w:bookmarkEnd w:id="173"/>
      <w:bookmarkEnd w:id="174"/>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施設入所者の地域生活への移行を進めるため、令和８年度末までに、令和５年３月</w:t>
      </w:r>
      <w:r>
        <w:rPr>
          <w:rFonts w:hint="eastAsia" w:asciiTheme="minorEastAsia" w:hAnsiTheme="minorEastAsia" w:eastAsiaTheme="minorEastAsia"/>
          <w:sz w:val="21"/>
        </w:rPr>
        <w:t>31</w:t>
      </w:r>
      <w:r>
        <w:rPr>
          <w:rFonts w:hint="eastAsia" w:asciiTheme="minorEastAsia" w:hAnsiTheme="minorEastAsia" w:eastAsiaTheme="minorEastAsia"/>
          <w:sz w:val="21"/>
        </w:rPr>
        <w:t>日時点の全施設入所者数</w:t>
      </w:r>
      <w:r>
        <w:rPr>
          <w:rFonts w:hint="eastAsia" w:asciiTheme="minorEastAsia" w:hAnsiTheme="minorEastAsia" w:eastAsiaTheme="minorEastAsia"/>
          <w:sz w:val="21"/>
        </w:rPr>
        <w:t>61</w:t>
      </w:r>
      <w:r>
        <w:rPr>
          <w:rFonts w:hint="eastAsia" w:asciiTheme="minorEastAsia" w:hAnsiTheme="minorEastAsia" w:eastAsiaTheme="minorEastAsia"/>
          <w:sz w:val="21"/>
        </w:rPr>
        <w:t>人の</w:t>
      </w:r>
      <w:r>
        <w:rPr>
          <w:rFonts w:hint="eastAsia" w:asciiTheme="minorEastAsia" w:hAnsiTheme="minorEastAsia" w:eastAsiaTheme="minorEastAsia"/>
          <w:sz w:val="21"/>
        </w:rPr>
        <w:t>3</w:t>
      </w:r>
      <w:r>
        <w:rPr>
          <w:rFonts w:hint="eastAsia" w:asciiTheme="minorEastAsia" w:hAnsiTheme="minorEastAsia" w:eastAsiaTheme="minorEastAsia"/>
          <w:sz w:val="21"/>
        </w:rPr>
        <w:t>％にあたる</w:t>
      </w:r>
      <w:r>
        <w:rPr>
          <w:rFonts w:hint="eastAsia" w:asciiTheme="minorEastAsia" w:hAnsiTheme="minorEastAsia" w:eastAsiaTheme="minorEastAsia"/>
          <w:sz w:val="21"/>
        </w:rPr>
        <w:t>2</w:t>
      </w:r>
      <w:r>
        <w:rPr>
          <w:rFonts w:hint="eastAsia" w:asciiTheme="minorEastAsia" w:hAnsiTheme="minorEastAsia" w:eastAsiaTheme="minorEastAsia"/>
          <w:sz w:val="21"/>
        </w:rPr>
        <w:t>人の地域生活移行を目指します。</w:t>
      </w:r>
    </w:p>
    <w:p>
      <w:pPr>
        <w:pStyle w:val="245"/>
        <w:spacing w:line="0" w:lineRule="atLeast"/>
        <w:ind w:left="672" w:firstLine="204"/>
        <w:rPr>
          <w:rFonts w:hint="default"/>
          <w:sz w:val="20"/>
        </w:rPr>
      </w:pPr>
    </w:p>
    <w:tbl>
      <w:tblPr>
        <w:tblStyle w:val="11"/>
        <w:tblW w:w="8817"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2693"/>
        <w:gridCol w:w="1276"/>
        <w:gridCol w:w="4848"/>
      </w:tblGrid>
      <w:tr>
        <w:trPr/>
        <w:tc>
          <w:tcPr>
            <w:tcW w:w="2693" w:type="dxa"/>
            <w:shd w:val="clear" w:color="auto" w:themeFill="background1" w:themeFillTint="FF" w:themeFillShade="D9"/>
            <w:vAlign w:val="center"/>
          </w:tcPr>
          <w:p>
            <w:pPr>
              <w:pStyle w:val="0"/>
              <w:autoSpaceDE w:val="0"/>
              <w:autoSpaceDN w:val="0"/>
              <w:jc w:val="center"/>
              <w:rPr>
                <w:rFonts w:hint="default" w:asciiTheme="minorEastAsia" w:hAnsiTheme="minorEastAsia" w:eastAsiaTheme="minorEastAsia"/>
                <w:sz w:val="20"/>
              </w:rPr>
            </w:pPr>
          </w:p>
        </w:tc>
        <w:tc>
          <w:tcPr>
            <w:tcW w:w="1276" w:type="dxa"/>
            <w:shd w:val="clear" w:color="auto" w:themeFill="background1" w:themeFillTint="FF" w:themeFillShade="D9"/>
            <w:vAlign w:val="center"/>
          </w:tcPr>
          <w:p>
            <w:pPr>
              <w:pStyle w:val="0"/>
              <w:autoSpaceDE w:val="0"/>
              <w:autoSpaceDN w:val="0"/>
              <w:jc w:val="center"/>
              <w:rPr>
                <w:rFonts w:hint="default" w:asciiTheme="minorEastAsia" w:hAnsiTheme="minorEastAsia" w:eastAsiaTheme="minorEastAsia"/>
                <w:sz w:val="20"/>
              </w:rPr>
            </w:pPr>
            <w:r>
              <w:rPr>
                <w:rFonts w:hint="eastAsia" w:asciiTheme="minorEastAsia" w:hAnsiTheme="minorEastAsia" w:eastAsiaTheme="minorEastAsia"/>
                <w:sz w:val="20"/>
              </w:rPr>
              <w:t>数値</w:t>
            </w:r>
          </w:p>
        </w:tc>
        <w:tc>
          <w:tcPr>
            <w:tcW w:w="4848" w:type="dxa"/>
            <w:shd w:val="clear" w:color="auto" w:themeFill="background1" w:themeFillTint="FF" w:themeFillShade="D9"/>
            <w:vAlign w:val="center"/>
          </w:tcPr>
          <w:p>
            <w:pPr>
              <w:pStyle w:val="0"/>
              <w:autoSpaceDE w:val="0"/>
              <w:autoSpaceDN w:val="0"/>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2693" w:type="dxa"/>
            <w:shd w:val="clear" w:color="auto" w:themeFill="background1" w:themeFillTint="FF" w:themeFillShade="D9"/>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現入所者数</w:t>
            </w:r>
            <w:r>
              <w:rPr>
                <w:rFonts w:hint="eastAsia" w:asciiTheme="minorEastAsia" w:hAnsiTheme="minorEastAsia" w:eastAsiaTheme="minorEastAsia"/>
                <w:sz w:val="20"/>
              </w:rPr>
              <w:t>(A)</w:t>
            </w:r>
          </w:p>
        </w:tc>
        <w:tc>
          <w:tcPr>
            <w:tcW w:w="1276" w:type="dxa"/>
            <w:shd w:val="clear" w:color="auto" w:fill="auto"/>
            <w:vAlign w:val="center"/>
          </w:tcPr>
          <w:p>
            <w:pPr>
              <w:pStyle w:val="0"/>
              <w:jc w:val="right"/>
              <w:rPr>
                <w:rFonts w:hint="default" w:asciiTheme="minorEastAsia" w:hAnsiTheme="minorEastAsia" w:eastAsiaTheme="minorEastAsia"/>
                <w:sz w:val="20"/>
              </w:rPr>
            </w:pPr>
            <w:r>
              <w:rPr>
                <w:rFonts w:hint="eastAsia" w:asciiTheme="minorEastAsia" w:hAnsiTheme="minorEastAsia" w:eastAsiaTheme="minorEastAsia"/>
                <w:sz w:val="20"/>
              </w:rPr>
              <w:t>61</w:t>
            </w:r>
            <w:r>
              <w:rPr>
                <w:rFonts w:hint="eastAsia" w:asciiTheme="minorEastAsia" w:hAnsiTheme="minorEastAsia" w:eastAsiaTheme="minorEastAsia"/>
                <w:sz w:val="20"/>
              </w:rPr>
              <w:t>人</w:t>
            </w:r>
            <w:r>
              <w:rPr>
                <w:rFonts w:hint="eastAsia" w:asciiTheme="minorEastAsia" w:hAnsiTheme="minorEastAsia" w:eastAsiaTheme="minorEastAsia"/>
                <w:sz w:val="20"/>
              </w:rPr>
              <w:t xml:space="preserve"> </w:t>
            </w:r>
          </w:p>
        </w:tc>
        <w:tc>
          <w:tcPr>
            <w:tcW w:w="4848" w:type="dxa"/>
            <w:shd w:val="clear" w:color="auto" w:fill="auto"/>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令和４年度末</w:t>
            </w:r>
            <w:r>
              <w:rPr>
                <w:rFonts w:hint="default" w:asciiTheme="minorEastAsia" w:hAnsiTheme="minorEastAsia" w:eastAsiaTheme="minorEastAsia"/>
                <w:sz w:val="20"/>
              </w:rPr>
              <w:t>(</w:t>
            </w:r>
            <w:r>
              <w:rPr>
                <w:rFonts w:hint="eastAsia" w:asciiTheme="minorEastAsia" w:hAnsiTheme="minorEastAsia" w:eastAsiaTheme="minorEastAsia"/>
                <w:sz w:val="20"/>
              </w:rPr>
              <w:t>Ｒ</w:t>
            </w:r>
            <w:r>
              <w:rPr>
                <w:rFonts w:hint="default" w:asciiTheme="minorEastAsia" w:hAnsiTheme="minorEastAsia" w:eastAsiaTheme="minorEastAsia"/>
                <w:sz w:val="20"/>
              </w:rPr>
              <w:t>5.3.31</w:t>
            </w:r>
            <w:r>
              <w:rPr>
                <w:rFonts w:hint="default" w:asciiTheme="minorEastAsia" w:hAnsiTheme="minorEastAsia" w:eastAsiaTheme="minorEastAsia"/>
                <w:sz w:val="20"/>
              </w:rPr>
              <w:t>現在</w:t>
            </w:r>
            <w:r>
              <w:rPr>
                <w:rFonts w:hint="default" w:asciiTheme="minorEastAsia" w:hAnsiTheme="minorEastAsia" w:eastAsiaTheme="minorEastAsia"/>
                <w:sz w:val="20"/>
              </w:rPr>
              <w:t>)</w:t>
            </w:r>
            <w:r>
              <w:rPr>
                <w:rFonts w:hint="default" w:asciiTheme="minorEastAsia" w:hAnsiTheme="minorEastAsia" w:eastAsiaTheme="minorEastAsia"/>
                <w:sz w:val="20"/>
              </w:rPr>
              <w:t>の</w:t>
            </w:r>
            <w:r>
              <w:rPr>
                <w:rFonts w:hint="eastAsia" w:asciiTheme="minorEastAsia" w:hAnsiTheme="minorEastAsia" w:eastAsiaTheme="minorEastAsia"/>
                <w:sz w:val="20"/>
              </w:rPr>
              <w:t>入所者数</w:t>
            </w:r>
          </w:p>
        </w:tc>
      </w:tr>
      <w:tr>
        <w:trPr/>
        <w:tc>
          <w:tcPr>
            <w:tcW w:w="2693" w:type="dxa"/>
            <w:shd w:val="clear" w:color="auto" w:themeFill="background1" w:themeFillTint="FF" w:themeFillShade="D9"/>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目標年度入所者数</w:t>
            </w:r>
            <w:r>
              <w:rPr>
                <w:rFonts w:hint="eastAsia" w:asciiTheme="minorEastAsia" w:hAnsiTheme="minorEastAsia" w:eastAsiaTheme="minorEastAsia"/>
                <w:sz w:val="20"/>
              </w:rPr>
              <w:t>(B)</w:t>
            </w:r>
          </w:p>
        </w:tc>
        <w:tc>
          <w:tcPr>
            <w:tcW w:w="1276" w:type="dxa"/>
            <w:shd w:val="clear" w:color="auto" w:fill="auto"/>
            <w:vAlign w:val="center"/>
          </w:tcPr>
          <w:p>
            <w:pPr>
              <w:pStyle w:val="0"/>
              <w:jc w:val="right"/>
              <w:rPr>
                <w:rFonts w:hint="default" w:asciiTheme="minorEastAsia" w:hAnsiTheme="minorEastAsia" w:eastAsiaTheme="minorEastAsia"/>
                <w:sz w:val="20"/>
              </w:rPr>
            </w:pPr>
            <w:r>
              <w:rPr>
                <w:rFonts w:hint="eastAsia" w:asciiTheme="minorEastAsia" w:hAnsiTheme="minorEastAsia" w:eastAsiaTheme="minorEastAsia"/>
                <w:sz w:val="20"/>
              </w:rPr>
              <w:t>59</w:t>
            </w:r>
            <w:r>
              <w:rPr>
                <w:rFonts w:hint="eastAsia" w:asciiTheme="minorEastAsia" w:hAnsiTheme="minorEastAsia" w:eastAsiaTheme="minorEastAsia"/>
                <w:sz w:val="20"/>
              </w:rPr>
              <w:t>人</w:t>
            </w:r>
            <w:r>
              <w:rPr>
                <w:rFonts w:hint="eastAsia" w:asciiTheme="minorEastAsia" w:hAnsiTheme="minorEastAsia" w:eastAsiaTheme="minorEastAsia"/>
                <w:sz w:val="20"/>
              </w:rPr>
              <w:t xml:space="preserve"> </w:t>
            </w:r>
          </w:p>
        </w:tc>
        <w:tc>
          <w:tcPr>
            <w:tcW w:w="4848" w:type="dxa"/>
            <w:shd w:val="clear" w:color="auto" w:fill="auto"/>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令和８年度末の見込み</w:t>
            </w:r>
          </w:p>
        </w:tc>
      </w:tr>
      <w:tr>
        <w:trPr/>
        <w:tc>
          <w:tcPr>
            <w:tcW w:w="2693" w:type="dxa"/>
            <w:shd w:val="clear" w:color="auto" w:themeFill="background1" w:themeFillTint="FF" w:themeFillShade="D9"/>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削減見込目標値</w:t>
            </w:r>
            <w:r>
              <w:rPr>
                <w:rFonts w:hint="eastAsia" w:asciiTheme="minorEastAsia" w:hAnsiTheme="minorEastAsia" w:eastAsiaTheme="minorEastAsia"/>
                <w:sz w:val="20"/>
              </w:rPr>
              <w:t>(C)</w:t>
            </w:r>
          </w:p>
        </w:tc>
        <w:tc>
          <w:tcPr>
            <w:tcW w:w="1276" w:type="dxa"/>
            <w:shd w:val="clear" w:color="auto" w:fill="auto"/>
            <w:vAlign w:val="center"/>
          </w:tcPr>
          <w:p>
            <w:pPr>
              <w:pStyle w:val="0"/>
              <w:jc w:val="right"/>
              <w:rPr>
                <w:rFonts w:hint="default" w:asciiTheme="minorEastAsia" w:hAnsiTheme="minorEastAsia" w:eastAsiaTheme="minorEastAsia"/>
                <w:sz w:val="20"/>
              </w:rPr>
            </w:pPr>
            <w:r>
              <w:rPr>
                <w:rFonts w:hint="default" w:asciiTheme="minorEastAsia" w:hAnsiTheme="minorEastAsia" w:eastAsiaTheme="minorEastAsia"/>
                <w:sz w:val="20"/>
              </w:rPr>
              <w:t>2</w:t>
            </w:r>
            <w:r>
              <w:rPr>
                <w:rFonts w:hint="eastAsia" w:asciiTheme="minorEastAsia" w:hAnsiTheme="minorEastAsia" w:eastAsiaTheme="minorEastAsia"/>
                <w:sz w:val="20"/>
              </w:rPr>
              <w:t>人</w:t>
            </w:r>
            <w:r>
              <w:rPr>
                <w:rFonts w:hint="eastAsia" w:asciiTheme="minorEastAsia" w:hAnsiTheme="minorEastAsia" w:eastAsiaTheme="minorEastAsia"/>
                <w:sz w:val="20"/>
              </w:rPr>
              <w:t xml:space="preserve"> </w:t>
            </w:r>
            <w:r>
              <w:rPr>
                <w:rFonts w:hint="eastAsia" w:asciiTheme="minorEastAsia" w:hAnsiTheme="minorEastAsia" w:eastAsiaTheme="minorEastAsia"/>
                <w:sz w:val="20"/>
              </w:rPr>
              <w:br w:type="textWrapping" w:clear="none"/>
            </w:r>
            <w:r>
              <w:rPr>
                <w:rFonts w:hint="eastAsia" w:asciiTheme="minorEastAsia" w:hAnsiTheme="minorEastAsia" w:eastAsiaTheme="minorEastAsia"/>
                <w:sz w:val="20"/>
              </w:rPr>
              <w:t>3</w:t>
            </w:r>
            <w:r>
              <w:rPr>
                <w:rFonts w:hint="eastAsia" w:asciiTheme="minorEastAsia" w:hAnsiTheme="minorEastAsia" w:eastAsiaTheme="minorEastAsia"/>
                <w:sz w:val="20"/>
              </w:rPr>
              <w:t>％</w:t>
            </w:r>
          </w:p>
        </w:tc>
        <w:tc>
          <w:tcPr>
            <w:tcW w:w="4848" w:type="dxa"/>
            <w:shd w:val="clear" w:color="auto" w:fill="auto"/>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(C)</w:t>
            </w:r>
            <w:r>
              <w:rPr>
                <w:rFonts w:hint="eastAsia" w:asciiTheme="minorEastAsia" w:hAnsiTheme="minorEastAsia" w:eastAsiaTheme="minorEastAsia"/>
                <w:sz w:val="20"/>
              </w:rPr>
              <w:t>＝</w:t>
            </w:r>
            <w:r>
              <w:rPr>
                <w:rFonts w:hint="eastAsia" w:asciiTheme="minorEastAsia" w:hAnsiTheme="minorEastAsia" w:eastAsiaTheme="minorEastAsia"/>
                <w:sz w:val="20"/>
              </w:rPr>
              <w:t>(A)</w:t>
            </w:r>
            <w:r>
              <w:rPr>
                <w:rFonts w:hint="eastAsia" w:asciiTheme="minorEastAsia" w:hAnsiTheme="minorEastAsia" w:eastAsiaTheme="minorEastAsia"/>
                <w:sz w:val="20"/>
              </w:rPr>
              <w:t>－</w:t>
            </w:r>
            <w:r>
              <w:rPr>
                <w:rFonts w:hint="eastAsia" w:asciiTheme="minorEastAsia" w:hAnsiTheme="minorEastAsia" w:eastAsiaTheme="minorEastAsia"/>
                <w:sz w:val="20"/>
              </w:rPr>
              <w:t>(B)</w:t>
            </w:r>
            <w:r>
              <w:rPr>
                <w:rFonts w:hint="eastAsia" w:asciiTheme="minorEastAsia" w:hAnsiTheme="minorEastAsia" w:eastAsiaTheme="minorEastAsia"/>
                <w:sz w:val="20"/>
              </w:rPr>
              <w:t>＝</w:t>
            </w:r>
            <w:r>
              <w:rPr>
                <w:rFonts w:hint="eastAsia" w:asciiTheme="minorEastAsia" w:hAnsiTheme="minorEastAsia" w:eastAsiaTheme="minorEastAsia"/>
                <w:sz w:val="20"/>
              </w:rPr>
              <w:t>(E)</w:t>
            </w:r>
            <w:r>
              <w:rPr>
                <w:rFonts w:hint="eastAsia" w:asciiTheme="minorEastAsia" w:hAnsiTheme="minorEastAsia" w:eastAsiaTheme="minorEastAsia"/>
                <w:sz w:val="20"/>
              </w:rPr>
              <w:t>－</w:t>
            </w:r>
            <w:r>
              <w:rPr>
                <w:rFonts w:hint="eastAsia" w:asciiTheme="minorEastAsia" w:hAnsiTheme="minorEastAsia" w:eastAsiaTheme="minorEastAsia"/>
                <w:sz w:val="20"/>
              </w:rPr>
              <w:t>(D)</w:t>
            </w:r>
            <w:r>
              <w:rPr>
                <w:rFonts w:hint="eastAsia" w:asciiTheme="minorEastAsia" w:hAnsiTheme="minorEastAsia" w:eastAsiaTheme="minorEastAsia"/>
                <w:sz w:val="20"/>
              </w:rPr>
              <w:t>の値</w:t>
            </w:r>
          </w:p>
          <w:p>
            <w:pPr>
              <w:pStyle w:val="0"/>
              <w:autoSpaceDE w:val="0"/>
              <w:autoSpaceDN w:val="0"/>
              <w:rPr>
                <w:rFonts w:hint="default" w:asciiTheme="minorEastAsia" w:hAnsiTheme="minorEastAsia" w:eastAsiaTheme="minorEastAsia"/>
                <w:sz w:val="20"/>
              </w:rPr>
            </w:pPr>
            <w:r>
              <w:rPr>
                <w:rFonts w:hint="default" w:asciiTheme="minorEastAsia" w:hAnsiTheme="minorEastAsia" w:eastAsiaTheme="minorEastAsia"/>
                <w:sz w:val="20"/>
              </w:rPr>
              <w:t>(</w:t>
            </w:r>
            <w:r>
              <w:rPr>
                <w:rFonts w:hint="eastAsia" w:asciiTheme="minorEastAsia" w:hAnsiTheme="minorEastAsia" w:eastAsiaTheme="minorEastAsia"/>
                <w:sz w:val="20"/>
              </w:rPr>
              <w:t>国指針：目標５％以上削減</w:t>
            </w:r>
            <w:r>
              <w:rPr>
                <w:rFonts w:hint="default" w:asciiTheme="minorEastAsia" w:hAnsiTheme="minorEastAsia" w:eastAsiaTheme="minorEastAsia"/>
                <w:sz w:val="20"/>
              </w:rPr>
              <w:t>)</w:t>
            </w:r>
          </w:p>
        </w:tc>
      </w:tr>
      <w:tr>
        <w:trPr/>
        <w:tc>
          <w:tcPr>
            <w:tcW w:w="2693" w:type="dxa"/>
            <w:shd w:val="clear" w:color="auto" w:themeFill="background1" w:themeFillTint="FF" w:themeFillShade="D9"/>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新規入所者数</w:t>
            </w:r>
            <w:r>
              <w:rPr>
                <w:rFonts w:hint="eastAsia" w:asciiTheme="minorEastAsia" w:hAnsiTheme="minorEastAsia" w:eastAsiaTheme="minorEastAsia"/>
                <w:sz w:val="20"/>
              </w:rPr>
              <w:t>(D)</w:t>
            </w:r>
          </w:p>
        </w:tc>
        <w:tc>
          <w:tcPr>
            <w:tcW w:w="1276" w:type="dxa"/>
            <w:shd w:val="clear" w:color="auto" w:fill="auto"/>
            <w:vAlign w:val="center"/>
          </w:tcPr>
          <w:p>
            <w:pPr>
              <w:pStyle w:val="0"/>
              <w:jc w:val="right"/>
              <w:rPr>
                <w:rFonts w:hint="default" w:asciiTheme="minorEastAsia" w:hAnsiTheme="minorEastAsia" w:eastAsiaTheme="minorEastAsia"/>
                <w:sz w:val="20"/>
              </w:rPr>
            </w:pPr>
            <w:r>
              <w:rPr>
                <w:rFonts w:hint="default" w:asciiTheme="minorEastAsia" w:hAnsiTheme="minorEastAsia" w:eastAsiaTheme="minorEastAsia"/>
                <w:sz w:val="20"/>
              </w:rPr>
              <w:t>3</w:t>
            </w:r>
            <w:r>
              <w:rPr>
                <w:rFonts w:hint="eastAsia" w:asciiTheme="minorEastAsia" w:hAnsiTheme="minorEastAsia" w:eastAsiaTheme="minorEastAsia"/>
                <w:sz w:val="20"/>
              </w:rPr>
              <w:t>人</w:t>
            </w:r>
            <w:r>
              <w:rPr>
                <w:rFonts w:hint="eastAsia" w:asciiTheme="minorEastAsia" w:hAnsiTheme="minorEastAsia" w:eastAsiaTheme="minorEastAsia"/>
                <w:sz w:val="20"/>
              </w:rPr>
              <w:t xml:space="preserve"> </w:t>
            </w:r>
          </w:p>
        </w:tc>
        <w:tc>
          <w:tcPr>
            <w:tcW w:w="4848" w:type="dxa"/>
            <w:shd w:val="clear" w:color="auto" w:fill="auto"/>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令和６年から令和８年度末までの新規入所者の見込</w:t>
            </w:r>
          </w:p>
        </w:tc>
      </w:tr>
      <w:tr>
        <w:trPr/>
        <w:tc>
          <w:tcPr>
            <w:tcW w:w="2693" w:type="dxa"/>
            <w:shd w:val="clear" w:color="auto" w:themeFill="background1" w:themeFillTint="FF" w:themeFillShade="D9"/>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退所者数</w:t>
            </w:r>
            <w:r>
              <w:rPr>
                <w:rFonts w:hint="eastAsia" w:asciiTheme="minorEastAsia" w:hAnsiTheme="minorEastAsia" w:eastAsiaTheme="minorEastAsia"/>
                <w:sz w:val="20"/>
              </w:rPr>
              <w:t>(E)</w:t>
            </w:r>
          </w:p>
        </w:tc>
        <w:tc>
          <w:tcPr>
            <w:tcW w:w="1276" w:type="dxa"/>
            <w:shd w:val="clear" w:color="auto" w:fill="auto"/>
            <w:vAlign w:val="center"/>
          </w:tcPr>
          <w:p>
            <w:pPr>
              <w:pStyle w:val="0"/>
              <w:jc w:val="right"/>
              <w:rPr>
                <w:rFonts w:hint="default" w:asciiTheme="minorEastAsia" w:hAnsiTheme="minorEastAsia" w:eastAsiaTheme="minorEastAsia"/>
                <w:sz w:val="20"/>
              </w:rPr>
            </w:pPr>
            <w:r>
              <w:rPr>
                <w:rFonts w:hint="eastAsia" w:asciiTheme="minorEastAsia" w:hAnsiTheme="minorEastAsia" w:eastAsiaTheme="minorEastAsia"/>
                <w:sz w:val="20"/>
              </w:rPr>
              <w:t>5</w:t>
            </w:r>
            <w:r>
              <w:rPr>
                <w:rFonts w:hint="eastAsia" w:asciiTheme="minorEastAsia" w:hAnsiTheme="minorEastAsia" w:eastAsiaTheme="minorEastAsia"/>
                <w:sz w:val="20"/>
              </w:rPr>
              <w:t>人</w:t>
            </w:r>
            <w:r>
              <w:rPr>
                <w:rFonts w:hint="eastAsia" w:asciiTheme="minorEastAsia" w:hAnsiTheme="minorEastAsia" w:eastAsiaTheme="minorEastAsia"/>
                <w:sz w:val="20"/>
              </w:rPr>
              <w:t xml:space="preserve"> </w:t>
            </w:r>
          </w:p>
        </w:tc>
        <w:tc>
          <w:tcPr>
            <w:tcW w:w="4848" w:type="dxa"/>
            <w:shd w:val="clear" w:color="auto" w:fill="auto"/>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令和６年から令和８年度末までの退所者の見込</w:t>
            </w:r>
          </w:p>
        </w:tc>
      </w:tr>
      <w:tr>
        <w:trPr/>
        <w:tc>
          <w:tcPr>
            <w:tcW w:w="2693" w:type="dxa"/>
            <w:shd w:val="clear" w:color="auto" w:themeFill="background1" w:themeFillTint="FF" w:themeFillShade="D9"/>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地域移行目標数</w:t>
            </w:r>
            <w:r>
              <w:rPr>
                <w:rFonts w:hint="eastAsia" w:asciiTheme="minorEastAsia" w:hAnsiTheme="minorEastAsia" w:eastAsiaTheme="minorEastAsia"/>
                <w:sz w:val="20"/>
              </w:rPr>
              <w:t>(F)</w:t>
            </w:r>
          </w:p>
        </w:tc>
        <w:tc>
          <w:tcPr>
            <w:tcW w:w="1276" w:type="dxa"/>
            <w:shd w:val="clear" w:color="auto" w:fill="auto"/>
            <w:vAlign w:val="center"/>
          </w:tcPr>
          <w:p>
            <w:pPr>
              <w:pStyle w:val="0"/>
              <w:jc w:val="right"/>
              <w:rPr>
                <w:rFonts w:hint="default" w:asciiTheme="minorEastAsia" w:hAnsiTheme="minorEastAsia" w:eastAsiaTheme="minorEastAsia"/>
                <w:sz w:val="20"/>
              </w:rPr>
            </w:pPr>
            <w:r>
              <w:rPr>
                <w:rFonts w:hint="eastAsia" w:asciiTheme="minorEastAsia" w:hAnsiTheme="minorEastAsia" w:eastAsiaTheme="minorEastAsia"/>
                <w:sz w:val="20"/>
              </w:rPr>
              <w:t>2</w:t>
            </w:r>
            <w:r>
              <w:rPr>
                <w:rFonts w:hint="eastAsia" w:asciiTheme="minorEastAsia" w:hAnsiTheme="minorEastAsia" w:eastAsiaTheme="minorEastAsia"/>
                <w:sz w:val="20"/>
              </w:rPr>
              <w:t>人</w:t>
            </w:r>
            <w:r>
              <w:rPr>
                <w:rFonts w:hint="eastAsia" w:asciiTheme="minorEastAsia" w:hAnsiTheme="minorEastAsia" w:eastAsiaTheme="minorEastAsia"/>
                <w:sz w:val="20"/>
              </w:rPr>
              <w:t xml:space="preserve"> </w:t>
            </w:r>
            <w:r>
              <w:rPr>
                <w:rFonts w:hint="eastAsia" w:asciiTheme="minorEastAsia" w:hAnsiTheme="minorEastAsia" w:eastAsiaTheme="minorEastAsia"/>
                <w:sz w:val="20"/>
              </w:rPr>
              <w:br w:type="textWrapping" w:clear="none"/>
            </w:r>
            <w:r>
              <w:rPr>
                <w:rFonts w:hint="default" w:asciiTheme="minorEastAsia" w:hAnsiTheme="minorEastAsia" w:eastAsiaTheme="minorEastAsia"/>
                <w:sz w:val="20"/>
              </w:rPr>
              <w:t>3</w:t>
            </w:r>
            <w:r>
              <w:rPr>
                <w:rFonts w:hint="eastAsia" w:asciiTheme="minorEastAsia" w:hAnsiTheme="minorEastAsia" w:eastAsiaTheme="minorEastAsia"/>
                <w:sz w:val="20"/>
              </w:rPr>
              <w:t>％</w:t>
            </w:r>
          </w:p>
        </w:tc>
        <w:tc>
          <w:tcPr>
            <w:tcW w:w="4848" w:type="dxa"/>
            <w:shd w:val="clear" w:color="auto" w:fill="auto"/>
            <w:vAlign w:val="center"/>
          </w:tcPr>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(E)</w:t>
            </w:r>
            <w:r>
              <w:rPr>
                <w:rFonts w:hint="eastAsia" w:asciiTheme="minorEastAsia" w:hAnsiTheme="minorEastAsia" w:eastAsiaTheme="minorEastAsia"/>
                <w:sz w:val="20"/>
              </w:rPr>
              <w:t>のうち、地域移行目標者</w:t>
            </w:r>
          </w:p>
          <w:p>
            <w:pPr>
              <w:pStyle w:val="0"/>
              <w:autoSpaceDE w:val="0"/>
              <w:autoSpaceDN w:val="0"/>
              <w:rPr>
                <w:rFonts w:hint="default" w:asciiTheme="minorEastAsia" w:hAnsiTheme="minorEastAsia" w:eastAsiaTheme="minorEastAsia"/>
                <w:sz w:val="20"/>
              </w:rPr>
            </w:pPr>
            <w:r>
              <w:rPr>
                <w:rFonts w:hint="eastAsia" w:asciiTheme="minorEastAsia" w:hAnsiTheme="minorEastAsia" w:eastAsiaTheme="minorEastAsia"/>
                <w:sz w:val="20"/>
              </w:rPr>
              <w:t>(</w:t>
            </w:r>
            <w:r>
              <w:rPr>
                <w:rFonts w:hint="eastAsia" w:asciiTheme="minorEastAsia" w:hAnsiTheme="minorEastAsia" w:eastAsiaTheme="minorEastAsia"/>
                <w:sz w:val="20"/>
              </w:rPr>
              <w:t>国指針：目標６％以上移行</w:t>
            </w:r>
            <w:r>
              <w:rPr>
                <w:rFonts w:hint="eastAsia" w:asciiTheme="minorEastAsia" w:hAnsiTheme="minorEastAsia" w:eastAsiaTheme="minorEastAsia"/>
                <w:sz w:val="20"/>
              </w:rPr>
              <w:t>)</w:t>
            </w:r>
          </w:p>
        </w:tc>
      </w:tr>
    </w:tbl>
    <w:p>
      <w:pPr>
        <w:pStyle w:val="245"/>
        <w:spacing w:line="0" w:lineRule="atLeast"/>
        <w:ind w:left="672" w:firstLine="204"/>
        <w:rPr>
          <w:rFonts w:hint="default"/>
          <w:sz w:val="20"/>
        </w:rPr>
      </w:pPr>
    </w:p>
    <w:tbl>
      <w:tblPr>
        <w:tblStyle w:val="11"/>
        <w:tblW w:w="8811" w:type="dxa"/>
        <w:tblInd w:w="817"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Look w:firstRow="1" w:lastRow="0" w:firstColumn="1" w:lastColumn="0" w:noHBand="0" w:noVBand="1" w:val="04A0"/>
      </w:tblPr>
      <w:tblGrid>
        <w:gridCol w:w="8811"/>
      </w:tblGrid>
      <w:tr>
        <w:trPr/>
        <w:tc>
          <w:tcPr>
            <w:tcW w:w="8811" w:type="dxa"/>
            <w:shd w:val="clear" w:color="auto" w:fill="auto"/>
            <w:tcMar>
              <w:top w:w="57" w:type="dxa"/>
              <w:bottom w:w="57" w:type="dxa"/>
            </w:tcMar>
            <w:vAlign w:val="top"/>
          </w:tcPr>
          <w:p>
            <w:pPr>
              <w:pStyle w:val="0"/>
              <w:rPr>
                <w:rFonts w:hint="default"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eastAsiaTheme="minorEastAsia"/>
              </w:rPr>
              <w:t xml:space="preserve"> </w:t>
            </w:r>
            <w:r>
              <w:rPr>
                <w:rFonts w:hint="eastAsia" w:asciiTheme="minorEastAsia" w:hAnsiTheme="minorEastAsia" w:eastAsiaTheme="minorEastAsia"/>
              </w:rPr>
              <w:t>削減見込み数及び地域移行者数設定の根拠（考え方）</w:t>
            </w:r>
          </w:p>
          <w:p>
            <w:pPr>
              <w:pStyle w:val="0"/>
              <w:ind w:left="448" w:leftChars="100" w:hanging="224" w:hangingChars="100"/>
              <w:rPr>
                <w:rFonts w:hint="default" w:asciiTheme="minorEastAsia" w:hAnsiTheme="minorEastAsia" w:eastAsiaTheme="minorEastAsia"/>
              </w:rPr>
            </w:pPr>
            <w:r>
              <w:rPr>
                <w:rFonts w:hint="eastAsia" w:asciiTheme="minorEastAsia" w:hAnsiTheme="minorEastAsia" w:eastAsiaTheme="minorEastAsia"/>
              </w:rPr>
              <w:t>・令和６年～令和８年度末までの新規入所者数を</w:t>
            </w:r>
            <w:r>
              <w:rPr>
                <w:rFonts w:hint="default" w:asciiTheme="minorEastAsia" w:hAnsiTheme="minorEastAsia" w:eastAsiaTheme="minorEastAsia"/>
              </w:rPr>
              <w:t>3</w:t>
            </w:r>
            <w:r>
              <w:rPr>
                <w:rFonts w:hint="default" w:asciiTheme="minorEastAsia" w:hAnsiTheme="minorEastAsia" w:eastAsiaTheme="minorEastAsia"/>
              </w:rPr>
              <w:t>人</w:t>
            </w:r>
            <w:r>
              <w:rPr>
                <w:rFonts w:hint="eastAsia" w:asciiTheme="minorEastAsia" w:hAnsiTheme="minorEastAsia" w:eastAsiaTheme="minorEastAsia"/>
              </w:rPr>
              <w:t>、退所者数を</w:t>
            </w:r>
            <w:r>
              <w:rPr>
                <w:rFonts w:hint="default" w:asciiTheme="minorEastAsia" w:hAnsiTheme="minorEastAsia" w:eastAsiaTheme="minorEastAsia"/>
              </w:rPr>
              <w:t>5</w:t>
            </w:r>
            <w:r>
              <w:rPr>
                <w:rFonts w:hint="eastAsia" w:asciiTheme="minorEastAsia" w:hAnsiTheme="minorEastAsia" w:eastAsiaTheme="minorEastAsia"/>
              </w:rPr>
              <w:t>人と見込み、削減見込み目標を</w:t>
            </w:r>
            <w:r>
              <w:rPr>
                <w:rFonts w:hint="default" w:asciiTheme="minorEastAsia" w:hAnsiTheme="minorEastAsia" w:eastAsiaTheme="minorEastAsia"/>
              </w:rPr>
              <w:t>2</w:t>
            </w:r>
            <w:r>
              <w:rPr>
                <w:rFonts w:hint="eastAsia" w:asciiTheme="minorEastAsia" w:hAnsiTheme="minorEastAsia" w:eastAsiaTheme="minorEastAsia"/>
              </w:rPr>
              <w:t>人としました。その結果、令和８年度末の入所者数は、令和４年度末</w:t>
            </w:r>
            <w:r>
              <w:rPr>
                <w:rFonts w:hint="default" w:asciiTheme="minorEastAsia" w:hAnsiTheme="minorEastAsia" w:eastAsiaTheme="minorEastAsia"/>
              </w:rPr>
              <w:t>の</w:t>
            </w:r>
            <w:r>
              <w:rPr>
                <w:rFonts w:hint="default" w:asciiTheme="minorEastAsia" w:hAnsiTheme="minorEastAsia" w:eastAsiaTheme="minorEastAsia"/>
              </w:rPr>
              <w:t>6</w:t>
            </w:r>
            <w:r>
              <w:rPr>
                <w:rFonts w:hint="eastAsia" w:asciiTheme="minorEastAsia" w:hAnsiTheme="minorEastAsia" w:eastAsiaTheme="minorEastAsia"/>
              </w:rPr>
              <w:t>1</w:t>
            </w:r>
            <w:r>
              <w:rPr>
                <w:rFonts w:hint="eastAsia" w:asciiTheme="minorEastAsia" w:hAnsiTheme="minorEastAsia" w:eastAsiaTheme="minorEastAsia"/>
              </w:rPr>
              <w:t>人</w:t>
            </w:r>
            <w:r>
              <w:rPr>
                <w:rFonts w:hint="default" w:asciiTheme="minorEastAsia" w:hAnsiTheme="minorEastAsia" w:eastAsiaTheme="minorEastAsia"/>
              </w:rPr>
              <w:t>から</w:t>
            </w:r>
            <w:r>
              <w:rPr>
                <w:rFonts w:hint="default" w:asciiTheme="minorEastAsia" w:hAnsiTheme="minorEastAsia" w:eastAsiaTheme="minorEastAsia"/>
              </w:rPr>
              <w:t>2</w:t>
            </w:r>
            <w:r>
              <w:rPr>
                <w:rFonts w:hint="eastAsia" w:asciiTheme="minorEastAsia" w:hAnsiTheme="minorEastAsia" w:eastAsiaTheme="minorEastAsia"/>
              </w:rPr>
              <w:t>人減の</w:t>
            </w:r>
            <w:r>
              <w:rPr>
                <w:rFonts w:hint="eastAsia" w:asciiTheme="minorEastAsia" w:hAnsiTheme="minorEastAsia" w:eastAsiaTheme="minorEastAsia"/>
              </w:rPr>
              <w:t>59</w:t>
            </w:r>
            <w:r>
              <w:rPr>
                <w:rFonts w:hint="eastAsia" w:asciiTheme="minorEastAsia" w:hAnsiTheme="minorEastAsia" w:eastAsiaTheme="minorEastAsia"/>
              </w:rPr>
              <w:t>人を見込みます。</w:t>
            </w:r>
          </w:p>
          <w:p>
            <w:pPr>
              <w:pStyle w:val="0"/>
              <w:ind w:left="448" w:leftChars="100" w:hanging="224" w:hangingChars="100"/>
              <w:rPr>
                <w:rFonts w:hint="default" w:asciiTheme="minorEastAsia" w:hAnsiTheme="minorEastAsia" w:eastAsiaTheme="minorEastAsia"/>
              </w:rPr>
            </w:pPr>
            <w:r>
              <w:rPr>
                <w:rFonts w:hint="eastAsia" w:asciiTheme="minorEastAsia" w:hAnsiTheme="minorEastAsia" w:eastAsiaTheme="minorEastAsia"/>
              </w:rPr>
              <w:t>・令和６年から令和８年度末までの退所者</w:t>
            </w:r>
            <w:r>
              <w:rPr>
                <w:rFonts w:hint="default" w:asciiTheme="minorEastAsia" w:hAnsiTheme="minorEastAsia" w:eastAsiaTheme="minorEastAsia"/>
              </w:rPr>
              <w:t>5</w:t>
            </w:r>
            <w:r>
              <w:rPr>
                <w:rFonts w:hint="eastAsia" w:asciiTheme="minorEastAsia" w:hAnsiTheme="minorEastAsia" w:eastAsiaTheme="minorEastAsia"/>
              </w:rPr>
              <w:t>人のうち、</w:t>
            </w:r>
            <w:r>
              <w:rPr>
                <w:rFonts w:hint="default" w:asciiTheme="minorEastAsia" w:hAnsiTheme="minorEastAsia" w:eastAsiaTheme="minorEastAsia"/>
              </w:rPr>
              <w:t>2</w:t>
            </w:r>
            <w:r>
              <w:rPr>
                <w:rFonts w:hint="default" w:asciiTheme="minorEastAsia" w:hAnsiTheme="minorEastAsia" w:eastAsiaTheme="minorEastAsia"/>
              </w:rPr>
              <w:t>人</w:t>
            </w:r>
            <w:r>
              <w:rPr>
                <w:rFonts w:hint="eastAsia" w:asciiTheme="minorEastAsia" w:hAnsiTheme="minorEastAsia" w:eastAsiaTheme="minorEastAsia"/>
              </w:rPr>
              <w:t>が地域生活に移行することを目標とします。</w:t>
            </w:r>
          </w:p>
          <w:p>
            <w:pPr>
              <w:pStyle w:val="0"/>
              <w:spacing w:before="140" w:beforeLines="40" w:beforeAutospacing="0"/>
              <w:rPr>
                <w:rFonts w:hint="default"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eastAsiaTheme="minorEastAsia"/>
              </w:rPr>
              <w:t xml:space="preserve"> </w:t>
            </w:r>
            <w:r>
              <w:rPr>
                <w:rFonts w:hint="eastAsia" w:asciiTheme="minorEastAsia" w:hAnsiTheme="minorEastAsia" w:eastAsiaTheme="minorEastAsia"/>
              </w:rPr>
              <w:t>施設入所者の地域生活への移行に係る方策</w:t>
            </w:r>
          </w:p>
          <w:p>
            <w:pPr>
              <w:pStyle w:val="0"/>
              <w:ind w:left="448" w:leftChars="100" w:hanging="224" w:hangingChars="100"/>
              <w:rPr>
                <w:rFonts w:hint="default" w:asciiTheme="minorEastAsia" w:hAnsiTheme="minorEastAsia" w:eastAsiaTheme="minorEastAsia"/>
              </w:rPr>
            </w:pPr>
            <w:r>
              <w:rPr>
                <w:rFonts w:hint="eastAsia" w:asciiTheme="minorEastAsia" w:hAnsiTheme="minorEastAsia" w:eastAsiaTheme="minorEastAsia"/>
              </w:rPr>
              <w:t>・施設の相談員と基幹相談支援センター、委託相談支援事業所、計画相談支援事業所及びその他の関係機関が連携し、当事者が地域生活をイメージできる体験の場づくりに取り組みます。</w:t>
            </w:r>
          </w:p>
          <w:p>
            <w:pPr>
              <w:pStyle w:val="0"/>
              <w:ind w:left="448" w:leftChars="100" w:hanging="224" w:hangingChars="100"/>
              <w:rPr>
                <w:rFonts w:hint="default" w:asciiTheme="minorEastAsia" w:hAnsiTheme="minorEastAsia" w:eastAsiaTheme="minorEastAsia"/>
              </w:rPr>
            </w:pPr>
            <w:r>
              <w:rPr>
                <w:rFonts w:hint="eastAsia" w:asciiTheme="minorEastAsia" w:hAnsiTheme="minorEastAsia" w:eastAsiaTheme="minorEastAsia"/>
              </w:rPr>
              <w:t>・また、地域生活への移行後も、これらの関係機関が連携した見守りや訪問等による相談支援等が提供できる体制を構築します。</w:t>
            </w:r>
          </w:p>
        </w:tc>
      </w:tr>
    </w:tbl>
    <w:p>
      <w:pPr>
        <w:pStyle w:val="245"/>
        <w:ind w:left="672" w:firstLine="224"/>
        <w:rPr>
          <w:rFonts w:hint="default"/>
        </w:rPr>
      </w:pPr>
      <w:bookmarkStart w:id="175" w:name="_Toc67040243"/>
    </w:p>
    <w:p>
      <w:pPr>
        <w:pStyle w:val="0"/>
        <w:rPr>
          <w:rFonts w:hint="default"/>
        </w:rPr>
      </w:pPr>
      <w:r>
        <w:rPr>
          <w:rFonts w:hint="default"/>
        </w:rPr>
        <w:br w:type="page"/>
      </w:r>
    </w:p>
    <w:p>
      <w:pPr>
        <w:pStyle w:val="242"/>
        <w:spacing w:after="37" w:afterLines="0" w:afterAutospacing="0"/>
        <w:ind w:left="224"/>
        <w:rPr>
          <w:rFonts w:hint="default"/>
        </w:rPr>
      </w:pPr>
      <w:bookmarkStart w:id="176" w:name="_Toc158300425"/>
      <w:r>
        <w:rPr>
          <w:rFonts w:hint="default"/>
        </w:rPr>
        <w:t>(</w:t>
      </w:r>
      <w:r>
        <w:rPr>
          <w:rFonts w:hint="eastAsia"/>
        </w:rPr>
        <w:t>２</w:t>
      </w:r>
      <w:r>
        <w:rPr>
          <w:rFonts w:hint="default"/>
        </w:rPr>
        <w:t>)</w:t>
      </w:r>
      <w:r>
        <w:rPr>
          <w:rFonts w:hint="eastAsia"/>
        </w:rPr>
        <w:t>精神障害にも対応した地域包括ケアシステムの構築</w:t>
      </w:r>
      <w:bookmarkEnd w:id="176"/>
      <w:bookmarkEnd w:id="175"/>
    </w:p>
    <w:p>
      <w:pPr>
        <w:pStyle w:val="243"/>
        <w:ind w:left="784" w:hanging="336"/>
        <w:rPr>
          <w:rFonts w:hint="default"/>
        </w:rPr>
      </w:pPr>
      <w:r>
        <w:rPr>
          <w:rFonts w:hint="eastAsia"/>
        </w:rPr>
        <w:t>①</w:t>
      </w:r>
      <w:r>
        <w:rPr>
          <w:rFonts w:hint="eastAsia"/>
        </w:rPr>
        <w:t xml:space="preserve"> </w:t>
      </w:r>
      <w:r>
        <w:rPr>
          <w:rFonts w:hint="eastAsia"/>
        </w:rPr>
        <w:t>保健、医療、福祉関係者による協議の場の設置</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2287"/>
        <w:gridCol w:w="1120"/>
        <w:gridCol w:w="1288"/>
        <w:gridCol w:w="1117"/>
        <w:gridCol w:w="3118"/>
      </w:tblGrid>
      <w:tr>
        <w:trPr/>
        <w:tc>
          <w:tcPr>
            <w:tcW w:w="2287"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1120"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設置方法</w:t>
            </w:r>
          </w:p>
        </w:tc>
        <w:tc>
          <w:tcPr>
            <w:tcW w:w="1288"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設置時期</w:t>
            </w:r>
          </w:p>
        </w:tc>
        <w:tc>
          <w:tcPr>
            <w:tcW w:w="1117"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設置方法</w:t>
            </w:r>
          </w:p>
        </w:tc>
        <w:tc>
          <w:tcPr>
            <w:tcW w:w="3118"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具体的設置方法</w:t>
            </w:r>
          </w:p>
        </w:tc>
      </w:tr>
      <w:tr>
        <w:trPr/>
        <w:tc>
          <w:tcPr>
            <w:tcW w:w="2287"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保健、医療、福祉関係者による協議の場の設置</w:t>
            </w:r>
          </w:p>
        </w:tc>
        <w:tc>
          <w:tcPr>
            <w:tcW w:w="1120"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単独設置</w:t>
            </w:r>
          </w:p>
        </w:tc>
        <w:tc>
          <w:tcPr>
            <w:tcW w:w="1288"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令和元年度</w:t>
            </w:r>
          </w:p>
        </w:tc>
        <w:tc>
          <w:tcPr>
            <w:tcW w:w="1117" w:type="dxa"/>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新規設置</w:t>
            </w:r>
          </w:p>
        </w:tc>
        <w:tc>
          <w:tcPr>
            <w:tcW w:w="3118"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令和元年度に保健、医療、福祉関係者との協議の場を単独設置</w:t>
            </w:r>
          </w:p>
        </w:tc>
      </w:tr>
    </w:tbl>
    <w:p>
      <w:pPr>
        <w:pStyle w:val="245"/>
        <w:spacing w:line="0" w:lineRule="atLeast"/>
        <w:ind w:left="672" w:firstLine="204"/>
        <w:rPr>
          <w:rFonts w:hint="default"/>
          <w:sz w:val="20"/>
        </w:rPr>
      </w:pP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2693"/>
        <w:gridCol w:w="945"/>
        <w:gridCol w:w="945"/>
        <w:gridCol w:w="945"/>
        <w:gridCol w:w="3402"/>
      </w:tblGrid>
      <w:tr>
        <w:trPr/>
        <w:tc>
          <w:tcPr>
            <w:tcW w:w="2693"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2835" w:type="dxa"/>
            <w:gridSpan w:val="3"/>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回数又は人数</w:t>
            </w:r>
          </w:p>
        </w:tc>
        <w:tc>
          <w:tcPr>
            <w:tcW w:w="3402"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備考</w:t>
            </w:r>
          </w:p>
        </w:tc>
      </w:tr>
      <w:tr>
        <w:trPr/>
        <w:tc>
          <w:tcPr>
            <w:tcW w:w="2693" w:type="dxa"/>
            <w:vMerge w:val="continue"/>
            <w:shd w:val="clear" w:color="auto" w:fill="C5E0B3"/>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令和６年</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令和７年</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令和８年</w:t>
            </w:r>
          </w:p>
        </w:tc>
        <w:tc>
          <w:tcPr>
            <w:tcW w:w="3402" w:type="dxa"/>
            <w:vMerge w:val="continue"/>
            <w:shd w:val="clear" w:color="auto" w:fill="C5E0B3"/>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保健、医療及び福祉関係者による協議の場の開催回数</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3402"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年間の開催回数の見込み</w:t>
            </w: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保健、医療及び福祉関係者による協議の場への関係者の参加人数</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3402"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保健、医療、福祉、介護、当事者及び家族等の関係者ごと</w:t>
            </w:r>
            <w:r>
              <w:rPr>
                <w:rFonts w:hint="default" w:asciiTheme="minorEastAsia" w:hAnsiTheme="minorEastAsia" w:eastAsiaTheme="minorEastAsia"/>
                <w:sz w:val="20"/>
              </w:rPr>
              <w:t>(</w:t>
            </w:r>
            <w:r>
              <w:rPr>
                <w:rFonts w:hint="eastAsia" w:asciiTheme="minorEastAsia" w:hAnsiTheme="minorEastAsia" w:eastAsiaTheme="minorEastAsia"/>
                <w:sz w:val="20"/>
              </w:rPr>
              <w:t>医療にあっては、精神科及び精神科以外の医療機関別</w:t>
            </w:r>
            <w:r>
              <w:rPr>
                <w:rFonts w:hint="default" w:asciiTheme="minorEastAsia" w:hAnsiTheme="minorEastAsia" w:eastAsiaTheme="minorEastAsia"/>
                <w:sz w:val="20"/>
              </w:rPr>
              <w:t>)</w:t>
            </w:r>
            <w:r>
              <w:rPr>
                <w:rFonts w:hint="eastAsia" w:asciiTheme="minorEastAsia" w:hAnsiTheme="minorEastAsia" w:eastAsiaTheme="minorEastAsia"/>
                <w:sz w:val="20"/>
              </w:rPr>
              <w:t>の参観者人数の見込み</w:t>
            </w: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保健、医療及び福祉関係者による協議の場における目標設定及び評価の実施回数</w:t>
            </w:r>
          </w:p>
        </w:tc>
        <w:tc>
          <w:tcPr>
            <w:tcW w:w="945"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945"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945"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3402"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年間の開催回数の見込み</w:t>
            </w:r>
          </w:p>
        </w:tc>
      </w:tr>
    </w:tbl>
    <w:p>
      <w:pPr>
        <w:pStyle w:val="245"/>
        <w:ind w:left="672" w:firstLine="224"/>
        <w:rPr>
          <w:rFonts w:hint="default"/>
        </w:rPr>
      </w:pPr>
    </w:p>
    <w:p>
      <w:pPr>
        <w:pStyle w:val="245"/>
        <w:ind w:left="672" w:firstLine="224"/>
        <w:rPr>
          <w:rFonts w:hint="default"/>
        </w:rPr>
      </w:pPr>
    </w:p>
    <w:p>
      <w:pPr>
        <w:pStyle w:val="242"/>
        <w:spacing w:after="37" w:afterLines="0" w:afterAutospacing="0"/>
        <w:ind w:left="224"/>
        <w:rPr>
          <w:rFonts w:hint="default"/>
        </w:rPr>
      </w:pPr>
      <w:bookmarkStart w:id="177" w:name="_Toc158300426"/>
      <w:bookmarkStart w:id="178" w:name="_Toc67040244"/>
      <w:r>
        <w:rPr>
          <w:rFonts w:hint="default"/>
        </w:rPr>
        <w:t>(</w:t>
      </w:r>
      <w:r>
        <w:rPr>
          <w:rFonts w:hint="eastAsia"/>
        </w:rPr>
        <w:t>３</w:t>
      </w:r>
      <w:r>
        <w:rPr>
          <w:rFonts w:hint="default"/>
        </w:rPr>
        <w:t>)</w:t>
      </w:r>
      <w:bookmarkEnd w:id="178"/>
      <w:r>
        <w:rPr>
          <w:rFonts w:hint="eastAsia"/>
        </w:rPr>
        <w:t>地域生活支援の充実</w:t>
      </w:r>
      <w:bookmarkEnd w:id="177"/>
    </w:p>
    <w:p>
      <w:pPr>
        <w:pStyle w:val="245"/>
        <w:spacing w:line="0" w:lineRule="atLeast"/>
        <w:ind w:left="672" w:firstLine="204"/>
        <w:rPr>
          <w:rFonts w:hint="default"/>
          <w:sz w:val="20"/>
        </w:rPr>
      </w:pP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2552"/>
        <w:gridCol w:w="1346"/>
        <w:gridCol w:w="1489"/>
        <w:gridCol w:w="3543"/>
      </w:tblGrid>
      <w:tr>
        <w:trPr/>
        <w:tc>
          <w:tcPr>
            <w:tcW w:w="255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1346"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整備区域</w:t>
            </w:r>
          </w:p>
        </w:tc>
        <w:tc>
          <w:tcPr>
            <w:tcW w:w="1489"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設置時期</w:t>
            </w:r>
          </w:p>
        </w:tc>
        <w:tc>
          <w:tcPr>
            <w:tcW w:w="3543"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整備手法</w:t>
            </w:r>
          </w:p>
        </w:tc>
      </w:tr>
      <w:tr>
        <w:trPr/>
        <w:tc>
          <w:tcPr>
            <w:tcW w:w="255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地域生活支援拠点の整備</w:t>
            </w:r>
          </w:p>
        </w:tc>
        <w:tc>
          <w:tcPr>
            <w:tcW w:w="1346"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単独設置</w:t>
            </w:r>
          </w:p>
        </w:tc>
        <w:tc>
          <w:tcPr>
            <w:tcW w:w="1489"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令和５年度</w:t>
            </w:r>
          </w:p>
        </w:tc>
        <w:tc>
          <w:tcPr>
            <w:tcW w:w="3543" w:type="dxa"/>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面的整備型</w:t>
            </w:r>
          </w:p>
        </w:tc>
      </w:tr>
    </w:tbl>
    <w:p>
      <w:pPr>
        <w:pStyle w:val="245"/>
        <w:spacing w:before="35" w:beforeLines="10" w:beforeAutospacing="0" w:after="35" w:afterLines="10" w:afterAutospacing="0" w:line="0" w:lineRule="atLeast"/>
        <w:ind w:left="2203" w:hanging="1531" w:hangingChars="750"/>
        <w:rPr>
          <w:rFonts w:hint="default"/>
          <w:sz w:val="20"/>
        </w:rPr>
      </w:pPr>
      <w:bookmarkStart w:id="179" w:name="_Hlk50045518"/>
      <w:r>
        <w:rPr>
          <w:rFonts w:hint="eastAsia"/>
          <w:sz w:val="20"/>
        </w:rPr>
        <w:t>※１　整備区域：【単独設置】当該市町村内で拠点に必要な機能を確保すること。</w:t>
      </w:r>
    </w:p>
    <w:p>
      <w:pPr>
        <w:pStyle w:val="245"/>
        <w:spacing w:before="35" w:beforeLines="10" w:beforeAutospacing="0" w:after="35" w:afterLines="10" w:afterAutospacing="0" w:line="0" w:lineRule="atLeast"/>
        <w:ind w:left="2203" w:hanging="1531" w:hangingChars="750"/>
        <w:rPr>
          <w:rFonts w:hint="default"/>
          <w:sz w:val="20"/>
        </w:rPr>
      </w:pPr>
      <w:r>
        <w:rPr>
          <w:rFonts w:hint="eastAsia"/>
          <w:sz w:val="20"/>
        </w:rPr>
        <w:t>※２　整備手法：【面的整備型】地域における複数の機関が分担して機能を担う体制の整備手法</w:t>
      </w:r>
    </w:p>
    <w:p>
      <w:pPr>
        <w:pStyle w:val="245"/>
        <w:spacing w:line="0" w:lineRule="atLeast"/>
        <w:ind w:left="672" w:firstLine="204"/>
        <w:rPr>
          <w:rFonts w:hint="default"/>
          <w:sz w:val="20"/>
        </w:rPr>
      </w:pPr>
      <w:bookmarkEnd w:id="179"/>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1839"/>
        <w:gridCol w:w="946"/>
        <w:gridCol w:w="946"/>
        <w:gridCol w:w="947"/>
        <w:gridCol w:w="4252"/>
      </w:tblGrid>
      <w:tr>
        <w:trPr/>
        <w:tc>
          <w:tcPr>
            <w:tcW w:w="1839"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2839" w:type="dxa"/>
            <w:gridSpan w:val="3"/>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回数</w:t>
            </w:r>
          </w:p>
        </w:tc>
        <w:tc>
          <w:tcPr>
            <w:tcW w:w="4252"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備考</w:t>
            </w:r>
          </w:p>
        </w:tc>
      </w:tr>
      <w:tr>
        <w:trPr/>
        <w:tc>
          <w:tcPr>
            <w:tcW w:w="1839" w:type="dxa"/>
            <w:vMerge w:val="continue"/>
            <w:shd w:val="clear" w:color="auto" w:fill="C5E0B3"/>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94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令和６年</w:t>
            </w:r>
          </w:p>
        </w:tc>
        <w:tc>
          <w:tcPr>
            <w:tcW w:w="94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令和７年</w:t>
            </w:r>
          </w:p>
        </w:tc>
        <w:tc>
          <w:tcPr>
            <w:tcW w:w="94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令和８年</w:t>
            </w:r>
          </w:p>
        </w:tc>
        <w:tc>
          <w:tcPr>
            <w:tcW w:w="4252" w:type="dxa"/>
            <w:vMerge w:val="continue"/>
            <w:shd w:val="clear" w:color="auto" w:fill="C5E0B3"/>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p>
        </w:tc>
      </w:tr>
      <w:tr>
        <w:trPr/>
        <w:tc>
          <w:tcPr>
            <w:tcW w:w="1839"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コーディネーターの配置人数</w:t>
            </w:r>
          </w:p>
        </w:tc>
        <w:tc>
          <w:tcPr>
            <w:tcW w:w="94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94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94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4252"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人数の見込み</w:t>
            </w:r>
          </w:p>
        </w:tc>
      </w:tr>
      <w:tr>
        <w:trPr/>
        <w:tc>
          <w:tcPr>
            <w:tcW w:w="1839"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地域生活支援拠点の機能の充実に向けた運用状況の検証及び検討（年間回数）</w:t>
            </w:r>
          </w:p>
        </w:tc>
        <w:tc>
          <w:tcPr>
            <w:tcW w:w="946"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946"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947"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4252"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国指針：各市町村において地域生活支援拠点等を整備、コーディネーターの配置、地域生活支援拠点等の機能を担う障害福祉サービス事業所等の担当者の配置、支援ネットワーク等による効果的な支援体制及び緊急時の連絡体制の構築を進め、年１回以</w:t>
            </w:r>
            <w:r>
              <w:rPr>
                <w:rFonts w:hint="default" w:asciiTheme="minorEastAsia" w:hAnsiTheme="minorEastAsia" w:eastAsiaTheme="minorEastAsia"/>
                <w:spacing w:val="-2"/>
                <w:sz w:val="20"/>
              </w:rPr>
              <w:t>上、支援の実績等を踏まえ運用状況を検証・検討を行うこと</w:t>
            </w:r>
          </w:p>
        </w:tc>
      </w:tr>
    </w:tbl>
    <w:p>
      <w:pPr>
        <w:pStyle w:val="245"/>
        <w:ind w:left="672" w:firstLine="224"/>
        <w:rPr>
          <w:rFonts w:hint="default"/>
        </w:rPr>
      </w:pP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1843"/>
        <w:gridCol w:w="1417"/>
        <w:gridCol w:w="1418"/>
        <w:gridCol w:w="4252"/>
      </w:tblGrid>
      <w:tr>
        <w:trPr/>
        <w:tc>
          <w:tcPr>
            <w:tcW w:w="184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1417"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整備区域</w:t>
            </w:r>
          </w:p>
        </w:tc>
        <w:tc>
          <w:tcPr>
            <w:tcW w:w="1418"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設置時期</w:t>
            </w:r>
          </w:p>
        </w:tc>
        <w:tc>
          <w:tcPr>
            <w:tcW w:w="4252"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整備手法</w:t>
            </w:r>
          </w:p>
        </w:tc>
      </w:tr>
      <w:tr>
        <w:trPr/>
        <w:tc>
          <w:tcPr>
            <w:tcW w:w="184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強度行動障害者への支援体制の整備</w:t>
            </w:r>
          </w:p>
        </w:tc>
        <w:tc>
          <w:tcPr>
            <w:tcW w:w="1417"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圏域設置</w:t>
            </w:r>
          </w:p>
        </w:tc>
        <w:tc>
          <w:tcPr>
            <w:tcW w:w="1418"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令和８年</w:t>
            </w:r>
          </w:p>
        </w:tc>
        <w:tc>
          <w:tcPr>
            <w:tcW w:w="4252" w:type="dxa"/>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国指針：強度行動障害を有する者に関し、各市町村又は圏域において支援ニーズを把握し、地域の関係機関が連携した支援体制の整備を進めること</w:t>
            </w:r>
          </w:p>
        </w:tc>
      </w:tr>
    </w:tbl>
    <w:p>
      <w:pPr>
        <w:pStyle w:val="245"/>
        <w:spacing w:before="35" w:beforeLines="10" w:beforeAutospacing="0" w:after="35" w:afterLines="10" w:afterAutospacing="0" w:line="0" w:lineRule="atLeast"/>
        <w:ind w:left="2203" w:hanging="1531" w:hangingChars="750"/>
        <w:rPr>
          <w:rFonts w:hint="default"/>
          <w:spacing w:val="-4"/>
          <w:w w:val="98"/>
          <w:sz w:val="20"/>
        </w:rPr>
      </w:pPr>
      <w:bookmarkStart w:id="180" w:name="_Toc67040245"/>
      <w:r>
        <w:rPr>
          <w:rFonts w:hint="eastAsia"/>
          <w:sz w:val="20"/>
        </w:rPr>
        <w:t>※　整備区域：</w:t>
      </w:r>
      <w:r>
        <w:rPr>
          <w:rFonts w:hint="eastAsia"/>
          <w:spacing w:val="-4"/>
          <w:w w:val="98"/>
          <w:sz w:val="20"/>
        </w:rPr>
        <w:t>【圏域整備】当該市町村外の社会資源等も活用しながら拠点に必要な機能を確保すること。</w:t>
      </w:r>
    </w:p>
    <w:p>
      <w:pPr>
        <w:pStyle w:val="242"/>
        <w:spacing w:after="37" w:afterLines="0" w:afterAutospacing="0"/>
        <w:ind w:left="224"/>
        <w:rPr>
          <w:rFonts w:hint="default"/>
        </w:rPr>
      </w:pPr>
      <w:bookmarkStart w:id="181" w:name="_Toc158300427"/>
      <w:r>
        <w:rPr>
          <w:rFonts w:hint="default"/>
        </w:rPr>
        <w:t>(</w:t>
      </w:r>
      <w:r>
        <w:rPr>
          <w:rFonts w:hint="eastAsia"/>
        </w:rPr>
        <w:t>４</w:t>
      </w:r>
      <w:r>
        <w:rPr>
          <w:rFonts w:hint="default"/>
        </w:rPr>
        <w:t>)</w:t>
      </w:r>
      <w:r>
        <w:rPr>
          <w:rFonts w:hint="eastAsia"/>
        </w:rPr>
        <w:t>福祉施設から一般就労への移行等</w:t>
      </w:r>
      <w:bookmarkEnd w:id="181"/>
      <w:bookmarkEnd w:id="180"/>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福祉施設利用者のうち、一般就労へ移行する者の人数について、令和８年度には、令和３年度の年間実績</w:t>
      </w:r>
      <w:r>
        <w:rPr>
          <w:rFonts w:hint="eastAsia" w:asciiTheme="minorEastAsia" w:hAnsiTheme="minorEastAsia" w:eastAsiaTheme="minorEastAsia"/>
          <w:sz w:val="21"/>
        </w:rPr>
        <w:t>(8</w:t>
      </w:r>
      <w:r>
        <w:rPr>
          <w:rFonts w:hint="eastAsia" w:asciiTheme="minorEastAsia" w:hAnsiTheme="minorEastAsia" w:eastAsiaTheme="minorEastAsia"/>
          <w:sz w:val="21"/>
        </w:rPr>
        <w:t>人</w:t>
      </w:r>
      <w:r>
        <w:rPr>
          <w:rFonts w:hint="eastAsia" w:asciiTheme="minorEastAsia" w:hAnsiTheme="minorEastAsia" w:eastAsiaTheme="minorEastAsia"/>
          <w:sz w:val="21"/>
        </w:rPr>
        <w:t>)</w:t>
      </w:r>
      <w:r>
        <w:rPr>
          <w:rFonts w:hint="eastAsia" w:asciiTheme="minorEastAsia" w:hAnsiTheme="minorEastAsia" w:eastAsiaTheme="minorEastAsia"/>
          <w:sz w:val="21"/>
        </w:rPr>
        <w:t>の</w:t>
      </w:r>
      <w:r>
        <w:rPr>
          <w:rFonts w:hint="default" w:asciiTheme="minorEastAsia" w:hAnsiTheme="minorEastAsia" w:eastAsiaTheme="minorEastAsia"/>
          <w:sz w:val="21"/>
        </w:rPr>
        <w:t>1.13</w:t>
      </w:r>
      <w:r>
        <w:rPr>
          <w:rFonts w:hint="default" w:asciiTheme="minorEastAsia" w:hAnsiTheme="minorEastAsia" w:eastAsiaTheme="minorEastAsia"/>
          <w:sz w:val="21"/>
        </w:rPr>
        <w:t>倍</w:t>
      </w:r>
      <w:r>
        <w:rPr>
          <w:rFonts w:hint="eastAsia" w:asciiTheme="minorEastAsia" w:hAnsiTheme="minorEastAsia" w:eastAsiaTheme="minorEastAsia"/>
          <w:sz w:val="21"/>
        </w:rPr>
        <w:t>にあたる</w:t>
      </w:r>
      <w:r>
        <w:rPr>
          <w:rFonts w:hint="default" w:asciiTheme="minorEastAsia" w:hAnsiTheme="minorEastAsia" w:eastAsiaTheme="minorEastAsia"/>
          <w:sz w:val="21"/>
        </w:rPr>
        <w:t>9</w:t>
      </w:r>
      <w:r>
        <w:rPr>
          <w:rFonts w:hint="eastAsia" w:asciiTheme="minorEastAsia" w:hAnsiTheme="minorEastAsia" w:eastAsiaTheme="minorEastAsia"/>
          <w:sz w:val="21"/>
        </w:rPr>
        <w:t>人の移行を目指します。</w:t>
      </w:r>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就労移行支援事業の移行者について、令和８年度には、令和３年度末の年間実績</w:t>
      </w:r>
      <w:r>
        <w:rPr>
          <w:rFonts w:hint="eastAsia" w:asciiTheme="minorEastAsia" w:hAnsiTheme="minorEastAsia" w:eastAsiaTheme="minorEastAsia"/>
          <w:sz w:val="21"/>
        </w:rPr>
        <w:t>(</w:t>
      </w:r>
      <w:r>
        <w:rPr>
          <w:rFonts w:hint="default" w:asciiTheme="minorEastAsia" w:hAnsiTheme="minorEastAsia" w:eastAsiaTheme="minorEastAsia"/>
          <w:sz w:val="21"/>
        </w:rPr>
        <w:t>2</w:t>
      </w:r>
      <w:r>
        <w:rPr>
          <w:rFonts w:hint="eastAsia" w:asciiTheme="minorEastAsia" w:hAnsiTheme="minorEastAsia" w:eastAsiaTheme="minorEastAsia"/>
          <w:sz w:val="21"/>
        </w:rPr>
        <w:t>人</w:t>
      </w:r>
      <w:r>
        <w:rPr>
          <w:rFonts w:hint="eastAsia" w:asciiTheme="minorEastAsia" w:hAnsiTheme="minorEastAsia" w:eastAsiaTheme="minorEastAsia"/>
          <w:sz w:val="21"/>
        </w:rPr>
        <w:t>)</w:t>
      </w:r>
      <w:r>
        <w:rPr>
          <w:rFonts w:hint="eastAsia" w:asciiTheme="minorEastAsia" w:hAnsiTheme="minorEastAsia" w:eastAsiaTheme="minorEastAsia"/>
          <w:sz w:val="21"/>
        </w:rPr>
        <w:t>の</w:t>
      </w:r>
      <w:r>
        <w:rPr>
          <w:rFonts w:hint="default" w:asciiTheme="minorEastAsia" w:hAnsiTheme="minorEastAsia" w:eastAsiaTheme="minorEastAsia"/>
          <w:sz w:val="21"/>
        </w:rPr>
        <w:t>1.50</w:t>
      </w:r>
      <w:r>
        <w:rPr>
          <w:rFonts w:hint="default" w:asciiTheme="minorEastAsia" w:hAnsiTheme="minorEastAsia" w:eastAsiaTheme="minorEastAsia"/>
          <w:sz w:val="21"/>
        </w:rPr>
        <w:t>倍</w:t>
      </w:r>
      <w:r>
        <w:rPr>
          <w:rFonts w:hint="eastAsia" w:asciiTheme="minorEastAsia" w:hAnsiTheme="minorEastAsia" w:eastAsiaTheme="minorEastAsia"/>
          <w:sz w:val="21"/>
        </w:rPr>
        <w:t>にあたる</w:t>
      </w:r>
      <w:r>
        <w:rPr>
          <w:rFonts w:hint="default" w:asciiTheme="minorEastAsia" w:hAnsiTheme="minorEastAsia" w:eastAsiaTheme="minorEastAsia"/>
          <w:sz w:val="21"/>
        </w:rPr>
        <w:t>3</w:t>
      </w:r>
      <w:r>
        <w:rPr>
          <w:rFonts w:hint="eastAsia" w:asciiTheme="minorEastAsia" w:hAnsiTheme="minorEastAsia" w:eastAsiaTheme="minorEastAsia"/>
          <w:sz w:val="21"/>
        </w:rPr>
        <w:t>人の移行を目指します。</w:t>
      </w:r>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就労移行支援事業利用者の一般就労移行率について、令和８年度末の管内就労移行支援事業所数は２か所、一般就労移行率が５割以上の就労移行支援事業所の数は１カ所を目指します。</w:t>
      </w:r>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就労継続支援Ａ型事業の移行者について、令和３年度末の年間実績は</w:t>
      </w:r>
      <w:r>
        <w:rPr>
          <w:rFonts w:hint="eastAsia" w:asciiTheme="minorEastAsia" w:hAnsiTheme="minorEastAsia" w:eastAsiaTheme="minorEastAsia"/>
          <w:sz w:val="21"/>
        </w:rPr>
        <w:t>4</w:t>
      </w:r>
      <w:r>
        <w:rPr>
          <w:rFonts w:hint="eastAsia" w:asciiTheme="minorEastAsia" w:hAnsiTheme="minorEastAsia" w:eastAsiaTheme="minorEastAsia"/>
          <w:sz w:val="21"/>
        </w:rPr>
        <w:t>人となっています。令和８年度も</w:t>
      </w:r>
      <w:r>
        <w:rPr>
          <w:rFonts w:hint="eastAsia" w:asciiTheme="minorEastAsia" w:hAnsiTheme="minorEastAsia" w:eastAsiaTheme="minorEastAsia"/>
          <w:sz w:val="21"/>
        </w:rPr>
        <w:t>4</w:t>
      </w:r>
      <w:r>
        <w:rPr>
          <w:rFonts w:hint="eastAsia" w:asciiTheme="minorEastAsia" w:hAnsiTheme="minorEastAsia" w:eastAsiaTheme="minorEastAsia"/>
          <w:sz w:val="21"/>
        </w:rPr>
        <w:t>人の移行を目指します。</w:t>
      </w:r>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就労継続支援Ｂ型事業の移行者について、令和３年度末の年間実績は</w:t>
      </w:r>
      <w:r>
        <w:rPr>
          <w:rFonts w:hint="default" w:asciiTheme="minorEastAsia" w:hAnsiTheme="minorEastAsia" w:eastAsiaTheme="minorEastAsia"/>
          <w:sz w:val="21"/>
        </w:rPr>
        <w:t>2</w:t>
      </w:r>
      <w:r>
        <w:rPr>
          <w:rFonts w:hint="eastAsia" w:asciiTheme="minorEastAsia" w:hAnsiTheme="minorEastAsia" w:eastAsiaTheme="minorEastAsia"/>
          <w:sz w:val="21"/>
        </w:rPr>
        <w:t>人となっています。令和８年度も</w:t>
      </w:r>
      <w:r>
        <w:rPr>
          <w:rFonts w:hint="eastAsia" w:asciiTheme="minorEastAsia" w:hAnsiTheme="minorEastAsia" w:eastAsiaTheme="minorEastAsia"/>
          <w:sz w:val="21"/>
        </w:rPr>
        <w:t>2</w:t>
      </w:r>
      <w:r>
        <w:rPr>
          <w:rFonts w:hint="eastAsia" w:asciiTheme="minorEastAsia" w:hAnsiTheme="minorEastAsia" w:eastAsiaTheme="minorEastAsia"/>
          <w:sz w:val="21"/>
        </w:rPr>
        <w:t>人の移行を目指します。</w:t>
      </w:r>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就労定着支援事業の利用者数及び就労定着率について、令和８年度の就労定着支援利用者数は</w:t>
      </w:r>
      <w:r>
        <w:rPr>
          <w:rFonts w:hint="default" w:asciiTheme="minorEastAsia" w:hAnsiTheme="minorEastAsia" w:eastAsiaTheme="minorEastAsia"/>
          <w:sz w:val="21"/>
        </w:rPr>
        <w:t>3</w:t>
      </w:r>
      <w:r>
        <w:rPr>
          <w:rFonts w:hint="eastAsia" w:asciiTheme="minorEastAsia" w:hAnsiTheme="minorEastAsia" w:eastAsiaTheme="minorEastAsia"/>
          <w:sz w:val="21"/>
        </w:rPr>
        <w:t>人、就労定着率が７割以上の就労支援事業所数は管内で１カ所を目指します。</w:t>
      </w:r>
    </w:p>
    <w:p>
      <w:pPr>
        <w:pStyle w:val="0"/>
        <w:ind w:left="560" w:leftChars="250" w:firstLine="214" w:firstLineChars="100"/>
        <w:rPr>
          <w:rFonts w:hint="default" w:asciiTheme="minorEastAsia" w:hAnsiTheme="minorEastAsia" w:eastAsiaTheme="minorEastAsia"/>
          <w:sz w:val="21"/>
        </w:rPr>
      </w:pPr>
    </w:p>
    <w:p>
      <w:pPr>
        <w:pStyle w:val="243"/>
        <w:ind w:left="784" w:hanging="336"/>
        <w:rPr>
          <w:rFonts w:hint="default"/>
        </w:rPr>
      </w:pPr>
      <w:r>
        <w:rPr>
          <w:rFonts w:hint="eastAsia"/>
        </w:rPr>
        <w:t>①</w:t>
      </w:r>
      <w:r>
        <w:rPr>
          <w:rFonts w:hint="eastAsia"/>
        </w:rPr>
        <w:t xml:space="preserve"> </w:t>
      </w:r>
      <w:r>
        <w:rPr>
          <w:rFonts w:hint="eastAsia"/>
        </w:rPr>
        <w:t>福祉施設から一般就労への移行者数</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3402"/>
        <w:gridCol w:w="851"/>
        <w:gridCol w:w="4677"/>
      </w:tblGrid>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851"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数値</w:t>
            </w:r>
          </w:p>
        </w:tc>
        <w:tc>
          <w:tcPr>
            <w:tcW w:w="4677"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令和３年度の年間一般就労移行者数</w:t>
            </w:r>
            <w:r>
              <w:rPr>
                <w:rFonts w:hint="default" w:asciiTheme="minorEastAsia" w:hAnsiTheme="minorEastAsia" w:eastAsiaTheme="minorEastAsia"/>
                <w:sz w:val="20"/>
              </w:rPr>
              <w:t xml:space="preserve"> </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8</w:t>
            </w:r>
            <w:r>
              <w:rPr>
                <w:rFonts w:hint="eastAsia" w:asciiTheme="minorEastAsia" w:hAnsiTheme="minorEastAsia" w:eastAsiaTheme="minorEastAsia"/>
                <w:sz w:val="20"/>
              </w:rPr>
              <w:t>人</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令和３年度において就労移行支援事業所等を通じて、一般就労した者の数</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目標年度</w:t>
            </w:r>
            <w:r>
              <w:rPr>
                <w:rFonts w:hint="default" w:asciiTheme="minorEastAsia" w:hAnsiTheme="minorEastAsia" w:eastAsiaTheme="minorEastAsia"/>
                <w:sz w:val="20"/>
              </w:rPr>
              <w:t>(</w:t>
            </w:r>
            <w:r>
              <w:rPr>
                <w:rFonts w:hint="default" w:asciiTheme="minorEastAsia" w:hAnsiTheme="minorEastAsia" w:eastAsiaTheme="minorEastAsia"/>
                <w:sz w:val="20"/>
              </w:rPr>
              <w:t>令和</w:t>
            </w:r>
            <w:bookmarkStart w:id="182" w:name="_Hlk146210403"/>
            <w:r>
              <w:rPr>
                <w:rFonts w:hint="default" w:asciiTheme="minorEastAsia" w:hAnsiTheme="minorEastAsia" w:eastAsiaTheme="minorEastAsia"/>
                <w:sz w:val="20"/>
              </w:rPr>
              <w:t>８</w:t>
            </w:r>
            <w:bookmarkEnd w:id="182"/>
            <w:r>
              <w:rPr>
                <w:rFonts w:hint="default" w:asciiTheme="minorEastAsia" w:hAnsiTheme="minorEastAsia" w:eastAsiaTheme="minorEastAsia"/>
                <w:sz w:val="20"/>
              </w:rPr>
              <w:t>年度）における年間一般就労移行者数</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default" w:asciiTheme="minorEastAsia" w:hAnsiTheme="minorEastAsia" w:eastAsiaTheme="minorEastAsia"/>
                <w:sz w:val="20"/>
              </w:rPr>
              <w:t>9</w:t>
            </w:r>
            <w:r>
              <w:rPr>
                <w:rFonts w:hint="eastAsia" w:asciiTheme="minorEastAsia" w:hAnsiTheme="minorEastAsia" w:eastAsiaTheme="minorEastAsia"/>
                <w:sz w:val="20"/>
              </w:rPr>
              <w:t>人</w:t>
            </w:r>
          </w:p>
          <w:p>
            <w:pPr>
              <w:pStyle w:val="0"/>
              <w:autoSpaceDE w:val="0"/>
              <w:autoSpaceDN w:val="0"/>
              <w:spacing w:line="0" w:lineRule="atLeast"/>
              <w:jc w:val="right"/>
              <w:rPr>
                <w:rFonts w:hint="default" w:asciiTheme="minorEastAsia" w:hAnsiTheme="minorEastAsia" w:eastAsiaTheme="minorEastAsia"/>
                <w:sz w:val="20"/>
              </w:rPr>
            </w:pPr>
            <w:r>
              <w:rPr>
                <w:rFonts w:hint="default" w:asciiTheme="minorEastAsia" w:hAnsiTheme="minorEastAsia" w:eastAsiaTheme="minorEastAsia"/>
                <w:sz w:val="20"/>
              </w:rPr>
              <w:t>1.13</w:t>
            </w:r>
            <w:r>
              <w:rPr>
                <w:rFonts w:hint="default" w:asciiTheme="minorEastAsia" w:hAnsiTheme="minorEastAsia" w:eastAsiaTheme="minorEastAsia"/>
                <w:sz w:val="20"/>
              </w:rPr>
              <w:t>倍</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令和８年度中に福祉施設を退所し、一般就労する者の数（国指針：令和３年度実績の</w:t>
            </w:r>
            <w:r>
              <w:rPr>
                <w:rFonts w:hint="default" w:asciiTheme="minorEastAsia" w:hAnsiTheme="minorEastAsia" w:eastAsiaTheme="minorEastAsia"/>
                <w:spacing w:val="-4"/>
                <w:sz w:val="20"/>
              </w:rPr>
              <w:t>1.28</w:t>
            </w:r>
            <w:r>
              <w:rPr>
                <w:rFonts w:hint="default" w:asciiTheme="minorEastAsia" w:hAnsiTheme="minorEastAsia" w:eastAsiaTheme="minorEastAsia"/>
                <w:spacing w:val="-4"/>
                <w:sz w:val="20"/>
              </w:rPr>
              <w:t>倍以上）</w:t>
            </w:r>
          </w:p>
        </w:tc>
      </w:tr>
    </w:tbl>
    <w:p>
      <w:pPr>
        <w:pStyle w:val="0"/>
        <w:ind w:left="672" w:leftChars="300" w:firstLine="224" w:firstLineChars="100"/>
        <w:rPr>
          <w:rFonts w:hint="default"/>
        </w:rPr>
      </w:pPr>
    </w:p>
    <w:p>
      <w:pPr>
        <w:pStyle w:val="243"/>
        <w:ind w:left="784" w:hanging="336"/>
        <w:rPr>
          <w:rFonts w:hint="default"/>
        </w:rPr>
      </w:pPr>
      <w:r>
        <w:rPr>
          <w:rFonts w:hint="eastAsia"/>
        </w:rPr>
        <w:t>②</w:t>
      </w:r>
      <w:r>
        <w:rPr>
          <w:rFonts w:hint="eastAsia"/>
        </w:rPr>
        <w:t xml:space="preserve"> </w:t>
      </w:r>
      <w:r>
        <w:rPr>
          <w:rFonts w:hint="eastAsia"/>
        </w:rPr>
        <w:t>令和８年度末における就労移行支援事業の移行者数</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3402"/>
        <w:gridCol w:w="851"/>
        <w:gridCol w:w="4677"/>
      </w:tblGrid>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851"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数値</w:t>
            </w:r>
          </w:p>
        </w:tc>
        <w:tc>
          <w:tcPr>
            <w:tcW w:w="4677"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令和３年度末の就労移行支援事業所の移行者数</w:t>
            </w:r>
            <w:r>
              <w:rPr>
                <w:rFonts w:hint="default" w:asciiTheme="minorEastAsia" w:hAnsiTheme="minorEastAsia" w:eastAsiaTheme="minorEastAsia"/>
                <w:sz w:val="20"/>
              </w:rPr>
              <w:t xml:space="preserve"> </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default" w:asciiTheme="minorEastAsia" w:hAnsiTheme="minorEastAsia" w:eastAsiaTheme="minorEastAsia"/>
                <w:sz w:val="20"/>
              </w:rPr>
              <w:t>2</w:t>
            </w:r>
            <w:r>
              <w:rPr>
                <w:rFonts w:hint="eastAsia" w:asciiTheme="minorEastAsia" w:hAnsiTheme="minorEastAsia" w:eastAsiaTheme="minorEastAsia"/>
                <w:sz w:val="20"/>
              </w:rPr>
              <w:t>人</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令和３年度末の就労移行支援事業所の移行者数</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目標年度</w:t>
            </w:r>
            <w:r>
              <w:rPr>
                <w:rFonts w:hint="default" w:asciiTheme="minorEastAsia" w:hAnsiTheme="minorEastAsia" w:eastAsiaTheme="minorEastAsia"/>
                <w:sz w:val="20"/>
              </w:rPr>
              <w:t>(</w:t>
            </w:r>
            <w:r>
              <w:rPr>
                <w:rFonts w:hint="default" w:asciiTheme="minorEastAsia" w:hAnsiTheme="minorEastAsia" w:eastAsiaTheme="minorEastAsia"/>
                <w:sz w:val="20"/>
              </w:rPr>
              <w:t>令和８年度末）における一般就労への移行者数</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3</w:t>
            </w:r>
            <w:r>
              <w:rPr>
                <w:rFonts w:hint="eastAsia" w:asciiTheme="minorEastAsia" w:hAnsiTheme="minorEastAsia" w:eastAsiaTheme="minorEastAsia"/>
                <w:sz w:val="20"/>
              </w:rPr>
              <w:t>人</w:t>
            </w:r>
          </w:p>
          <w:p>
            <w:pPr>
              <w:pStyle w:val="0"/>
              <w:autoSpaceDE w:val="0"/>
              <w:autoSpaceDN w:val="0"/>
              <w:spacing w:line="0" w:lineRule="atLeast"/>
              <w:jc w:val="right"/>
              <w:rPr>
                <w:rFonts w:hint="default" w:asciiTheme="minorEastAsia" w:hAnsiTheme="minorEastAsia" w:eastAsiaTheme="minorEastAsia"/>
                <w:sz w:val="20"/>
              </w:rPr>
            </w:pPr>
            <w:r>
              <w:rPr>
                <w:rFonts w:hint="default" w:asciiTheme="minorEastAsia" w:hAnsiTheme="minorEastAsia" w:eastAsiaTheme="minorEastAsia"/>
                <w:sz w:val="20"/>
              </w:rPr>
              <w:t>1.50</w:t>
            </w:r>
            <w:r>
              <w:rPr>
                <w:rFonts w:hint="default" w:asciiTheme="minorEastAsia" w:hAnsiTheme="minorEastAsia" w:eastAsiaTheme="minorEastAsia"/>
                <w:sz w:val="20"/>
              </w:rPr>
              <w:t>倍</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令和８年度末の一般就労への移行実績（国指針：令和３年度末の</w:t>
            </w:r>
            <w:r>
              <w:rPr>
                <w:rFonts w:hint="default" w:asciiTheme="minorEastAsia" w:hAnsiTheme="minorEastAsia" w:eastAsiaTheme="minorEastAsia"/>
                <w:spacing w:val="-2"/>
                <w:sz w:val="20"/>
              </w:rPr>
              <w:t>1.31</w:t>
            </w:r>
            <w:r>
              <w:rPr>
                <w:rFonts w:hint="default" w:asciiTheme="minorEastAsia" w:hAnsiTheme="minorEastAsia" w:eastAsiaTheme="minorEastAsia"/>
                <w:spacing w:val="-2"/>
                <w:sz w:val="20"/>
              </w:rPr>
              <w:t>倍以上</w:t>
            </w:r>
            <w:r>
              <w:rPr>
                <w:rFonts w:hint="default" w:asciiTheme="minorEastAsia" w:hAnsiTheme="minorEastAsia" w:eastAsiaTheme="minorEastAsia"/>
                <w:spacing w:val="-2"/>
                <w:sz w:val="20"/>
              </w:rPr>
              <w:t>(31</w:t>
            </w:r>
            <w:r>
              <w:rPr>
                <w:rFonts w:hint="default" w:asciiTheme="minorEastAsia" w:hAnsiTheme="minorEastAsia" w:eastAsiaTheme="minorEastAsia"/>
                <w:spacing w:val="-2"/>
                <w:sz w:val="20"/>
              </w:rPr>
              <w:t>％以上</w:t>
            </w:r>
            <w:r>
              <w:rPr>
                <w:rFonts w:hint="default" w:asciiTheme="minorEastAsia" w:hAnsiTheme="minorEastAsia" w:eastAsiaTheme="minorEastAsia"/>
                <w:spacing w:val="-2"/>
                <w:sz w:val="20"/>
              </w:rPr>
              <w:t>)</w:t>
            </w:r>
            <w:r>
              <w:rPr>
                <w:rFonts w:hint="default" w:asciiTheme="minorEastAsia" w:hAnsiTheme="minorEastAsia" w:eastAsiaTheme="minorEastAsia"/>
                <w:spacing w:val="-2"/>
                <w:sz w:val="20"/>
              </w:rPr>
              <w:t>の増加）</w:t>
            </w:r>
          </w:p>
        </w:tc>
      </w:tr>
    </w:tbl>
    <w:p>
      <w:pPr>
        <w:pStyle w:val="0"/>
        <w:ind w:left="672" w:leftChars="300" w:firstLine="224" w:firstLineChars="100"/>
        <w:rPr>
          <w:rFonts w:hint="default"/>
        </w:rPr>
      </w:pPr>
    </w:p>
    <w:p>
      <w:pPr>
        <w:pStyle w:val="243"/>
        <w:ind w:left="784" w:hanging="336"/>
        <w:rPr>
          <w:rFonts w:hint="default"/>
        </w:rPr>
      </w:pPr>
      <w:r>
        <w:rPr>
          <w:rFonts w:hint="eastAsia"/>
        </w:rPr>
        <w:t>③</w:t>
      </w:r>
      <w:r>
        <w:rPr>
          <w:rFonts w:hint="eastAsia"/>
        </w:rPr>
        <w:t xml:space="preserve"> </w:t>
      </w:r>
      <w:r>
        <w:rPr>
          <w:rFonts w:hint="eastAsia"/>
        </w:rPr>
        <w:t>就労移行支援事業利用者の一般就労移行率</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3402"/>
        <w:gridCol w:w="851"/>
        <w:gridCol w:w="4677"/>
      </w:tblGrid>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851"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数値</w:t>
            </w:r>
          </w:p>
        </w:tc>
        <w:tc>
          <w:tcPr>
            <w:tcW w:w="4677"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令和８年度末の管内就労移行支援事業所数（見込み）</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２か所</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4"/>
                <w:sz w:val="20"/>
              </w:rPr>
            </w:pPr>
            <w:r>
              <w:rPr>
                <w:rFonts w:hint="default" w:asciiTheme="minorEastAsia" w:hAnsiTheme="minorEastAsia" w:eastAsiaTheme="minorEastAsia"/>
                <w:spacing w:val="-4"/>
                <w:sz w:val="20"/>
              </w:rPr>
              <w:t>令和８年度末の就労移行支援事業所の管内事業所数</w:t>
            </w:r>
          </w:p>
          <w:p>
            <w:pPr>
              <w:pStyle w:val="0"/>
              <w:autoSpaceDE w:val="0"/>
              <w:autoSpaceDN w:val="0"/>
              <w:spacing w:line="0" w:lineRule="atLeast"/>
              <w:ind w:left="196" w:hanging="196" w:hangingChars="100"/>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・増加の見込みがある場合、令和３年度末の事業所数に加えて記載すること。</w:t>
            </w:r>
          </w:p>
          <w:p>
            <w:pPr>
              <w:pStyle w:val="0"/>
              <w:autoSpaceDE w:val="0"/>
              <w:autoSpaceDN w:val="0"/>
              <w:spacing w:line="0" w:lineRule="atLeast"/>
              <w:ind w:left="196" w:hanging="196" w:hangingChars="100"/>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・増加するか見込めない場合は、令和３年度末の事業所数を暫定的に記載すること。</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令和８年度末における一般就労移行率が５割以上の就労移行支援事業所の数</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１か所</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国指針：就労移行支援事業所のうち、就労移行支援事業利用終了者に占める一般就労へ移行した者の割合が５割以上の事業所を全体の５割以上とすることを基本とする。</w:t>
            </w:r>
          </w:p>
        </w:tc>
      </w:tr>
    </w:tbl>
    <w:p>
      <w:pPr>
        <w:pStyle w:val="0"/>
        <w:rPr>
          <w:rFonts w:hint="default"/>
        </w:rPr>
      </w:pPr>
      <w:r>
        <w:rPr>
          <w:rFonts w:hint="default"/>
        </w:rPr>
        <w:br w:type="page"/>
      </w:r>
    </w:p>
    <w:p>
      <w:pPr>
        <w:pStyle w:val="243"/>
        <w:ind w:left="784" w:hanging="336"/>
        <w:rPr>
          <w:rFonts w:hint="default"/>
        </w:rPr>
      </w:pPr>
      <w:r>
        <w:rPr>
          <w:rFonts w:hint="eastAsia"/>
        </w:rPr>
        <w:t>④</w:t>
      </w:r>
      <w:r>
        <w:rPr>
          <w:rFonts w:hint="eastAsia"/>
        </w:rPr>
        <w:t xml:space="preserve"> </w:t>
      </w:r>
      <w:r>
        <w:rPr>
          <w:rFonts w:hint="eastAsia"/>
        </w:rPr>
        <w:t>令和８年度末における就労継続支援Ａ</w:t>
      </w:r>
      <w:r>
        <w:rPr>
          <w:rFonts w:hint="default"/>
        </w:rPr>
        <w:t>型事業の移行者数</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3402"/>
        <w:gridCol w:w="851"/>
        <w:gridCol w:w="4677"/>
      </w:tblGrid>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851"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数値</w:t>
            </w:r>
          </w:p>
        </w:tc>
        <w:tc>
          <w:tcPr>
            <w:tcW w:w="4677"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令和３年度末の就労継続支援Ａ型事業所の移行者数</w:t>
            </w:r>
            <w:r>
              <w:rPr>
                <w:rFonts w:hint="default" w:asciiTheme="minorEastAsia" w:hAnsiTheme="minorEastAsia" w:eastAsiaTheme="minorEastAsia"/>
                <w:sz w:val="20"/>
              </w:rPr>
              <w:t xml:space="preserve"> </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4</w:t>
            </w:r>
            <w:r>
              <w:rPr>
                <w:rFonts w:hint="eastAsia" w:asciiTheme="minorEastAsia" w:hAnsiTheme="minorEastAsia" w:eastAsiaTheme="minorEastAsia"/>
                <w:sz w:val="20"/>
              </w:rPr>
              <w:t>人</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令和３年度末の就労継続支援Ａ型事業所の移行者数</w:t>
            </w:r>
            <w:r>
              <w:rPr>
                <w:rFonts w:hint="default" w:asciiTheme="minorEastAsia" w:hAnsiTheme="minorEastAsia" w:eastAsiaTheme="minorEastAsia"/>
                <w:spacing w:val="-4"/>
                <w:sz w:val="20"/>
              </w:rPr>
              <w:t xml:space="preserve"> </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目標年度</w:t>
            </w:r>
            <w:r>
              <w:rPr>
                <w:rFonts w:hint="default" w:asciiTheme="minorEastAsia" w:hAnsiTheme="minorEastAsia" w:eastAsiaTheme="minorEastAsia"/>
                <w:sz w:val="20"/>
              </w:rPr>
              <w:t>(</w:t>
            </w:r>
            <w:r>
              <w:rPr>
                <w:rFonts w:hint="default" w:asciiTheme="minorEastAsia" w:hAnsiTheme="minorEastAsia" w:eastAsiaTheme="minorEastAsia"/>
                <w:sz w:val="20"/>
              </w:rPr>
              <w:t>令和８年度末）における一般就労への移行者数</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4</w:t>
            </w:r>
            <w:r>
              <w:rPr>
                <w:rFonts w:hint="eastAsia" w:asciiTheme="minorEastAsia" w:hAnsiTheme="minorEastAsia" w:eastAsiaTheme="minorEastAsia"/>
                <w:sz w:val="20"/>
              </w:rPr>
              <w:t>人</w:t>
            </w:r>
          </w:p>
          <w:p>
            <w:pPr>
              <w:pStyle w:val="0"/>
              <w:autoSpaceDE w:val="0"/>
              <w:autoSpaceDN w:val="0"/>
              <w:spacing w:line="0" w:lineRule="atLeast"/>
              <w:jc w:val="right"/>
              <w:rPr>
                <w:rFonts w:hint="default" w:asciiTheme="minorEastAsia" w:hAnsiTheme="minorEastAsia" w:eastAsiaTheme="minorEastAsia"/>
                <w:sz w:val="20"/>
              </w:rPr>
            </w:pPr>
            <w:r>
              <w:rPr>
                <w:rFonts w:hint="default" w:asciiTheme="minorEastAsia" w:hAnsiTheme="minorEastAsia" w:eastAsiaTheme="minorEastAsia"/>
                <w:sz w:val="20"/>
              </w:rPr>
              <w:t>1.00</w:t>
            </w:r>
            <w:r>
              <w:rPr>
                <w:rFonts w:hint="default" w:asciiTheme="minorEastAsia" w:hAnsiTheme="minorEastAsia" w:eastAsiaTheme="minorEastAsia"/>
                <w:sz w:val="20"/>
              </w:rPr>
              <w:t>倍</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令和８年度末の一般就労への移行実績（国指針：令和３年度末の</w:t>
            </w:r>
            <w:r>
              <w:rPr>
                <w:rFonts w:hint="default" w:asciiTheme="minorEastAsia" w:hAnsiTheme="minorEastAsia" w:eastAsiaTheme="minorEastAsia"/>
                <w:spacing w:val="-2"/>
                <w:sz w:val="20"/>
              </w:rPr>
              <w:t>1.29</w:t>
            </w:r>
            <w:r>
              <w:rPr>
                <w:rFonts w:hint="default" w:asciiTheme="minorEastAsia" w:hAnsiTheme="minorEastAsia" w:eastAsiaTheme="minorEastAsia"/>
                <w:spacing w:val="-2"/>
                <w:sz w:val="20"/>
              </w:rPr>
              <w:t>倍以上</w:t>
            </w:r>
            <w:r>
              <w:rPr>
                <w:rFonts w:hint="default" w:asciiTheme="minorEastAsia" w:hAnsiTheme="minorEastAsia" w:eastAsiaTheme="minorEastAsia"/>
                <w:spacing w:val="-2"/>
                <w:sz w:val="20"/>
              </w:rPr>
              <w:t>(29</w:t>
            </w:r>
            <w:r>
              <w:rPr>
                <w:rFonts w:hint="default" w:asciiTheme="minorEastAsia" w:hAnsiTheme="minorEastAsia" w:eastAsiaTheme="minorEastAsia"/>
                <w:spacing w:val="-2"/>
                <w:sz w:val="20"/>
              </w:rPr>
              <w:t>％以上</w:t>
            </w:r>
            <w:r>
              <w:rPr>
                <w:rFonts w:hint="default" w:asciiTheme="minorEastAsia" w:hAnsiTheme="minorEastAsia" w:eastAsiaTheme="minorEastAsia"/>
                <w:spacing w:val="-2"/>
                <w:sz w:val="20"/>
              </w:rPr>
              <w:t>)</w:t>
            </w:r>
            <w:r>
              <w:rPr>
                <w:rFonts w:hint="default" w:asciiTheme="minorEastAsia" w:hAnsiTheme="minorEastAsia" w:eastAsiaTheme="minorEastAsia"/>
                <w:spacing w:val="-2"/>
                <w:sz w:val="20"/>
              </w:rPr>
              <w:t>の増加）</w:t>
            </w:r>
          </w:p>
        </w:tc>
      </w:tr>
    </w:tbl>
    <w:p>
      <w:pPr>
        <w:pStyle w:val="0"/>
        <w:ind w:left="560" w:leftChars="250" w:firstLine="214" w:firstLineChars="100"/>
        <w:rPr>
          <w:rFonts w:hint="default" w:asciiTheme="minorEastAsia" w:hAnsiTheme="minorEastAsia" w:eastAsiaTheme="minorEastAsia"/>
          <w:sz w:val="21"/>
        </w:rPr>
      </w:pPr>
    </w:p>
    <w:p>
      <w:pPr>
        <w:pStyle w:val="243"/>
        <w:ind w:left="784" w:hanging="336"/>
        <w:rPr>
          <w:rFonts w:hint="default"/>
        </w:rPr>
      </w:pPr>
      <w:r>
        <w:rPr>
          <w:rFonts w:hint="eastAsia"/>
        </w:rPr>
        <w:t>⑤</w:t>
      </w:r>
      <w:r>
        <w:rPr>
          <w:rFonts w:hint="eastAsia"/>
        </w:rPr>
        <w:t xml:space="preserve"> </w:t>
      </w:r>
      <w:r>
        <w:rPr>
          <w:rFonts w:hint="eastAsia"/>
        </w:rPr>
        <w:t>令和８年度末における就労継続支援Ｂ型</w:t>
      </w:r>
      <w:r>
        <w:rPr>
          <w:rFonts w:hint="default"/>
        </w:rPr>
        <w:t>事業の移行者数</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3402"/>
        <w:gridCol w:w="851"/>
        <w:gridCol w:w="4677"/>
      </w:tblGrid>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851"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数値</w:t>
            </w:r>
          </w:p>
        </w:tc>
        <w:tc>
          <w:tcPr>
            <w:tcW w:w="4677"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令和３年度末の就労継続支援Ｂ</w:t>
            </w:r>
            <w:r>
              <w:rPr>
                <w:rFonts w:hint="default" w:asciiTheme="minorEastAsia" w:hAnsiTheme="minorEastAsia" w:eastAsiaTheme="minorEastAsia"/>
                <w:sz w:val="20"/>
              </w:rPr>
              <w:t>型事業所の移行者数</w:t>
            </w:r>
            <w:r>
              <w:rPr>
                <w:rFonts w:hint="default" w:asciiTheme="minorEastAsia" w:hAnsiTheme="minorEastAsia" w:eastAsiaTheme="minorEastAsia"/>
                <w:sz w:val="20"/>
              </w:rPr>
              <w:t xml:space="preserve"> </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default" w:asciiTheme="minorEastAsia" w:hAnsiTheme="minorEastAsia" w:eastAsiaTheme="minorEastAsia"/>
                <w:sz w:val="20"/>
              </w:rPr>
              <w:t>2</w:t>
            </w:r>
            <w:r>
              <w:rPr>
                <w:rFonts w:hint="eastAsia" w:asciiTheme="minorEastAsia" w:hAnsiTheme="minorEastAsia" w:eastAsiaTheme="minorEastAsia"/>
                <w:sz w:val="20"/>
              </w:rPr>
              <w:t>人</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令和３年度末の就労継続支援Ｂ型事業所の移行者数</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目標年度</w:t>
            </w:r>
            <w:r>
              <w:rPr>
                <w:rFonts w:hint="default" w:asciiTheme="minorEastAsia" w:hAnsiTheme="minorEastAsia" w:eastAsiaTheme="minorEastAsia"/>
                <w:sz w:val="20"/>
              </w:rPr>
              <w:t>(</w:t>
            </w:r>
            <w:r>
              <w:rPr>
                <w:rFonts w:hint="default" w:asciiTheme="minorEastAsia" w:hAnsiTheme="minorEastAsia" w:eastAsiaTheme="minorEastAsia"/>
                <w:sz w:val="20"/>
              </w:rPr>
              <w:t>令和８年度末）における一般就労への移行者数</w:t>
            </w:r>
          </w:p>
        </w:tc>
        <w:tc>
          <w:tcPr>
            <w:tcW w:w="851" w:type="dxa"/>
            <w:shd w:val="clear" w:color="auto" w:fill="auto"/>
            <w:tcMar>
              <w:top w:w="57"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2</w:t>
            </w:r>
            <w:r>
              <w:rPr>
                <w:rFonts w:hint="eastAsia" w:asciiTheme="minorEastAsia" w:hAnsiTheme="minorEastAsia" w:eastAsiaTheme="minorEastAsia"/>
                <w:sz w:val="20"/>
              </w:rPr>
              <w:t>人</w:t>
            </w:r>
          </w:p>
          <w:p>
            <w:pPr>
              <w:pStyle w:val="0"/>
              <w:autoSpaceDE w:val="0"/>
              <w:autoSpaceDN w:val="0"/>
              <w:spacing w:line="0" w:lineRule="atLeast"/>
              <w:jc w:val="right"/>
              <w:rPr>
                <w:rFonts w:hint="default" w:asciiTheme="minorEastAsia" w:hAnsiTheme="minorEastAsia" w:eastAsiaTheme="minorEastAsia"/>
                <w:sz w:val="20"/>
              </w:rPr>
            </w:pPr>
            <w:r>
              <w:rPr>
                <w:rFonts w:hint="default" w:asciiTheme="minorEastAsia" w:hAnsiTheme="minorEastAsia" w:eastAsiaTheme="minorEastAsia"/>
                <w:sz w:val="20"/>
              </w:rPr>
              <w:t>1.</w:t>
            </w:r>
            <w:r>
              <w:rPr>
                <w:rFonts w:hint="eastAsia" w:asciiTheme="minorEastAsia" w:hAnsiTheme="minorEastAsia" w:eastAsiaTheme="minorEastAsia"/>
                <w:sz w:val="20"/>
              </w:rPr>
              <w:t>0</w:t>
            </w:r>
            <w:r>
              <w:rPr>
                <w:rFonts w:hint="default" w:asciiTheme="minorEastAsia" w:hAnsiTheme="minorEastAsia" w:eastAsiaTheme="minorEastAsia"/>
                <w:sz w:val="20"/>
              </w:rPr>
              <w:t>0</w:t>
            </w:r>
            <w:r>
              <w:rPr>
                <w:rFonts w:hint="default" w:asciiTheme="minorEastAsia" w:hAnsiTheme="minorEastAsia" w:eastAsiaTheme="minorEastAsia"/>
                <w:sz w:val="20"/>
              </w:rPr>
              <w:t>倍</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令和８年度末の一般就労への移行実績（国指針：令和３年度末の</w:t>
            </w:r>
            <w:r>
              <w:rPr>
                <w:rFonts w:hint="default" w:asciiTheme="minorEastAsia" w:hAnsiTheme="minorEastAsia" w:eastAsiaTheme="minorEastAsia"/>
                <w:spacing w:val="-2"/>
                <w:sz w:val="20"/>
              </w:rPr>
              <w:t>1.28</w:t>
            </w:r>
            <w:r>
              <w:rPr>
                <w:rFonts w:hint="default" w:asciiTheme="minorEastAsia" w:hAnsiTheme="minorEastAsia" w:eastAsiaTheme="minorEastAsia"/>
                <w:spacing w:val="-2"/>
                <w:sz w:val="20"/>
              </w:rPr>
              <w:t>倍以上</w:t>
            </w:r>
            <w:r>
              <w:rPr>
                <w:rFonts w:hint="default" w:asciiTheme="minorEastAsia" w:hAnsiTheme="minorEastAsia" w:eastAsiaTheme="minorEastAsia"/>
                <w:spacing w:val="-2"/>
                <w:sz w:val="20"/>
              </w:rPr>
              <w:t>(28</w:t>
            </w:r>
            <w:r>
              <w:rPr>
                <w:rFonts w:hint="default" w:asciiTheme="minorEastAsia" w:hAnsiTheme="minorEastAsia" w:eastAsiaTheme="minorEastAsia"/>
                <w:spacing w:val="-2"/>
                <w:sz w:val="20"/>
              </w:rPr>
              <w:t>％以上</w:t>
            </w:r>
            <w:r>
              <w:rPr>
                <w:rFonts w:hint="default" w:asciiTheme="minorEastAsia" w:hAnsiTheme="minorEastAsia" w:eastAsiaTheme="minorEastAsia"/>
                <w:spacing w:val="-2"/>
                <w:sz w:val="20"/>
              </w:rPr>
              <w:t>)</w:t>
            </w:r>
            <w:r>
              <w:rPr>
                <w:rFonts w:hint="default" w:asciiTheme="minorEastAsia" w:hAnsiTheme="minorEastAsia" w:eastAsiaTheme="minorEastAsia"/>
                <w:spacing w:val="-2"/>
                <w:sz w:val="20"/>
              </w:rPr>
              <w:t>の増加</w:t>
            </w:r>
            <w:r>
              <w:rPr>
                <w:rFonts w:hint="eastAsia" w:asciiTheme="minorEastAsia" w:hAnsiTheme="minorEastAsia" w:eastAsiaTheme="minorEastAsia"/>
                <w:spacing w:val="-2"/>
                <w:sz w:val="20"/>
              </w:rPr>
              <w:t>）</w:t>
            </w:r>
          </w:p>
        </w:tc>
      </w:tr>
    </w:tbl>
    <w:p>
      <w:pPr>
        <w:pStyle w:val="0"/>
        <w:ind w:left="560" w:leftChars="250" w:firstLine="214" w:firstLineChars="100"/>
        <w:rPr>
          <w:rFonts w:hint="default" w:asciiTheme="minorEastAsia" w:hAnsiTheme="minorEastAsia" w:eastAsiaTheme="minorEastAsia"/>
          <w:sz w:val="21"/>
        </w:rPr>
      </w:pPr>
    </w:p>
    <w:p>
      <w:pPr>
        <w:pStyle w:val="243"/>
        <w:ind w:left="784" w:hanging="336"/>
        <w:rPr>
          <w:rFonts w:hint="default"/>
        </w:rPr>
      </w:pPr>
      <w:r>
        <w:rPr>
          <w:rFonts w:hint="eastAsia"/>
        </w:rPr>
        <w:t>⑥</w:t>
      </w:r>
      <w:r>
        <w:rPr>
          <w:rFonts w:hint="eastAsia"/>
        </w:rPr>
        <w:t xml:space="preserve"> </w:t>
      </w:r>
      <w:r>
        <w:rPr>
          <w:rFonts w:hint="eastAsia"/>
        </w:rPr>
        <w:t>就労定着支援事業の利用者数及び就労定着率</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3267"/>
        <w:gridCol w:w="844"/>
        <w:gridCol w:w="4819"/>
      </w:tblGrid>
      <w:tr>
        <w:trPr/>
        <w:tc>
          <w:tcPr>
            <w:tcW w:w="3267"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844"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数値</w:t>
            </w:r>
          </w:p>
        </w:tc>
        <w:tc>
          <w:tcPr>
            <w:tcW w:w="4819"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3267"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令和３年度における就労定着支援事業の利用者数</w:t>
            </w:r>
          </w:p>
        </w:tc>
        <w:tc>
          <w:tcPr>
            <w:tcW w:w="844" w:type="dxa"/>
            <w:shd w:val="clear" w:color="auto" w:fill="auto"/>
            <w:tcMar>
              <w:top w:w="57" w:type="dxa"/>
              <w:left w:w="108"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2</w:t>
            </w:r>
            <w:r>
              <w:rPr>
                <w:rFonts w:hint="eastAsia" w:asciiTheme="minorEastAsia" w:hAnsiTheme="minorEastAsia" w:eastAsiaTheme="minorEastAsia"/>
                <w:sz w:val="20"/>
              </w:rPr>
              <w:t>人</w:t>
            </w:r>
          </w:p>
        </w:tc>
        <w:tc>
          <w:tcPr>
            <w:tcW w:w="4819"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令和３年度における就労定着支援事業の利用者数</w:t>
            </w:r>
          </w:p>
        </w:tc>
      </w:tr>
      <w:tr>
        <w:trPr/>
        <w:tc>
          <w:tcPr>
            <w:tcW w:w="3267"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令和８年度における就労定着支援事業の利用者数</w:t>
            </w:r>
          </w:p>
        </w:tc>
        <w:tc>
          <w:tcPr>
            <w:tcW w:w="844" w:type="dxa"/>
            <w:shd w:val="clear" w:color="auto" w:fill="auto"/>
            <w:tcMar>
              <w:top w:w="57" w:type="dxa"/>
              <w:left w:w="108"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3</w:t>
            </w:r>
            <w:r>
              <w:rPr>
                <w:rFonts w:hint="eastAsia" w:asciiTheme="minorEastAsia" w:hAnsiTheme="minorEastAsia" w:eastAsiaTheme="minorEastAsia"/>
                <w:sz w:val="20"/>
              </w:rPr>
              <w:t>人</w:t>
            </w:r>
          </w:p>
        </w:tc>
        <w:tc>
          <w:tcPr>
            <w:tcW w:w="4819"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国指針：就労定着支援事業の利用者数については、令和３年度実績の</w:t>
            </w:r>
            <w:r>
              <w:rPr>
                <w:rFonts w:hint="default" w:asciiTheme="minorEastAsia" w:hAnsiTheme="minorEastAsia" w:eastAsiaTheme="minorEastAsia"/>
                <w:sz w:val="20"/>
              </w:rPr>
              <w:t>1.41</w:t>
            </w:r>
            <w:r>
              <w:rPr>
                <w:rFonts w:hint="default" w:asciiTheme="minorEastAsia" w:hAnsiTheme="minorEastAsia" w:eastAsiaTheme="minorEastAsia"/>
                <w:sz w:val="20"/>
              </w:rPr>
              <w:t>倍以上</w:t>
            </w:r>
            <w:r>
              <w:rPr>
                <w:rFonts w:hint="default" w:asciiTheme="minorEastAsia" w:hAnsiTheme="minorEastAsia" w:eastAsiaTheme="minorEastAsia"/>
                <w:sz w:val="20"/>
              </w:rPr>
              <w:t>(41</w:t>
            </w:r>
            <w:r>
              <w:rPr>
                <w:rFonts w:hint="default" w:asciiTheme="minorEastAsia" w:hAnsiTheme="minorEastAsia" w:eastAsiaTheme="minorEastAsia"/>
                <w:sz w:val="20"/>
              </w:rPr>
              <w:t>％以上</w:t>
            </w:r>
            <w:r>
              <w:rPr>
                <w:rFonts w:hint="default" w:asciiTheme="minorEastAsia" w:hAnsiTheme="minorEastAsia" w:eastAsiaTheme="minorEastAsia"/>
                <w:sz w:val="20"/>
              </w:rPr>
              <w:t>)</w:t>
            </w:r>
            <w:r>
              <w:rPr>
                <w:rFonts w:hint="default" w:asciiTheme="minorEastAsia" w:hAnsiTheme="minorEastAsia" w:eastAsiaTheme="minorEastAsia"/>
                <w:sz w:val="20"/>
              </w:rPr>
              <w:t>とすることを基本とする。</w:t>
            </w:r>
          </w:p>
        </w:tc>
      </w:tr>
      <w:tr>
        <w:trPr/>
        <w:tc>
          <w:tcPr>
            <w:tcW w:w="3267"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令和８年度末の管内就労定着支援事業所数（見込み）</w:t>
            </w:r>
          </w:p>
        </w:tc>
        <w:tc>
          <w:tcPr>
            <w:tcW w:w="844" w:type="dxa"/>
            <w:shd w:val="clear" w:color="auto" w:fill="auto"/>
            <w:tcMar>
              <w:top w:w="57" w:type="dxa"/>
              <w:left w:w="108"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２か所</w:t>
            </w:r>
          </w:p>
        </w:tc>
        <w:tc>
          <w:tcPr>
            <w:tcW w:w="4819"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令和８年度末の就労移行支援事業所の管内事業所数</w:t>
            </w:r>
          </w:p>
          <w:p>
            <w:pPr>
              <w:pStyle w:val="0"/>
              <w:autoSpaceDE w:val="0"/>
              <w:autoSpaceDN w:val="0"/>
              <w:spacing w:line="0" w:lineRule="atLeast"/>
              <w:ind w:left="204" w:hanging="204" w:hangingChars="100"/>
              <w:rPr>
                <w:rFonts w:hint="default" w:asciiTheme="minorEastAsia" w:hAnsiTheme="minorEastAsia" w:eastAsiaTheme="minorEastAsia"/>
                <w:sz w:val="20"/>
              </w:rPr>
            </w:pPr>
            <w:r>
              <w:rPr>
                <w:rFonts w:hint="eastAsia" w:asciiTheme="minorEastAsia" w:hAnsiTheme="minorEastAsia" w:eastAsiaTheme="minorEastAsia"/>
                <w:sz w:val="20"/>
              </w:rPr>
              <w:t>・増加の見込みがある場合、令和３年度末の事業所数に加えて記載すること。</w:t>
            </w:r>
          </w:p>
          <w:p>
            <w:pPr>
              <w:pStyle w:val="0"/>
              <w:autoSpaceDE w:val="0"/>
              <w:autoSpaceDN w:val="0"/>
              <w:spacing w:line="0" w:lineRule="atLeast"/>
              <w:ind w:left="204" w:hanging="204" w:hangingChars="100"/>
              <w:rPr>
                <w:rFonts w:hint="default" w:asciiTheme="minorEastAsia" w:hAnsiTheme="minorEastAsia" w:eastAsiaTheme="minorEastAsia"/>
                <w:sz w:val="20"/>
              </w:rPr>
            </w:pPr>
            <w:r>
              <w:rPr>
                <w:rFonts w:hint="eastAsia" w:asciiTheme="minorEastAsia" w:hAnsiTheme="minorEastAsia" w:eastAsiaTheme="minorEastAsia"/>
                <w:sz w:val="20"/>
              </w:rPr>
              <w:t>・増加するか見込めない場合は、令和３年度末の事業所数を暫定的に記載すること。</w:t>
            </w:r>
          </w:p>
          <w:p>
            <w:pPr>
              <w:pStyle w:val="0"/>
              <w:autoSpaceDE w:val="0"/>
              <w:autoSpaceDN w:val="0"/>
              <w:spacing w:line="0" w:lineRule="atLeast"/>
              <w:ind w:left="184" w:hanging="184" w:hangingChars="100"/>
              <w:rPr>
                <w:rFonts w:hint="default" w:asciiTheme="minorEastAsia" w:hAnsiTheme="minorEastAsia" w:eastAsiaTheme="minorEastAsia"/>
                <w:sz w:val="18"/>
              </w:rPr>
            </w:pPr>
            <w:r>
              <w:rPr>
                <w:rFonts w:hint="eastAsia" w:asciiTheme="minorEastAsia" w:hAnsiTheme="minorEastAsia" w:eastAsiaTheme="minorEastAsia"/>
                <w:sz w:val="18"/>
              </w:rPr>
              <w:t>※過去六年間において就労定着支援の利用を終了した者のうち、雇用された通常の事業所に四十二月以上七十八月未満の期間継続して就労している者又は就労していた者の占める割合</w:t>
            </w:r>
          </w:p>
        </w:tc>
      </w:tr>
      <w:tr>
        <w:trPr/>
        <w:tc>
          <w:tcPr>
            <w:tcW w:w="3267"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令和８年度末における就労定着率が７割以上の就労支援事業所の数</w:t>
            </w:r>
          </w:p>
        </w:tc>
        <w:tc>
          <w:tcPr>
            <w:tcW w:w="844" w:type="dxa"/>
            <w:shd w:val="clear" w:color="auto" w:fill="auto"/>
            <w:tcMar>
              <w:top w:w="57" w:type="dxa"/>
              <w:left w:w="108" w:type="dxa"/>
              <w:bottom w:w="57" w:type="dxa"/>
            </w:tcMar>
            <w:vAlign w:val="center"/>
          </w:tcPr>
          <w:p>
            <w:pPr>
              <w:pStyle w:val="0"/>
              <w:autoSpaceDE w:val="0"/>
              <w:autoSpaceDN w:val="0"/>
              <w:spacing w:line="0" w:lineRule="atLeast"/>
              <w:jc w:val="right"/>
              <w:rPr>
                <w:rFonts w:hint="default" w:asciiTheme="minorEastAsia" w:hAnsiTheme="minorEastAsia" w:eastAsiaTheme="minorEastAsia"/>
                <w:sz w:val="20"/>
              </w:rPr>
            </w:pPr>
            <w:r>
              <w:rPr>
                <w:rFonts w:hint="eastAsia" w:asciiTheme="minorEastAsia" w:hAnsiTheme="minorEastAsia" w:eastAsiaTheme="minorEastAsia"/>
                <w:sz w:val="20"/>
              </w:rPr>
              <w:t>１か所</w:t>
            </w:r>
          </w:p>
        </w:tc>
        <w:tc>
          <w:tcPr>
            <w:tcW w:w="4819"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国指針：就労定着支援事業所のうち、就労定着率が７割以上の事業所を全体の２割５分以上</w:t>
            </w:r>
          </w:p>
        </w:tc>
      </w:tr>
    </w:tbl>
    <w:p>
      <w:pPr>
        <w:pStyle w:val="245"/>
        <w:spacing w:line="0" w:lineRule="atLeast"/>
        <w:ind w:left="672" w:firstLine="204"/>
        <w:rPr>
          <w:rFonts w:hint="default"/>
          <w:sz w:val="20"/>
        </w:rPr>
      </w:pPr>
    </w:p>
    <w:tbl>
      <w:tblPr>
        <w:tblStyle w:val="11"/>
        <w:tblW w:w="8930" w:type="dxa"/>
        <w:tblInd w:w="704"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Look w:firstRow="1" w:lastRow="0" w:firstColumn="1" w:lastColumn="0" w:noHBand="0" w:noVBand="1" w:val="04A0"/>
      </w:tblPr>
      <w:tblGrid>
        <w:gridCol w:w="8930"/>
      </w:tblGrid>
      <w:tr>
        <w:trPr/>
        <w:tc>
          <w:tcPr>
            <w:tcW w:w="8930" w:type="dxa"/>
            <w:shd w:val="clear" w:color="auto" w:fill="auto"/>
            <w:tcMar>
              <w:top w:w="57" w:type="dxa"/>
              <w:bottom w:w="57" w:type="dxa"/>
            </w:tcMar>
            <w:vAlign w:val="top"/>
          </w:tcPr>
          <w:p>
            <w:pPr>
              <w:pStyle w:val="0"/>
              <w:rPr>
                <w:rFonts w:hint="default"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eastAsiaTheme="minorEastAsia"/>
              </w:rPr>
              <w:t xml:space="preserve"> </w:t>
            </w:r>
            <w:r>
              <w:rPr>
                <w:rFonts w:hint="eastAsia" w:asciiTheme="minorEastAsia" w:hAnsiTheme="minorEastAsia" w:eastAsiaTheme="minorEastAsia"/>
              </w:rPr>
              <w:t>就労移行率及び職場定着率の充実に係る方策</w:t>
            </w:r>
          </w:p>
          <w:p>
            <w:pPr>
              <w:pStyle w:val="0"/>
              <w:ind w:left="448" w:leftChars="100" w:hanging="224" w:hangingChars="100"/>
              <w:rPr>
                <w:rFonts w:hint="default" w:asciiTheme="minorEastAsia" w:hAnsiTheme="minorEastAsia" w:eastAsiaTheme="minorEastAsia"/>
              </w:rPr>
            </w:pPr>
            <w:r>
              <w:rPr>
                <w:rFonts w:hint="eastAsia" w:asciiTheme="minorEastAsia" w:hAnsiTheme="minorEastAsia" w:eastAsiaTheme="minorEastAsia"/>
              </w:rPr>
              <w:t>・就労移行支援事業所等や計画相談支援事業所、ハローワークや障がい者職業センター、障がい者就業・生活支援センター等の関係機関と連携を図ります。</w:t>
            </w:r>
          </w:p>
          <w:p>
            <w:pPr>
              <w:pStyle w:val="0"/>
              <w:ind w:left="448" w:leftChars="100" w:hanging="224" w:hangingChars="100"/>
              <w:rPr>
                <w:rFonts w:hint="default" w:asciiTheme="minorEastAsia" w:hAnsiTheme="minorEastAsia" w:eastAsiaTheme="minorEastAsia"/>
              </w:rPr>
            </w:pPr>
            <w:r>
              <w:rPr>
                <w:rFonts w:hint="eastAsia" w:asciiTheme="minorEastAsia" w:hAnsiTheme="minorEastAsia" w:eastAsiaTheme="minorEastAsia"/>
              </w:rPr>
              <w:t>・就労移行支援事業所等から一般就労につながった利用者について、就労定着支援を活用することにより、就労の継続を支援します。</w:t>
            </w:r>
          </w:p>
        </w:tc>
      </w:tr>
    </w:tbl>
    <w:p>
      <w:pPr>
        <w:pStyle w:val="245"/>
        <w:spacing w:line="0" w:lineRule="atLeast"/>
        <w:ind w:left="672" w:firstLine="64"/>
        <w:rPr>
          <w:rFonts w:hint="default"/>
          <w:sz w:val="6"/>
        </w:rPr>
      </w:pPr>
    </w:p>
    <w:p>
      <w:pPr>
        <w:pStyle w:val="245"/>
        <w:spacing w:line="0" w:lineRule="atLeast"/>
        <w:ind w:left="672" w:firstLine="64"/>
        <w:rPr>
          <w:rFonts w:hint="default"/>
          <w:sz w:val="6"/>
        </w:rPr>
      </w:pPr>
    </w:p>
    <w:p>
      <w:pPr>
        <w:pStyle w:val="245"/>
        <w:spacing w:line="0" w:lineRule="atLeast"/>
        <w:ind w:left="672" w:firstLine="204"/>
        <w:rPr>
          <w:rFonts w:hint="default"/>
          <w:sz w:val="20"/>
        </w:rPr>
      </w:pPr>
    </w:p>
    <w:p>
      <w:pPr>
        <w:pStyle w:val="0"/>
        <w:rPr>
          <w:rFonts w:hint="default"/>
          <w:sz w:val="20"/>
        </w:rPr>
      </w:pPr>
      <w:r>
        <w:rPr>
          <w:rFonts w:hint="default"/>
          <w:sz w:val="20"/>
        </w:rPr>
        <w:br w:type="page"/>
      </w:r>
    </w:p>
    <w:p>
      <w:pPr>
        <w:pStyle w:val="242"/>
        <w:spacing w:after="37" w:afterLines="0" w:afterAutospacing="0"/>
        <w:ind w:left="224"/>
        <w:rPr>
          <w:rFonts w:hint="default"/>
        </w:rPr>
      </w:pPr>
      <w:bookmarkStart w:id="183" w:name="_Toc158300428"/>
      <w:bookmarkStart w:id="184" w:name="_Toc67040246"/>
      <w:r>
        <w:rPr>
          <w:rFonts w:hint="default"/>
        </w:rPr>
        <w:t>(</w:t>
      </w:r>
      <w:r>
        <w:rPr>
          <w:rFonts w:hint="eastAsia"/>
        </w:rPr>
        <w:t>５</w:t>
      </w:r>
      <w:r>
        <w:rPr>
          <w:rFonts w:hint="default"/>
        </w:rPr>
        <w:t>)</w:t>
      </w:r>
      <w:r>
        <w:rPr>
          <w:rFonts w:hint="eastAsia"/>
        </w:rPr>
        <w:t>相談支援体制の充実・強化等</w:t>
      </w:r>
      <w:bookmarkEnd w:id="183"/>
      <w:bookmarkEnd w:id="184"/>
    </w:p>
    <w:p>
      <w:pPr>
        <w:pStyle w:val="245"/>
        <w:spacing w:line="0" w:lineRule="atLeast"/>
        <w:ind w:left="672" w:firstLine="164"/>
        <w:rPr>
          <w:rFonts w:hint="default"/>
          <w:sz w:val="16"/>
        </w:rPr>
      </w:pP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2693"/>
        <w:gridCol w:w="898"/>
        <w:gridCol w:w="47"/>
        <w:gridCol w:w="851"/>
        <w:gridCol w:w="94"/>
        <w:gridCol w:w="945"/>
        <w:gridCol w:w="3402"/>
      </w:tblGrid>
      <w:tr>
        <w:trPr/>
        <w:tc>
          <w:tcPr>
            <w:tcW w:w="2693"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2835" w:type="dxa"/>
            <w:gridSpan w:val="5"/>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実施時期</w:t>
            </w:r>
          </w:p>
        </w:tc>
        <w:tc>
          <w:tcPr>
            <w:tcW w:w="3402"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備考</w:t>
            </w:r>
          </w:p>
        </w:tc>
      </w:tr>
      <w:tr>
        <w:trPr/>
        <w:tc>
          <w:tcPr>
            <w:tcW w:w="2693" w:type="dxa"/>
            <w:vMerge w:val="continue"/>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898" w:type="dxa"/>
            <w:shd w:val="clear" w:color="auto" w:themeFill="background1" w:themeFillTint="FF" w:themeFillShade="D9"/>
            <w:tcMar>
              <w:top w:w="57" w:type="dxa"/>
              <w:bottom w:w="57" w:type="dxa"/>
            </w:tcMar>
            <w:vAlign w:val="center"/>
          </w:tcPr>
          <w:p>
            <w:pPr>
              <w:pStyle w:val="0"/>
              <w:autoSpaceDE w:val="0"/>
              <w:autoSpaceDN w:val="0"/>
              <w:spacing w:line="0" w:lineRule="atLeast"/>
              <w:ind w:left="-112" w:leftChars="-50" w:right="-112" w:rightChars="-50"/>
              <w:jc w:val="center"/>
              <w:rPr>
                <w:rFonts w:hint="default" w:asciiTheme="minorEastAsia" w:hAnsiTheme="minorEastAsia" w:eastAsiaTheme="minorEastAsia"/>
                <w:spacing w:val="-8"/>
                <w:w w:val="90"/>
                <w:sz w:val="20"/>
              </w:rPr>
            </w:pPr>
            <w:r>
              <w:rPr>
                <w:rFonts w:hint="eastAsia" w:asciiTheme="minorEastAsia" w:hAnsiTheme="minorEastAsia" w:eastAsiaTheme="minorEastAsia"/>
                <w:spacing w:val="-8"/>
                <w:w w:val="90"/>
                <w:sz w:val="20"/>
              </w:rPr>
              <w:t>令和６年</w:t>
            </w:r>
          </w:p>
        </w:tc>
        <w:tc>
          <w:tcPr>
            <w:tcW w:w="898" w:type="dxa"/>
            <w:gridSpan w:val="2"/>
            <w:shd w:val="clear" w:color="auto" w:themeFill="background1" w:themeFillTint="FF" w:themeFillShade="D9"/>
            <w:vAlign w:val="center"/>
          </w:tcPr>
          <w:p>
            <w:pPr>
              <w:pStyle w:val="0"/>
              <w:autoSpaceDE w:val="0"/>
              <w:autoSpaceDN w:val="0"/>
              <w:spacing w:line="0" w:lineRule="atLeast"/>
              <w:ind w:left="-112" w:leftChars="-50" w:right="-112" w:rightChars="-50"/>
              <w:jc w:val="center"/>
              <w:rPr>
                <w:rFonts w:hint="default" w:asciiTheme="minorEastAsia" w:hAnsiTheme="minorEastAsia" w:eastAsiaTheme="minorEastAsia"/>
                <w:spacing w:val="-8"/>
                <w:w w:val="90"/>
                <w:sz w:val="20"/>
              </w:rPr>
            </w:pPr>
            <w:r>
              <w:rPr>
                <w:rFonts w:hint="eastAsia" w:asciiTheme="minorEastAsia" w:hAnsiTheme="minorEastAsia" w:eastAsiaTheme="minorEastAsia"/>
                <w:spacing w:val="-8"/>
                <w:w w:val="90"/>
                <w:sz w:val="20"/>
              </w:rPr>
              <w:t>令和７年</w:t>
            </w:r>
          </w:p>
        </w:tc>
        <w:tc>
          <w:tcPr>
            <w:tcW w:w="1039" w:type="dxa"/>
            <w:gridSpan w:val="2"/>
            <w:shd w:val="clear" w:color="auto" w:themeFill="background1" w:themeFillTint="FF" w:themeFillShade="D9"/>
            <w:vAlign w:val="center"/>
          </w:tcPr>
          <w:p>
            <w:pPr>
              <w:pStyle w:val="0"/>
              <w:autoSpaceDE w:val="0"/>
              <w:autoSpaceDN w:val="0"/>
              <w:spacing w:line="0" w:lineRule="atLeast"/>
              <w:ind w:left="-112" w:leftChars="-50" w:right="-112" w:rightChars="-50"/>
              <w:jc w:val="center"/>
              <w:rPr>
                <w:rFonts w:hint="default" w:asciiTheme="minorEastAsia" w:hAnsiTheme="minorEastAsia" w:eastAsiaTheme="minorEastAsia"/>
                <w:spacing w:val="-8"/>
                <w:w w:val="90"/>
                <w:sz w:val="20"/>
              </w:rPr>
            </w:pPr>
            <w:r>
              <w:rPr>
                <w:rFonts w:hint="eastAsia" w:asciiTheme="minorEastAsia" w:hAnsiTheme="minorEastAsia" w:eastAsiaTheme="minorEastAsia"/>
                <w:spacing w:val="-8"/>
                <w:w w:val="90"/>
                <w:sz w:val="20"/>
              </w:rPr>
              <w:t>令和８年</w:t>
            </w:r>
          </w:p>
        </w:tc>
        <w:tc>
          <w:tcPr>
            <w:tcW w:w="3402" w:type="dxa"/>
            <w:vMerge w:val="continue"/>
            <w:shd w:val="clear" w:color="auto" w:fill="C5E0B3"/>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p>
        </w:tc>
      </w:tr>
      <w:tr>
        <w:trPr/>
        <w:tc>
          <w:tcPr>
            <w:tcW w:w="5528" w:type="dxa"/>
            <w:gridSpan w:val="6"/>
            <w:shd w:val="clear" w:color="auto" w:themeFill="background1" w:themeFillTint="FF" w:themeFillShade="D9"/>
            <w:tcMar>
              <w:top w:w="57" w:type="dxa"/>
              <w:bottom w:w="57" w:type="dxa"/>
            </w:tcMar>
            <w:vAlign w:val="center"/>
          </w:tcPr>
          <w:p>
            <w:pPr>
              <w:pStyle w:val="0"/>
              <w:autoSpaceDE w:val="0"/>
              <w:autoSpaceDN w:val="0"/>
              <w:spacing w:line="0" w:lineRule="atLeast"/>
              <w:ind w:left="408" w:hanging="408" w:hangingChars="200"/>
              <w:rPr>
                <w:rFonts w:hint="default" w:asciiTheme="minorEastAsia" w:hAnsiTheme="minorEastAsia" w:eastAsiaTheme="minorEastAsia"/>
                <w:sz w:val="20"/>
              </w:rPr>
            </w:pPr>
            <w:r>
              <w:rPr>
                <w:rFonts w:hint="eastAsia" w:asciiTheme="minorEastAsia" w:hAnsiTheme="minorEastAsia" w:eastAsiaTheme="minorEastAsia"/>
                <w:sz w:val="20"/>
              </w:rPr>
              <w:t>ア　基幹相談支援センターの設置</w:t>
            </w:r>
          </w:p>
        </w:tc>
        <w:tc>
          <w:tcPr>
            <w:tcW w:w="3402" w:type="dxa"/>
            <w:vMerge w:val="restart"/>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国指針：令和８年度末までに、各市町村において、総合的な相談支援、地域の相談支援体制の強化及び関係機関等の連携の緊密化を通じた地域づくりの役割を担う基幹相談支援センターを設置（複数市町村による共同設置を含む。）するとともに、基幹相談支援センターが地域の相談支援体制の強化を図る体制を確保することを基本とする。</w:t>
            </w:r>
          </w:p>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なお、基幹相談支援センターを設置するまでの間においても、各市町村において地域の相談支援体制の強化に努める。</w:t>
            </w:r>
          </w:p>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また、地域づくりに向けた協議会の機能をより実効性のあるものとするため、協議会において、個別事例の検討を通じた地域サービス基盤の開発・改善等を行う取組を行うとともに、これらの取組を行うために必要な協議会の体制を確保することを基本とする。</w:t>
            </w: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設置方法</w:t>
            </w:r>
            <w:r>
              <w:rPr>
                <w:rFonts w:hint="default" w:asciiTheme="minorEastAsia" w:hAnsiTheme="minorEastAsia" w:eastAsiaTheme="minorEastAsia"/>
                <w:sz w:val="20"/>
              </w:rPr>
              <w:tab/>
            </w:r>
            <w:r>
              <w:rPr>
                <w:rFonts w:hint="eastAsia" w:asciiTheme="minorEastAsia" w:hAnsiTheme="minorEastAsia" w:eastAsiaTheme="minorEastAsia"/>
                <w:sz w:val="20"/>
              </w:rPr>
              <w:t>：単独設置</w:t>
            </w:r>
          </w:p>
        </w:tc>
        <w:tc>
          <w:tcPr>
            <w:tcW w:w="945" w:type="dxa"/>
            <w:gridSpan w:val="2"/>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w:t>
            </w:r>
          </w:p>
        </w:tc>
        <w:tc>
          <w:tcPr>
            <w:tcW w:w="945" w:type="dxa"/>
            <w:gridSpan w:val="2"/>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w:t>
            </w:r>
          </w:p>
        </w:tc>
        <w:tc>
          <w:tcPr>
            <w:tcW w:w="945" w:type="dxa"/>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5528" w:type="dxa"/>
            <w:gridSpan w:val="6"/>
            <w:shd w:val="clear" w:color="auto" w:themeFill="background1" w:themeFillTint="FF" w:themeFillShade="D9"/>
            <w:tcMar>
              <w:top w:w="57" w:type="dxa"/>
              <w:bottom w:w="57" w:type="dxa"/>
            </w:tcMar>
            <w:vAlign w:val="center"/>
          </w:tcPr>
          <w:p>
            <w:pPr>
              <w:pStyle w:val="0"/>
              <w:autoSpaceDE w:val="0"/>
              <w:autoSpaceDN w:val="0"/>
              <w:spacing w:line="0" w:lineRule="atLeast"/>
              <w:ind w:left="408" w:hanging="408" w:hangingChars="200"/>
              <w:rPr>
                <w:rFonts w:hint="default" w:asciiTheme="minorEastAsia" w:hAnsiTheme="minorEastAsia" w:eastAsiaTheme="minorEastAsia"/>
                <w:sz w:val="20"/>
              </w:rPr>
            </w:pPr>
            <w:r>
              <w:rPr>
                <w:rFonts w:hint="eastAsia" w:asciiTheme="minorEastAsia" w:hAnsiTheme="minorEastAsia" w:eastAsiaTheme="minorEastAsia"/>
                <w:sz w:val="20"/>
              </w:rPr>
              <w:t>イ　地域の相談支援体制の強化</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基幹相談支援センターによる地域の相談支援事業所に対する訪問等による専門的な指導・助言の件数</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地域の相談支援事業所の人材育成の支援件数</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地域の相談機関との連携強化の取組の実施回数</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個別事例の支援内容の検証の実施回数</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基幹相談支援センターにおける主任相談支援専門員の配置数</w:t>
            </w:r>
          </w:p>
        </w:tc>
        <w:tc>
          <w:tcPr>
            <w:tcW w:w="945" w:type="dxa"/>
            <w:gridSpan w:val="2"/>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945" w:type="dxa"/>
            <w:gridSpan w:val="2"/>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945"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5528" w:type="dxa"/>
            <w:gridSpan w:val="6"/>
            <w:shd w:val="clear" w:color="auto" w:themeFill="background1" w:themeFillTint="FF" w:themeFillShade="D9"/>
            <w:tcMar>
              <w:top w:w="57" w:type="dxa"/>
              <w:bottom w:w="57" w:type="dxa"/>
            </w:tcMar>
            <w:vAlign w:val="center"/>
          </w:tcPr>
          <w:p>
            <w:pPr>
              <w:pStyle w:val="0"/>
              <w:autoSpaceDE w:val="0"/>
              <w:autoSpaceDN w:val="0"/>
              <w:spacing w:line="0" w:lineRule="atLeast"/>
              <w:ind w:left="408" w:hanging="408" w:hangingChars="200"/>
              <w:rPr>
                <w:rFonts w:hint="default" w:asciiTheme="minorEastAsia" w:hAnsiTheme="minorEastAsia" w:eastAsiaTheme="minorEastAsia"/>
                <w:sz w:val="20"/>
              </w:rPr>
            </w:pPr>
            <w:r>
              <w:rPr>
                <w:rFonts w:hint="eastAsia" w:asciiTheme="minorEastAsia" w:hAnsiTheme="minorEastAsia" w:eastAsiaTheme="minorEastAsia"/>
                <w:sz w:val="20"/>
              </w:rPr>
              <w:t>ウ　協議会における個別事例の検討を通じた地域のサービス基盤の開発・改善</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協議会における相談支援事業所の参画による事例検討実施回数（頻度）</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参加事業者・機関数</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協議会の専門部会の設置数</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945"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94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協議会の専門部会の実施回数（頻度）</w:t>
            </w:r>
          </w:p>
        </w:tc>
        <w:tc>
          <w:tcPr>
            <w:tcW w:w="945" w:type="dxa"/>
            <w:gridSpan w:val="2"/>
            <w:shd w:val="clear" w:color="auto" w:fill="auto"/>
            <w:tcMar>
              <w:top w:w="57" w:type="dxa"/>
              <w:bottom w:w="57" w:type="dxa"/>
            </w:tcMar>
            <w:vAlign w:val="center"/>
          </w:tcPr>
          <w:p>
            <w:pPr>
              <w:pStyle w:val="0"/>
              <w:autoSpaceDE w:val="0"/>
              <w:autoSpaceDN w:val="0"/>
              <w:spacing w:line="0" w:lineRule="atLeast"/>
              <w:ind w:left="-45" w:leftChars="-20" w:right="-45" w:rightChars="-20"/>
              <w:jc w:val="center"/>
              <w:rPr>
                <w:rFonts w:hint="default" w:asciiTheme="minorEastAsia" w:hAnsiTheme="minorEastAsia" w:eastAsiaTheme="minorEastAsia"/>
                <w:spacing w:val="-8"/>
                <w:w w:val="79"/>
                <w:sz w:val="20"/>
              </w:rPr>
            </w:pPr>
            <w:r>
              <w:rPr>
                <w:rFonts w:hint="eastAsia" w:asciiTheme="minorEastAsia" w:hAnsiTheme="minorEastAsia" w:eastAsiaTheme="minorEastAsia"/>
                <w:spacing w:val="-8"/>
                <w:w w:val="79"/>
                <w:sz w:val="20"/>
              </w:rPr>
              <w:t>相談</w:t>
            </w:r>
            <w:r>
              <w:rPr>
                <w:rFonts w:hint="default" w:asciiTheme="minorEastAsia" w:hAnsiTheme="minorEastAsia" w:eastAsiaTheme="minorEastAsia"/>
                <w:spacing w:val="-8"/>
                <w:w w:val="79"/>
                <w:sz w:val="20"/>
              </w:rPr>
              <w:t>12</w:t>
            </w:r>
            <w:r>
              <w:rPr>
                <w:rFonts w:hint="default" w:asciiTheme="minorEastAsia" w:hAnsiTheme="minorEastAsia" w:eastAsiaTheme="minorEastAsia"/>
                <w:spacing w:val="-8"/>
                <w:w w:val="79"/>
                <w:sz w:val="20"/>
              </w:rPr>
              <w:t>回</w:t>
            </w:r>
            <w:r>
              <w:rPr>
                <w:rFonts w:hint="default" w:asciiTheme="minorEastAsia" w:hAnsiTheme="minorEastAsia" w:eastAsiaTheme="minorEastAsia"/>
                <w:spacing w:val="-8"/>
                <w:w w:val="79"/>
                <w:sz w:val="20"/>
              </w:rPr>
              <w:t>/</w:t>
            </w:r>
            <w:r>
              <w:rPr>
                <w:rFonts w:hint="default" w:asciiTheme="minorEastAsia" w:hAnsiTheme="minorEastAsia" w:eastAsiaTheme="minorEastAsia"/>
                <w:spacing w:val="-8"/>
                <w:w w:val="79"/>
                <w:sz w:val="20"/>
              </w:rPr>
              <w:t>年</w:t>
            </w:r>
          </w:p>
          <w:p>
            <w:pPr>
              <w:pStyle w:val="0"/>
              <w:autoSpaceDE w:val="0"/>
              <w:autoSpaceDN w:val="0"/>
              <w:spacing w:line="0" w:lineRule="atLeast"/>
              <w:ind w:left="-45" w:leftChars="-20" w:right="-45" w:rightChars="-20"/>
              <w:jc w:val="center"/>
              <w:rPr>
                <w:rFonts w:hint="default" w:asciiTheme="minorEastAsia" w:hAnsiTheme="minorEastAsia" w:eastAsiaTheme="minorEastAsia"/>
                <w:spacing w:val="-8"/>
                <w:w w:val="79"/>
                <w:sz w:val="20"/>
              </w:rPr>
            </w:pPr>
            <w:r>
              <w:rPr>
                <w:rFonts w:hint="eastAsia" w:asciiTheme="minorEastAsia" w:hAnsiTheme="minorEastAsia" w:eastAsiaTheme="minorEastAsia"/>
                <w:spacing w:val="-8"/>
                <w:w w:val="79"/>
                <w:sz w:val="20"/>
              </w:rPr>
              <w:t>拠点</w:t>
            </w:r>
            <w:r>
              <w:rPr>
                <w:rFonts w:hint="default" w:asciiTheme="minorEastAsia" w:hAnsiTheme="minorEastAsia" w:eastAsiaTheme="minorEastAsia"/>
                <w:spacing w:val="-8"/>
                <w:w w:val="79"/>
                <w:sz w:val="20"/>
              </w:rPr>
              <w:t>4</w:t>
            </w:r>
            <w:r>
              <w:rPr>
                <w:rFonts w:hint="default" w:asciiTheme="minorEastAsia" w:hAnsiTheme="minorEastAsia" w:eastAsiaTheme="minorEastAsia"/>
                <w:spacing w:val="-8"/>
                <w:w w:val="79"/>
                <w:sz w:val="20"/>
              </w:rPr>
              <w:t>回</w:t>
            </w:r>
            <w:r>
              <w:rPr>
                <w:rFonts w:hint="default" w:asciiTheme="minorEastAsia" w:hAnsiTheme="minorEastAsia" w:eastAsiaTheme="minorEastAsia"/>
                <w:spacing w:val="-8"/>
                <w:w w:val="79"/>
                <w:sz w:val="20"/>
              </w:rPr>
              <w:t>/</w:t>
            </w:r>
            <w:r>
              <w:rPr>
                <w:rFonts w:hint="default" w:asciiTheme="minorEastAsia" w:hAnsiTheme="minorEastAsia" w:eastAsiaTheme="minorEastAsia"/>
                <w:spacing w:val="-8"/>
                <w:w w:val="79"/>
                <w:sz w:val="20"/>
              </w:rPr>
              <w:t>年</w:t>
            </w:r>
          </w:p>
        </w:tc>
        <w:tc>
          <w:tcPr>
            <w:tcW w:w="945" w:type="dxa"/>
            <w:gridSpan w:val="2"/>
            <w:shd w:val="clear" w:color="auto" w:fill="auto"/>
            <w:vAlign w:val="center"/>
          </w:tcPr>
          <w:p>
            <w:pPr>
              <w:pStyle w:val="0"/>
              <w:autoSpaceDE w:val="0"/>
              <w:autoSpaceDN w:val="0"/>
              <w:spacing w:line="0" w:lineRule="atLeast"/>
              <w:ind w:left="-45" w:leftChars="-20" w:right="-45" w:rightChars="-20"/>
              <w:jc w:val="center"/>
              <w:rPr>
                <w:rFonts w:hint="default" w:asciiTheme="minorEastAsia" w:hAnsiTheme="minorEastAsia" w:eastAsiaTheme="minorEastAsia"/>
                <w:spacing w:val="-8"/>
                <w:w w:val="79"/>
                <w:sz w:val="20"/>
              </w:rPr>
            </w:pPr>
            <w:r>
              <w:rPr>
                <w:rFonts w:hint="eastAsia" w:asciiTheme="minorEastAsia" w:hAnsiTheme="minorEastAsia" w:eastAsiaTheme="minorEastAsia"/>
                <w:spacing w:val="-8"/>
                <w:w w:val="79"/>
                <w:sz w:val="20"/>
              </w:rPr>
              <w:t>相談</w:t>
            </w:r>
            <w:r>
              <w:rPr>
                <w:rFonts w:hint="default" w:asciiTheme="minorEastAsia" w:hAnsiTheme="minorEastAsia" w:eastAsiaTheme="minorEastAsia"/>
                <w:spacing w:val="-8"/>
                <w:w w:val="79"/>
                <w:sz w:val="20"/>
              </w:rPr>
              <w:t>12</w:t>
            </w:r>
            <w:r>
              <w:rPr>
                <w:rFonts w:hint="default" w:asciiTheme="minorEastAsia" w:hAnsiTheme="minorEastAsia" w:eastAsiaTheme="minorEastAsia"/>
                <w:spacing w:val="-8"/>
                <w:w w:val="79"/>
                <w:sz w:val="20"/>
              </w:rPr>
              <w:t>回</w:t>
            </w:r>
            <w:r>
              <w:rPr>
                <w:rFonts w:hint="default" w:asciiTheme="minorEastAsia" w:hAnsiTheme="minorEastAsia" w:eastAsiaTheme="minorEastAsia"/>
                <w:spacing w:val="-8"/>
                <w:w w:val="79"/>
                <w:sz w:val="20"/>
              </w:rPr>
              <w:t>/</w:t>
            </w:r>
            <w:r>
              <w:rPr>
                <w:rFonts w:hint="default" w:asciiTheme="minorEastAsia" w:hAnsiTheme="minorEastAsia" w:eastAsiaTheme="minorEastAsia"/>
                <w:spacing w:val="-8"/>
                <w:w w:val="79"/>
                <w:sz w:val="20"/>
              </w:rPr>
              <w:t>年</w:t>
            </w:r>
          </w:p>
          <w:p>
            <w:pPr>
              <w:pStyle w:val="0"/>
              <w:autoSpaceDE w:val="0"/>
              <w:autoSpaceDN w:val="0"/>
              <w:spacing w:line="0" w:lineRule="atLeast"/>
              <w:ind w:left="-45" w:leftChars="-20" w:right="-45" w:rightChars="-20"/>
              <w:jc w:val="center"/>
              <w:rPr>
                <w:rFonts w:hint="default" w:asciiTheme="minorEastAsia" w:hAnsiTheme="minorEastAsia" w:eastAsiaTheme="minorEastAsia"/>
                <w:spacing w:val="-8"/>
                <w:w w:val="79"/>
                <w:sz w:val="20"/>
              </w:rPr>
            </w:pPr>
            <w:r>
              <w:rPr>
                <w:rFonts w:hint="eastAsia" w:asciiTheme="minorEastAsia" w:hAnsiTheme="minorEastAsia" w:eastAsiaTheme="minorEastAsia"/>
                <w:spacing w:val="-8"/>
                <w:w w:val="79"/>
                <w:sz w:val="20"/>
              </w:rPr>
              <w:t>拠点</w:t>
            </w:r>
            <w:r>
              <w:rPr>
                <w:rFonts w:hint="default" w:asciiTheme="minorEastAsia" w:hAnsiTheme="minorEastAsia" w:eastAsiaTheme="minorEastAsia"/>
                <w:spacing w:val="-8"/>
                <w:w w:val="79"/>
                <w:sz w:val="20"/>
              </w:rPr>
              <w:t>4</w:t>
            </w:r>
            <w:r>
              <w:rPr>
                <w:rFonts w:hint="default" w:asciiTheme="minorEastAsia" w:hAnsiTheme="minorEastAsia" w:eastAsiaTheme="minorEastAsia"/>
                <w:spacing w:val="-8"/>
                <w:w w:val="79"/>
                <w:sz w:val="20"/>
              </w:rPr>
              <w:t>回</w:t>
            </w:r>
            <w:r>
              <w:rPr>
                <w:rFonts w:hint="default" w:asciiTheme="minorEastAsia" w:hAnsiTheme="minorEastAsia" w:eastAsiaTheme="minorEastAsia"/>
                <w:spacing w:val="-8"/>
                <w:w w:val="79"/>
                <w:sz w:val="20"/>
              </w:rPr>
              <w:t>/</w:t>
            </w:r>
            <w:r>
              <w:rPr>
                <w:rFonts w:hint="default" w:asciiTheme="minorEastAsia" w:hAnsiTheme="minorEastAsia" w:eastAsiaTheme="minorEastAsia"/>
                <w:spacing w:val="-8"/>
                <w:w w:val="79"/>
                <w:sz w:val="20"/>
              </w:rPr>
              <w:t>年</w:t>
            </w:r>
          </w:p>
        </w:tc>
        <w:tc>
          <w:tcPr>
            <w:tcW w:w="945" w:type="dxa"/>
            <w:shd w:val="clear" w:color="auto" w:fill="auto"/>
            <w:vAlign w:val="center"/>
          </w:tcPr>
          <w:p>
            <w:pPr>
              <w:pStyle w:val="0"/>
              <w:autoSpaceDE w:val="0"/>
              <w:autoSpaceDN w:val="0"/>
              <w:spacing w:line="0" w:lineRule="atLeast"/>
              <w:ind w:left="-45" w:leftChars="-20" w:right="-45" w:rightChars="-20"/>
              <w:jc w:val="center"/>
              <w:rPr>
                <w:rFonts w:hint="default" w:asciiTheme="minorEastAsia" w:hAnsiTheme="minorEastAsia" w:eastAsiaTheme="minorEastAsia"/>
                <w:spacing w:val="-8"/>
                <w:w w:val="79"/>
                <w:sz w:val="20"/>
              </w:rPr>
            </w:pPr>
            <w:r>
              <w:rPr>
                <w:rFonts w:hint="eastAsia" w:asciiTheme="minorEastAsia" w:hAnsiTheme="minorEastAsia" w:eastAsiaTheme="minorEastAsia"/>
                <w:spacing w:val="-8"/>
                <w:w w:val="79"/>
                <w:sz w:val="20"/>
              </w:rPr>
              <w:t>相談</w:t>
            </w:r>
            <w:r>
              <w:rPr>
                <w:rFonts w:hint="default" w:asciiTheme="minorEastAsia" w:hAnsiTheme="minorEastAsia" w:eastAsiaTheme="minorEastAsia"/>
                <w:spacing w:val="-8"/>
                <w:w w:val="79"/>
                <w:sz w:val="20"/>
              </w:rPr>
              <w:t>12</w:t>
            </w:r>
            <w:r>
              <w:rPr>
                <w:rFonts w:hint="default" w:asciiTheme="minorEastAsia" w:hAnsiTheme="minorEastAsia" w:eastAsiaTheme="minorEastAsia"/>
                <w:spacing w:val="-8"/>
                <w:w w:val="79"/>
                <w:sz w:val="20"/>
              </w:rPr>
              <w:t>回</w:t>
            </w:r>
            <w:r>
              <w:rPr>
                <w:rFonts w:hint="default" w:asciiTheme="minorEastAsia" w:hAnsiTheme="minorEastAsia" w:eastAsiaTheme="minorEastAsia"/>
                <w:spacing w:val="-8"/>
                <w:w w:val="79"/>
                <w:sz w:val="20"/>
              </w:rPr>
              <w:t>/</w:t>
            </w:r>
            <w:r>
              <w:rPr>
                <w:rFonts w:hint="default" w:asciiTheme="minorEastAsia" w:hAnsiTheme="minorEastAsia" w:eastAsiaTheme="minorEastAsia"/>
                <w:spacing w:val="-8"/>
                <w:w w:val="79"/>
                <w:sz w:val="20"/>
              </w:rPr>
              <w:t>年</w:t>
            </w:r>
          </w:p>
          <w:p>
            <w:pPr>
              <w:pStyle w:val="0"/>
              <w:autoSpaceDE w:val="0"/>
              <w:autoSpaceDN w:val="0"/>
              <w:spacing w:line="0" w:lineRule="atLeast"/>
              <w:ind w:left="-45" w:leftChars="-20" w:right="-45" w:rightChars="-20"/>
              <w:jc w:val="center"/>
              <w:rPr>
                <w:rFonts w:hint="default" w:asciiTheme="minorEastAsia" w:hAnsiTheme="minorEastAsia" w:eastAsiaTheme="minorEastAsia"/>
                <w:spacing w:val="-8"/>
                <w:w w:val="79"/>
                <w:sz w:val="20"/>
              </w:rPr>
            </w:pPr>
            <w:r>
              <w:rPr>
                <w:rFonts w:hint="eastAsia" w:asciiTheme="minorEastAsia" w:hAnsiTheme="minorEastAsia" w:eastAsiaTheme="minorEastAsia"/>
                <w:spacing w:val="-8"/>
                <w:w w:val="79"/>
                <w:sz w:val="20"/>
              </w:rPr>
              <w:t>拠点</w:t>
            </w:r>
            <w:r>
              <w:rPr>
                <w:rFonts w:hint="default" w:asciiTheme="minorEastAsia" w:hAnsiTheme="minorEastAsia" w:eastAsiaTheme="minorEastAsia"/>
                <w:spacing w:val="-8"/>
                <w:w w:val="79"/>
                <w:sz w:val="20"/>
              </w:rPr>
              <w:t>4</w:t>
            </w:r>
            <w:r>
              <w:rPr>
                <w:rFonts w:hint="default" w:asciiTheme="minorEastAsia" w:hAnsiTheme="minorEastAsia" w:eastAsiaTheme="minorEastAsia"/>
                <w:spacing w:val="-8"/>
                <w:w w:val="79"/>
                <w:sz w:val="20"/>
              </w:rPr>
              <w:t>回</w:t>
            </w:r>
            <w:r>
              <w:rPr>
                <w:rFonts w:hint="default" w:asciiTheme="minorEastAsia" w:hAnsiTheme="minorEastAsia" w:eastAsiaTheme="minorEastAsia"/>
                <w:spacing w:val="-8"/>
                <w:w w:val="79"/>
                <w:sz w:val="20"/>
              </w:rPr>
              <w:t>/</w:t>
            </w:r>
            <w:r>
              <w:rPr>
                <w:rFonts w:hint="default" w:asciiTheme="minorEastAsia" w:hAnsiTheme="minorEastAsia" w:eastAsiaTheme="minorEastAsia"/>
                <w:spacing w:val="-8"/>
                <w:w w:val="79"/>
                <w:sz w:val="20"/>
              </w:rPr>
              <w:t>年</w:t>
            </w:r>
          </w:p>
        </w:tc>
        <w:tc>
          <w:tcPr>
            <w:tcW w:w="3402" w:type="dxa"/>
            <w:vMerge w:val="continue"/>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r>
    </w:tbl>
    <w:p>
      <w:pPr>
        <w:pStyle w:val="245"/>
        <w:spacing w:line="0" w:lineRule="atLeast"/>
        <w:ind w:left="672" w:firstLine="204"/>
        <w:rPr>
          <w:rFonts w:hint="default"/>
          <w:sz w:val="20"/>
        </w:rPr>
      </w:pPr>
    </w:p>
    <w:tbl>
      <w:tblPr>
        <w:tblStyle w:val="11"/>
        <w:tblW w:w="8930" w:type="dxa"/>
        <w:tblInd w:w="704"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Look w:firstRow="1" w:lastRow="0" w:firstColumn="1" w:lastColumn="0" w:noHBand="0" w:noVBand="1" w:val="04A0"/>
      </w:tblPr>
      <w:tblGrid>
        <w:gridCol w:w="8930"/>
      </w:tblGrid>
      <w:tr>
        <w:trPr/>
        <w:tc>
          <w:tcPr>
            <w:tcW w:w="8930" w:type="dxa"/>
            <w:shd w:val="clear" w:color="auto" w:fill="auto"/>
            <w:tcMar>
              <w:top w:w="57" w:type="dxa"/>
              <w:bottom w:w="57" w:type="dxa"/>
            </w:tcMar>
            <w:vAlign w:val="top"/>
          </w:tcPr>
          <w:p>
            <w:pPr>
              <w:pStyle w:val="0"/>
              <w:rPr>
                <w:rFonts w:hint="default"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eastAsiaTheme="minorEastAsia"/>
              </w:rPr>
              <w:t xml:space="preserve"> </w:t>
            </w:r>
            <w:r>
              <w:rPr>
                <w:rFonts w:hint="eastAsia" w:asciiTheme="minorEastAsia" w:hAnsiTheme="minorEastAsia" w:eastAsiaTheme="minorEastAsia"/>
              </w:rPr>
              <w:t>相談支援体制の充実・強化に向けた具体的な方法</w:t>
            </w:r>
          </w:p>
          <w:p>
            <w:pPr>
              <w:pStyle w:val="0"/>
              <w:ind w:left="428" w:leftChars="100" w:hanging="204" w:hangingChars="100"/>
              <w:rPr>
                <w:rFonts w:hint="default" w:asciiTheme="minorEastAsia" w:hAnsiTheme="minorEastAsia" w:eastAsiaTheme="minorEastAsia"/>
                <w:sz w:val="20"/>
              </w:rPr>
            </w:pPr>
            <w:r>
              <w:rPr>
                <w:rFonts w:hint="eastAsia" w:asciiTheme="minorEastAsia" w:hAnsiTheme="minorEastAsia" w:eastAsiaTheme="minorEastAsia"/>
                <w:sz w:val="20"/>
              </w:rPr>
              <w:t>・地域の相談支援を支える計画相談支援事業所、委託相談支援事業所、基幹相談支援センターが相談支援部会等を通して連携し相談できる体制づくりを行います。</w:t>
            </w:r>
          </w:p>
          <w:p>
            <w:pPr>
              <w:pStyle w:val="0"/>
              <w:ind w:left="428" w:leftChars="100" w:hanging="204" w:hangingChars="100"/>
              <w:rPr>
                <w:rFonts w:hint="default" w:asciiTheme="minorEastAsia" w:hAnsiTheme="minorEastAsia" w:eastAsiaTheme="minorEastAsia"/>
              </w:rPr>
            </w:pPr>
            <w:r>
              <w:rPr>
                <w:rFonts w:hint="eastAsia" w:asciiTheme="minorEastAsia" w:hAnsiTheme="minorEastAsia" w:eastAsiaTheme="minorEastAsia"/>
                <w:sz w:val="20"/>
              </w:rPr>
              <w:t>・研修会や勉強会等を通した相談支援従事者の質的向上等に向けた取り組みを行います。</w:t>
            </w:r>
          </w:p>
        </w:tc>
      </w:tr>
    </w:tbl>
    <w:p>
      <w:pPr>
        <w:pStyle w:val="245"/>
        <w:spacing w:line="0" w:lineRule="atLeast"/>
        <w:ind w:left="672" w:firstLine="204"/>
        <w:rPr>
          <w:rFonts w:hint="default"/>
          <w:sz w:val="20"/>
        </w:rPr>
      </w:pPr>
    </w:p>
    <w:p>
      <w:pPr>
        <w:pStyle w:val="245"/>
        <w:spacing w:line="0" w:lineRule="atLeast"/>
        <w:ind w:left="672" w:firstLine="204"/>
        <w:rPr>
          <w:rFonts w:hint="default"/>
          <w:sz w:val="20"/>
        </w:rPr>
      </w:pPr>
    </w:p>
    <w:p>
      <w:pPr>
        <w:pStyle w:val="0"/>
        <w:rPr>
          <w:rFonts w:hint="default"/>
          <w:sz w:val="20"/>
        </w:rPr>
      </w:pPr>
      <w:r>
        <w:rPr>
          <w:rFonts w:hint="default"/>
          <w:sz w:val="20"/>
        </w:rPr>
        <w:br w:type="page"/>
      </w:r>
    </w:p>
    <w:p>
      <w:pPr>
        <w:pStyle w:val="242"/>
        <w:spacing w:after="37" w:afterLines="0" w:afterAutospacing="0"/>
        <w:ind w:left="224"/>
        <w:rPr>
          <w:rFonts w:hint="default"/>
        </w:rPr>
      </w:pPr>
      <w:bookmarkStart w:id="185" w:name="_Toc158300429"/>
      <w:bookmarkStart w:id="186" w:name="_Toc67040247"/>
      <w:r>
        <w:rPr>
          <w:rFonts w:hint="default"/>
        </w:rPr>
        <w:t>(</w:t>
      </w:r>
      <w:r>
        <w:rPr>
          <w:rFonts w:hint="eastAsia"/>
        </w:rPr>
        <w:t>６</w:t>
      </w:r>
      <w:r>
        <w:rPr>
          <w:rFonts w:hint="default"/>
        </w:rPr>
        <w:t>)</w:t>
      </w:r>
      <w:r>
        <w:rPr>
          <w:rFonts w:hint="eastAsia"/>
        </w:rPr>
        <w:t>障害福祉サービスの質を向上させるための取組</w:t>
      </w:r>
      <w:bookmarkEnd w:id="185"/>
      <w:bookmarkEnd w:id="186"/>
    </w:p>
    <w:p>
      <w:pPr>
        <w:pStyle w:val="245"/>
        <w:spacing w:line="0" w:lineRule="atLeast"/>
        <w:ind w:left="672" w:firstLine="204"/>
        <w:rPr>
          <w:rFonts w:hint="default"/>
          <w:sz w:val="20"/>
        </w:rPr>
      </w:pPr>
    </w:p>
    <w:p>
      <w:pPr>
        <w:pStyle w:val="243"/>
        <w:ind w:left="784" w:hanging="336"/>
        <w:rPr>
          <w:rFonts w:hint="default"/>
        </w:rPr>
      </w:pPr>
      <w:r>
        <w:rPr>
          <w:rFonts w:hint="eastAsia"/>
        </w:rPr>
        <w:t>①</w:t>
      </w:r>
      <w:r>
        <w:rPr>
          <w:rFonts w:hint="eastAsia"/>
        </w:rPr>
        <w:t xml:space="preserve"> </w:t>
      </w:r>
      <w:r>
        <w:rPr>
          <w:rFonts w:hint="eastAsia"/>
        </w:rPr>
        <w:t>質の向上に向けた研修への参加人数の見込み</w:t>
      </w:r>
    </w:p>
    <w:p>
      <w:pPr>
        <w:pStyle w:val="245"/>
        <w:spacing w:line="0" w:lineRule="atLeast"/>
        <w:ind w:left="672" w:firstLine="164"/>
        <w:rPr>
          <w:rFonts w:hint="default"/>
          <w:sz w:val="16"/>
        </w:rPr>
      </w:pP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3119"/>
        <w:gridCol w:w="931"/>
        <w:gridCol w:w="931"/>
        <w:gridCol w:w="931"/>
        <w:gridCol w:w="3018"/>
      </w:tblGrid>
      <w:tr>
        <w:trPr/>
        <w:tc>
          <w:tcPr>
            <w:tcW w:w="3119"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2793" w:type="dxa"/>
            <w:gridSpan w:val="3"/>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参加時期及び人数</w:t>
            </w:r>
          </w:p>
        </w:tc>
        <w:tc>
          <w:tcPr>
            <w:tcW w:w="3018"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備考</w:t>
            </w:r>
          </w:p>
        </w:tc>
      </w:tr>
      <w:tr>
        <w:trPr/>
        <w:tc>
          <w:tcPr>
            <w:tcW w:w="3119" w:type="dxa"/>
            <w:vMerge w:val="continue"/>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93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令和６年</w:t>
            </w:r>
          </w:p>
        </w:tc>
        <w:tc>
          <w:tcPr>
            <w:tcW w:w="93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令和７年</w:t>
            </w:r>
          </w:p>
        </w:tc>
        <w:tc>
          <w:tcPr>
            <w:tcW w:w="931"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令和８年</w:t>
            </w:r>
          </w:p>
        </w:tc>
        <w:tc>
          <w:tcPr>
            <w:tcW w:w="3018" w:type="dxa"/>
            <w:vMerge w:val="continue"/>
            <w:shd w:val="clear" w:color="auto" w:fill="C5E0B3"/>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p>
        </w:tc>
      </w:tr>
      <w:tr>
        <w:trPr/>
        <w:tc>
          <w:tcPr>
            <w:tcW w:w="3119"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都道府県が実施する障害福祉サービス等に係る研修その他の研修への市町村職員の参加人数</w:t>
            </w:r>
          </w:p>
        </w:tc>
        <w:tc>
          <w:tcPr>
            <w:tcW w:w="931"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931"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931"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3018"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国指針：都道府県が実施する障害福祉サービス等に係る研修その他の研修への市町村職員の参加人数の見込みを設定する。</w:t>
            </w:r>
          </w:p>
        </w:tc>
      </w:tr>
    </w:tbl>
    <w:p>
      <w:pPr>
        <w:pStyle w:val="245"/>
        <w:ind w:left="672" w:firstLine="224"/>
        <w:rPr>
          <w:rFonts w:hint="default"/>
        </w:rPr>
      </w:pPr>
    </w:p>
    <w:p>
      <w:pPr>
        <w:pStyle w:val="243"/>
        <w:ind w:left="784" w:hanging="336"/>
        <w:rPr>
          <w:rFonts w:hint="default"/>
        </w:rPr>
      </w:pPr>
      <w:r>
        <w:rPr>
          <w:rFonts w:hint="eastAsia"/>
        </w:rPr>
        <w:t>②</w:t>
      </w:r>
      <w:r>
        <w:rPr>
          <w:rFonts w:hint="eastAsia"/>
        </w:rPr>
        <w:t xml:space="preserve"> </w:t>
      </w:r>
      <w:r>
        <w:rPr>
          <w:rFonts w:hint="eastAsia"/>
        </w:rPr>
        <w:t>障害者自立支援審査支払等システムによる審査結果の共有</w:t>
      </w:r>
    </w:p>
    <w:p>
      <w:pPr>
        <w:pStyle w:val="245"/>
        <w:spacing w:line="0" w:lineRule="atLeast"/>
        <w:ind w:left="672" w:firstLine="164"/>
        <w:rPr>
          <w:rFonts w:hint="default"/>
          <w:sz w:val="16"/>
        </w:rPr>
      </w:pP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3402"/>
        <w:gridCol w:w="1134"/>
        <w:gridCol w:w="4394"/>
      </w:tblGrid>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1134"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構築時期</w:t>
            </w:r>
          </w:p>
        </w:tc>
        <w:tc>
          <w:tcPr>
            <w:tcW w:w="4394"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3402"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障害者自立支援審査支払等システム等による審査結果を分析してその結果を活用し、事業所や関係自治体等と共有する体制の構築</w:t>
            </w:r>
          </w:p>
        </w:tc>
        <w:tc>
          <w:tcPr>
            <w:tcW w:w="1134"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令和７年</w:t>
            </w:r>
          </w:p>
        </w:tc>
        <w:tc>
          <w:tcPr>
            <w:tcW w:w="4394"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国指針：障害福祉サービス等の質を向上させるための取組に関する事項を実施する体制を構築することを基本とする。</w:t>
            </w:r>
          </w:p>
        </w:tc>
      </w:tr>
    </w:tbl>
    <w:p>
      <w:pPr>
        <w:pStyle w:val="245"/>
        <w:spacing w:line="0" w:lineRule="atLeast"/>
        <w:ind w:left="672" w:firstLine="204"/>
        <w:rPr>
          <w:rFonts w:hint="default"/>
          <w:sz w:val="20"/>
        </w:rPr>
      </w:pPr>
    </w:p>
    <w:tbl>
      <w:tblPr>
        <w:tblStyle w:val="11"/>
        <w:tblW w:w="8930" w:type="dxa"/>
        <w:tblInd w:w="704"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Look w:firstRow="1" w:lastRow="0" w:firstColumn="1" w:lastColumn="0" w:noHBand="0" w:noVBand="1" w:val="04A0"/>
      </w:tblPr>
      <w:tblGrid>
        <w:gridCol w:w="8930"/>
      </w:tblGrid>
      <w:tr>
        <w:trPr/>
        <w:tc>
          <w:tcPr>
            <w:tcW w:w="8930" w:type="dxa"/>
            <w:shd w:val="clear" w:color="auto" w:fill="auto"/>
            <w:tcMar>
              <w:top w:w="57" w:type="dxa"/>
              <w:bottom w:w="57" w:type="dxa"/>
            </w:tcMar>
            <w:vAlign w:val="top"/>
          </w:tcPr>
          <w:p>
            <w:pPr>
              <w:pStyle w:val="0"/>
              <w:rPr>
                <w:rFonts w:hint="default"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eastAsiaTheme="minorEastAsia"/>
              </w:rPr>
              <w:t xml:space="preserve"> </w:t>
            </w:r>
            <w:r>
              <w:rPr>
                <w:rFonts w:hint="eastAsia" w:asciiTheme="minorEastAsia" w:hAnsiTheme="minorEastAsia" w:eastAsiaTheme="minorEastAsia"/>
              </w:rPr>
              <w:t>具体的な構築方法</w:t>
            </w:r>
          </w:p>
          <w:p>
            <w:pPr>
              <w:pStyle w:val="0"/>
              <w:ind w:left="224" w:leftChars="100"/>
              <w:rPr>
                <w:rFonts w:hint="default" w:asciiTheme="minorEastAsia" w:hAnsiTheme="minorEastAsia" w:eastAsiaTheme="minorEastAsia"/>
              </w:rPr>
            </w:pPr>
            <w:r>
              <w:rPr>
                <w:rFonts w:hint="eastAsia" w:asciiTheme="minorEastAsia" w:hAnsiTheme="minorEastAsia" w:eastAsiaTheme="minorEastAsia"/>
                <w:sz w:val="20"/>
              </w:rPr>
              <w:t>町内の障害福祉サービス事業所を対象に、情報提供する場をつくります。</w:t>
            </w:r>
          </w:p>
        </w:tc>
      </w:tr>
    </w:tbl>
    <w:p>
      <w:pPr>
        <w:pStyle w:val="245"/>
        <w:ind w:left="672" w:firstLine="224"/>
        <w:rPr>
          <w:rFonts w:hint="default"/>
        </w:rPr>
      </w:pP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2835"/>
        <w:gridCol w:w="992"/>
        <w:gridCol w:w="992"/>
        <w:gridCol w:w="993"/>
        <w:gridCol w:w="3118"/>
      </w:tblGrid>
      <w:tr>
        <w:trPr/>
        <w:tc>
          <w:tcPr>
            <w:tcW w:w="2835"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2977" w:type="dxa"/>
            <w:gridSpan w:val="3"/>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回数</w:t>
            </w:r>
          </w:p>
        </w:tc>
        <w:tc>
          <w:tcPr>
            <w:tcW w:w="3118"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備考</w:t>
            </w:r>
          </w:p>
        </w:tc>
      </w:tr>
      <w:tr>
        <w:trPr/>
        <w:tc>
          <w:tcPr>
            <w:tcW w:w="2835" w:type="dxa"/>
            <w:vMerge w:val="continue"/>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992"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令和６年</w:t>
            </w:r>
          </w:p>
        </w:tc>
        <w:tc>
          <w:tcPr>
            <w:tcW w:w="992"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令和７年</w:t>
            </w:r>
          </w:p>
        </w:tc>
        <w:tc>
          <w:tcPr>
            <w:tcW w:w="993"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0"/>
                <w:sz w:val="20"/>
              </w:rPr>
              <w:t>令和８年</w:t>
            </w:r>
          </w:p>
        </w:tc>
        <w:tc>
          <w:tcPr>
            <w:tcW w:w="3118" w:type="dxa"/>
            <w:vMerge w:val="continue"/>
            <w:shd w:val="clear" w:color="auto" w:fill="C5E0B3"/>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p>
        </w:tc>
      </w:tr>
      <w:tr>
        <w:trPr/>
        <w:tc>
          <w:tcPr>
            <w:tcW w:w="2835"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障害者自立支援審査支払等システム等による審査結果を分析してその結果を活用し、事業所や関係自治体等との共有実施回数（年間回数）</w:t>
            </w:r>
          </w:p>
        </w:tc>
        <w:tc>
          <w:tcPr>
            <w:tcW w:w="992"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p>
        </w:tc>
        <w:tc>
          <w:tcPr>
            <w:tcW w:w="992"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993" w:type="dxa"/>
            <w:vAlign w:val="center"/>
          </w:tcPr>
          <w:p>
            <w:pPr>
              <w:pStyle w:val="0"/>
              <w:autoSpaceDE w:val="0"/>
              <w:autoSpaceDN w:val="0"/>
              <w:spacing w:line="0" w:lineRule="atLeast"/>
              <w:jc w:val="center"/>
              <w:rPr>
                <w:rFonts w:hint="default" w:asciiTheme="minorEastAsia" w:hAnsiTheme="minorEastAsia" w:eastAsiaTheme="minorEastAsia"/>
                <w:sz w:val="20"/>
              </w:rPr>
            </w:pPr>
          </w:p>
        </w:tc>
        <w:tc>
          <w:tcPr>
            <w:tcW w:w="3118"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国指針：自立支援審査支払等システム等を活用し、請求の過誤を無くすための取組や適正な運営を行っている事業所を確保することが必要</w:t>
            </w:r>
          </w:p>
        </w:tc>
      </w:tr>
    </w:tbl>
    <w:p>
      <w:pPr>
        <w:pStyle w:val="245"/>
        <w:spacing w:line="0" w:lineRule="atLeast"/>
        <w:ind w:left="672" w:firstLine="204"/>
        <w:rPr>
          <w:rFonts w:hint="default"/>
          <w:sz w:val="20"/>
        </w:rPr>
      </w:pPr>
    </w:p>
    <w:p>
      <w:pPr>
        <w:pStyle w:val="0"/>
        <w:rPr>
          <w:rFonts w:hint="default"/>
          <w:sz w:val="20"/>
        </w:rPr>
      </w:pPr>
      <w:r>
        <w:rPr>
          <w:rFonts w:hint="default"/>
          <w:sz w:val="20"/>
        </w:rPr>
        <w:br w:type="page"/>
      </w:r>
    </w:p>
    <w:p>
      <w:pPr>
        <w:pStyle w:val="241"/>
        <w:spacing w:after="92" w:afterLines="0" w:afterAutospacing="0"/>
        <w:rPr>
          <w:rFonts w:hint="default"/>
        </w:rPr>
      </w:pPr>
      <w:bookmarkStart w:id="187" w:name="_Toc158300430"/>
      <w:bookmarkStart w:id="188" w:name="_Toc67040248"/>
      <w:r>
        <w:rPr>
          <w:rFonts w:hint="eastAsia"/>
        </w:rPr>
        <w:t>２．第７期のサービス別見込量</w:t>
      </w:r>
      <w:bookmarkEnd w:id="187"/>
      <w:bookmarkEnd w:id="188"/>
    </w:p>
    <w:p>
      <w:pPr>
        <w:pStyle w:val="242"/>
        <w:spacing w:after="37" w:afterLines="0" w:afterAutospacing="0"/>
        <w:ind w:left="224"/>
        <w:rPr>
          <w:rFonts w:hint="default"/>
        </w:rPr>
      </w:pPr>
      <w:bookmarkStart w:id="189" w:name="_Toc158300431"/>
      <w:bookmarkStart w:id="190" w:name="_Toc314505296"/>
      <w:bookmarkStart w:id="191" w:name="_Toc314578845"/>
      <w:bookmarkStart w:id="192" w:name="_Toc318449538"/>
      <w:bookmarkStart w:id="193" w:name="_Toc59549969"/>
      <w:bookmarkStart w:id="194" w:name="_Toc67040249"/>
      <w:r>
        <w:rPr>
          <w:rFonts w:hint="default"/>
        </w:rPr>
        <w:t>(</w:t>
      </w:r>
      <w:r>
        <w:rPr>
          <w:rFonts w:hint="eastAsia"/>
        </w:rPr>
        <w:t>１</w:t>
      </w:r>
      <w:r>
        <w:rPr>
          <w:rFonts w:hint="default"/>
        </w:rPr>
        <w:t>)</w:t>
      </w:r>
      <w:r>
        <w:rPr>
          <w:rFonts w:hint="eastAsia"/>
        </w:rPr>
        <w:t>障害福祉サービス</w:t>
      </w:r>
      <w:bookmarkEnd w:id="189"/>
      <w:bookmarkEnd w:id="190"/>
      <w:bookmarkEnd w:id="191"/>
      <w:bookmarkEnd w:id="192"/>
      <w:bookmarkEnd w:id="193"/>
      <w:bookmarkEnd w:id="194"/>
    </w:p>
    <w:p>
      <w:pPr>
        <w:pStyle w:val="243"/>
        <w:ind w:left="784" w:hanging="336"/>
        <w:rPr>
          <w:rFonts w:hint="default"/>
        </w:rPr>
      </w:pPr>
      <w:bookmarkStart w:id="195" w:name="_Toc314505297"/>
      <w:bookmarkStart w:id="196" w:name="_Toc314578846"/>
      <w:bookmarkStart w:id="197" w:name="_Toc318449539"/>
      <w:bookmarkStart w:id="198" w:name="_Toc59549970"/>
      <w:r>
        <w:rPr>
          <w:rFonts w:hint="eastAsia"/>
        </w:rPr>
        <w:t>①訪問系サービス</w:t>
      </w:r>
      <w:bookmarkEnd w:id="195"/>
      <w:bookmarkEnd w:id="196"/>
      <w:bookmarkEnd w:id="197"/>
      <w:bookmarkEnd w:id="198"/>
    </w:p>
    <w:p>
      <w:pPr>
        <w:pStyle w:val="246"/>
        <w:ind w:left="672"/>
        <w:rPr>
          <w:rFonts w:hint="default"/>
        </w:rPr>
      </w:pPr>
      <w:bookmarkStart w:id="199" w:name="_Toc314505298"/>
      <w:bookmarkStart w:id="200" w:name="_Toc318449540"/>
      <w:r>
        <w:rPr>
          <w:rFonts w:hint="eastAsia"/>
        </w:rPr>
        <w:t>●</w:t>
      </w:r>
      <w:r>
        <w:rPr>
          <w:rFonts w:hint="eastAsia"/>
        </w:rPr>
        <w:t xml:space="preserve"> </w:t>
      </w:r>
      <w:r>
        <w:rPr>
          <w:rFonts w:hint="eastAsia"/>
        </w:rPr>
        <w:t>訪問系サービス</w:t>
      </w:r>
      <w:bookmarkEnd w:id="200"/>
      <w:r>
        <w:rPr>
          <w:rFonts w:hint="eastAsia"/>
        </w:rPr>
        <w:t>全体（居宅介護・重度訪問介護・行動援護・同行援護）</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01" w:name="訪問系サービス"/>
            <w:r>
              <w:rPr>
                <w:rFonts w:hint="eastAsia"/>
              </w:rPr>
              <w:t>利用者数</w:t>
            </w:r>
            <w:bookmarkEnd w:id="201"/>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250"/>
              <w:spacing w:before="5" w:beforeLines="0" w:beforeAutospacing="0" w:after="5" w:afterLines="0" w:afterAutospacing="0"/>
              <w:rPr>
                <w:rFonts w:hint="default"/>
              </w:rPr>
            </w:pPr>
            <w:r>
              <w:rPr>
                <w:rFonts w:hint="default"/>
                <w:sz w:val="22"/>
              </w:rPr>
              <w:t>106</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250"/>
              <w:spacing w:before="5" w:beforeLines="0" w:beforeAutospacing="0" w:after="5" w:afterLines="0" w:afterAutospacing="0"/>
              <w:rPr>
                <w:rFonts w:hint="default"/>
              </w:rPr>
            </w:pPr>
            <w:r>
              <w:rPr>
                <w:rFonts w:hint="default"/>
                <w:sz w:val="22"/>
              </w:rPr>
              <w:t>115</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top"/>
          </w:tcPr>
          <w:p>
            <w:pPr>
              <w:pStyle w:val="250"/>
              <w:spacing w:before="5" w:beforeLines="0" w:beforeAutospacing="0" w:after="5" w:afterLines="0" w:afterAutospacing="0"/>
              <w:rPr>
                <w:rFonts w:hint="default"/>
              </w:rPr>
            </w:pPr>
            <w:r>
              <w:rPr>
                <w:rFonts w:hint="default"/>
                <w:sz w:val="22"/>
              </w:rPr>
              <w:t>124</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250"/>
              <w:spacing w:before="5" w:beforeLines="0" w:beforeAutospacing="0" w:after="5" w:afterLines="0" w:afterAutospacing="0"/>
              <w:rPr>
                <w:rFonts w:hint="default"/>
              </w:rPr>
            </w:pPr>
            <w:r>
              <w:rPr>
                <w:rFonts w:hint="default"/>
                <w:sz w:val="22"/>
              </w:rPr>
              <w:t>113</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250"/>
              <w:spacing w:before="5" w:beforeLines="0" w:beforeAutospacing="0" w:after="5" w:afterLines="0" w:afterAutospacing="0"/>
              <w:rPr>
                <w:rFonts w:hint="default"/>
              </w:rPr>
            </w:pPr>
            <w:r>
              <w:rPr>
                <w:rFonts w:hint="default"/>
                <w:sz w:val="22"/>
              </w:rPr>
              <w:t>121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250"/>
              <w:spacing w:before="5" w:beforeLines="0" w:beforeAutospacing="0" w:after="5" w:afterLines="0" w:afterAutospacing="0"/>
              <w:rPr>
                <w:rFonts w:hint="default"/>
              </w:rPr>
            </w:pPr>
            <w:r>
              <w:rPr>
                <w:rFonts w:hint="default"/>
                <w:sz w:val="22"/>
              </w:rPr>
              <w:t>129</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250"/>
              <w:spacing w:before="5" w:beforeLines="0" w:beforeAutospacing="0" w:after="5" w:afterLines="0" w:afterAutospacing="0"/>
              <w:rPr>
                <w:rFonts w:hint="default"/>
              </w:rPr>
            </w:pPr>
            <w:r>
              <w:rPr>
                <w:rFonts w:hint="default"/>
                <w:sz w:val="22"/>
              </w:rPr>
              <w:t>94</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250"/>
              <w:spacing w:before="5" w:beforeLines="0" w:beforeAutospacing="0" w:after="5" w:afterLines="0" w:afterAutospacing="0"/>
              <w:rPr>
                <w:rFonts w:hint="default"/>
              </w:rPr>
            </w:pPr>
            <w:r>
              <w:rPr>
                <w:rFonts w:hint="default"/>
                <w:sz w:val="22"/>
              </w:rPr>
              <w:t>97</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250"/>
              <w:spacing w:before="5" w:beforeLines="0" w:beforeAutospacing="0" w:after="5" w:afterLines="0" w:afterAutospacing="0"/>
              <w:rPr>
                <w:rFonts w:hint="default"/>
              </w:rPr>
            </w:pPr>
            <w:r>
              <w:rPr>
                <w:rFonts w:hint="default"/>
                <w:sz w:val="22"/>
              </w:rPr>
              <w:t>105</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250"/>
              <w:spacing w:before="5" w:beforeLines="0" w:beforeAutospacing="0" w:after="5" w:afterLines="0" w:afterAutospacing="0"/>
              <w:rPr>
                <w:rFonts w:hint="default"/>
              </w:rPr>
            </w:pPr>
            <w:r>
              <w:rPr>
                <w:rFonts w:hint="eastAsia"/>
                <w:sz w:val="22"/>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250"/>
              <w:spacing w:before="5" w:beforeLines="0" w:beforeAutospacing="0" w:after="5" w:afterLines="0" w:afterAutospacing="0"/>
              <w:rPr>
                <w:rFonts w:hint="default"/>
              </w:rPr>
            </w:pPr>
            <w:r>
              <w:rPr>
                <w:rFonts w:hint="eastAsia"/>
                <w:sz w:val="22"/>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250"/>
              <w:spacing w:before="5" w:beforeLines="0" w:beforeAutospacing="0" w:after="5" w:afterLines="0" w:afterAutospacing="0"/>
              <w:rPr>
                <w:rFonts w:hint="default"/>
              </w:rPr>
            </w:pPr>
            <w:r>
              <w:rPr>
                <w:rFonts w:hint="eastAsia"/>
                <w:sz w:val="22"/>
              </w:rPr>
              <w:t>－</w:t>
            </w:r>
          </w:p>
        </w:tc>
      </w:tr>
      <w:tr>
        <w:trPr>
          <w:trHeight w:val="53" w:hRule="atLeast"/>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r>
              <w:rPr>
                <w:rFonts w:hint="default"/>
              </w:rPr>
              <w:t>12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r>
              <w:rPr>
                <w:rFonts w:hint="default"/>
              </w:rPr>
              <w:t>18</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r>
              <w:rPr>
                <w:rFonts w:hint="default"/>
              </w:rPr>
              <w:t>19</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9041" w:type="dxa"/>
        <w:tblInd w:w="717" w:type="dxa"/>
        <w:tblLayout w:type="fixed"/>
        <w:tblCellMar>
          <w:left w:w="57" w:type="dxa"/>
          <w:right w:w="57" w:type="dxa"/>
        </w:tblCellMar>
        <w:tblLook w:firstRow="0" w:lastRow="0" w:firstColumn="0" w:lastColumn="0" w:noHBand="0" w:noVBand="0" w:val="0000"/>
      </w:tblPr>
      <w:tblGrid>
        <w:gridCol w:w="1258"/>
        <w:gridCol w:w="1059"/>
        <w:gridCol w:w="1116"/>
        <w:gridCol w:w="1117"/>
        <w:gridCol w:w="1117"/>
        <w:gridCol w:w="1124"/>
        <w:gridCol w:w="1125"/>
        <w:gridCol w:w="1125"/>
      </w:tblGrid>
      <w:tr>
        <w:trPr/>
        <w:tc>
          <w:tcPr>
            <w:tcW w:w="125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10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2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25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10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1,076</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1,163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1,250</w:t>
            </w:r>
          </w:p>
        </w:tc>
        <w:tc>
          <w:tcPr>
            <w:tcW w:w="112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2,283</w:t>
            </w:r>
          </w:p>
        </w:tc>
        <w:tc>
          <w:tcPr>
            <w:tcW w:w="11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2,398</w:t>
            </w:r>
          </w:p>
        </w:tc>
        <w:tc>
          <w:tcPr>
            <w:tcW w:w="11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2,513</w:t>
            </w:r>
          </w:p>
        </w:tc>
      </w:tr>
      <w:tr>
        <w:trPr/>
        <w:tc>
          <w:tcPr>
            <w:tcW w:w="1258"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1059"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1,723</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1,782</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2,171</w:t>
            </w:r>
          </w:p>
        </w:tc>
        <w:tc>
          <w:tcPr>
            <w:tcW w:w="112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647</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619</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921</w:t>
            </w:r>
          </w:p>
        </w:tc>
        <w:tc>
          <w:tcPr>
            <w:tcW w:w="112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rPr>
                <w:rFonts w:hint="default"/>
              </w:rPr>
            </w:pPr>
          </w:p>
        </w:tc>
        <w:tc>
          <w:tcPr>
            <w:tcW w:w="1125"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25"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r>
      <w:tr>
        <w:trPr/>
        <w:tc>
          <w:tcPr>
            <w:tcW w:w="9041"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・令和５年度は、見込みの数値。ｱ</w:t>
            </w:r>
            <w:r>
              <w:rPr>
                <w:rFonts w:hint="eastAsia"/>
              </w:rPr>
              <w:t>)</w:t>
            </w:r>
            <w:r>
              <w:rPr>
                <w:rFonts w:hint="eastAsia"/>
              </w:rPr>
              <w:t>～ｵ</w:t>
            </w:r>
            <w:r>
              <w:rPr>
                <w:rFonts w:hint="eastAsia"/>
              </w:rPr>
              <w:t>)</w:t>
            </w:r>
            <w:r>
              <w:rPr>
                <w:rFonts w:hint="eastAsia"/>
              </w:rPr>
              <w:t>の合算値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77" behindDoc="0" locked="0" layoutInCell="1" hidden="0" allowOverlap="1">
            <wp:simplePos x="0" y="0"/>
            <wp:positionH relativeFrom="column">
              <wp:posOffset>288925</wp:posOffset>
            </wp:positionH>
            <wp:positionV relativeFrom="paragraph">
              <wp:posOffset>85090</wp:posOffset>
            </wp:positionV>
            <wp:extent cx="5938520" cy="2231390"/>
            <wp:effectExtent l="0" t="0" r="0" b="0"/>
            <wp:wrapNone/>
            <wp:docPr id="1238" name="訪問系サービス01"/>
            <a:graphic xmlns:a="http://schemas.openxmlformats.org/drawingml/2006/main">
              <a:graphicData uri="http://schemas.openxmlformats.org/drawingml/2006/picture">
                <pic:pic xmlns:pic="http://schemas.openxmlformats.org/drawingml/2006/picture">
                  <pic:nvPicPr>
                    <pic:cNvPr id="1238" name="訪問系サービス01"/>
                    <pic:cNvPicPr>
                      <a:picLocks noChangeAspect="1" noChangeArrowheads="1"/>
                    </pic:cNvPicPr>
                  </pic:nvPicPr>
                  <pic:blipFill>
                    <a:blip r:embed="rId14"/>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76" behindDoc="0" locked="0" layoutInCell="1" hidden="0" allowOverlap="1">
            <wp:simplePos x="0" y="0"/>
            <wp:positionH relativeFrom="column">
              <wp:posOffset>288925</wp:posOffset>
            </wp:positionH>
            <wp:positionV relativeFrom="paragraph">
              <wp:posOffset>183515</wp:posOffset>
            </wp:positionV>
            <wp:extent cx="5938520" cy="2231390"/>
            <wp:effectExtent l="0" t="0" r="0" b="0"/>
            <wp:wrapNone/>
            <wp:docPr id="1239" name="訪問系サービス02"/>
            <a:graphic xmlns:a="http://schemas.openxmlformats.org/drawingml/2006/main">
              <a:graphicData uri="http://schemas.openxmlformats.org/drawingml/2006/picture">
                <pic:pic xmlns:pic="http://schemas.openxmlformats.org/drawingml/2006/picture">
                  <pic:nvPicPr>
                    <pic:cNvPr id="1239" name="訪問系サービス02"/>
                    <pic:cNvPicPr>
                      <a:picLocks noChangeAspect="1" noChangeArrowheads="1"/>
                    </pic:cNvPicPr>
                  </pic:nvPicPr>
                  <pic:blipFill>
                    <a:blip r:embed="rId15"/>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246"/>
        <w:ind w:left="672"/>
        <w:rPr>
          <w:rFonts w:hint="default"/>
        </w:rPr>
      </w:pPr>
      <w:r>
        <w:rPr>
          <w:rFonts w:hint="default"/>
        </w:rPr>
        <w:br w:type="page"/>
      </w:r>
      <w:bookmarkStart w:id="202" w:name="_Toc314578847"/>
      <w:bookmarkStart w:id="203" w:name="_Toc318449541"/>
      <w:r>
        <w:rPr>
          <w:rFonts w:hint="default" w:ascii="ＭＳ 明朝" w:hAnsi="ＭＳ 明朝"/>
        </w:rPr>
        <w:t>ｱ</w:t>
      </w:r>
      <w:r>
        <w:rPr>
          <w:rFonts w:hint="default"/>
        </w:rPr>
        <w:t>)</w:t>
      </w:r>
      <w:r>
        <w:rPr>
          <w:rFonts w:hint="eastAsia"/>
        </w:rPr>
        <w:t>居宅介護（ホームヘルプ）</w:t>
      </w:r>
      <w:bookmarkEnd w:id="199"/>
      <w:bookmarkEnd w:id="202"/>
      <w:bookmarkEnd w:id="203"/>
    </w:p>
    <w:p>
      <w:pPr>
        <w:pStyle w:val="251"/>
        <w:spacing w:line="240" w:lineRule="auto"/>
        <w:ind w:left="897" w:leftChars="400" w:firstLine="214"/>
        <w:rPr>
          <w:rFonts w:hint="default"/>
          <w:spacing w:val="0"/>
        </w:rPr>
      </w:pPr>
      <w:r>
        <w:rPr>
          <w:rFonts w:hint="eastAsia"/>
          <w:spacing w:val="0"/>
        </w:rPr>
        <w:t>障がい者の自宅へヘルパーを派遣し、入浴・排せつ・食事等の身体介護、洗濯・掃除等の家事援助及び通院介助を行います。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default"/>
          <w:spacing w:val="0"/>
        </w:rPr>
        <w:t>利用者数については今後も利用ニーズが高まることを見込んで毎年度</w:t>
      </w:r>
      <w:r>
        <w:rPr>
          <w:rFonts w:hint="default"/>
          <w:spacing w:val="0"/>
        </w:rPr>
        <w:t>6</w:t>
      </w:r>
      <w:r>
        <w:rPr>
          <w:rFonts w:hint="default"/>
          <w:spacing w:val="0"/>
        </w:rPr>
        <w:t>名</w:t>
      </w:r>
      <w:r>
        <w:rPr>
          <w:rFonts w:hint="eastAsia"/>
          <w:spacing w:val="0"/>
        </w:rPr>
        <w:t>ずつ</w:t>
      </w:r>
      <w:r>
        <w:rPr>
          <w:rFonts w:hint="default"/>
          <w:spacing w:val="0"/>
        </w:rPr>
        <w:t>増加すると見込みます。また、利用量についても増加傾向にあると考え</w:t>
      </w:r>
      <w:r>
        <w:rPr>
          <w:rFonts w:hint="eastAsia"/>
          <w:spacing w:val="0"/>
        </w:rPr>
        <w:t>、</w:t>
      </w:r>
      <w:r>
        <w:rPr>
          <w:rFonts w:hint="default"/>
          <w:spacing w:val="0"/>
        </w:rPr>
        <w:t>各年度一人当たり</w:t>
      </w:r>
      <w:r>
        <w:rPr>
          <w:rFonts w:hint="default"/>
          <w:spacing w:val="0"/>
        </w:rPr>
        <w:t>10.5</w:t>
      </w:r>
      <w:r>
        <w:rPr>
          <w:rFonts w:hint="default"/>
          <w:spacing w:val="0"/>
        </w:rPr>
        <w:t>時間を利用すると見込ます。</w:t>
      </w:r>
    </w:p>
    <w:p>
      <w:pPr>
        <w:pStyle w:val="0"/>
        <w:spacing w:line="0" w:lineRule="atLeast"/>
        <w:ind w:left="438" w:firstLine="159"/>
        <w:rPr>
          <w:rFonts w:hint="default"/>
          <w:sz w:val="16"/>
        </w:rPr>
      </w:pPr>
      <w:bookmarkStart w:id="204" w:name="_Toc314505299"/>
      <w:bookmarkStart w:id="205" w:name="_Toc314578848"/>
      <w:bookmarkStart w:id="206" w:name="_Toc318449542"/>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07" w:name="居宅介護（ホームヘルプ）"/>
            <w:r>
              <w:rPr>
                <w:rFonts w:hint="eastAsia"/>
              </w:rPr>
              <w:t>利用者数</w:t>
            </w:r>
            <w:bookmarkEnd w:id="207"/>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81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89</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97</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80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86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92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66</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68</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74</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15</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21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23</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753</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828</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902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840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903</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966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807</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786</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778</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54</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42</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124</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75" behindDoc="0" locked="0" layoutInCell="1" hidden="0" allowOverlap="1">
            <wp:simplePos x="0" y="0"/>
            <wp:positionH relativeFrom="column">
              <wp:posOffset>244475</wp:posOffset>
            </wp:positionH>
            <wp:positionV relativeFrom="paragraph">
              <wp:posOffset>52705</wp:posOffset>
            </wp:positionV>
            <wp:extent cx="5938520" cy="2232025"/>
            <wp:effectExtent l="0" t="0" r="0" b="0"/>
            <wp:wrapNone/>
            <wp:docPr id="1240" name="居宅介護（ホームヘルプ）01"/>
            <a:graphic xmlns:a="http://schemas.openxmlformats.org/drawingml/2006/main">
              <a:graphicData uri="http://schemas.openxmlformats.org/drawingml/2006/picture">
                <pic:pic xmlns:pic="http://schemas.openxmlformats.org/drawingml/2006/picture">
                  <pic:nvPicPr>
                    <pic:cNvPr id="1240" name="居宅介護（ホームヘルプ）01"/>
                    <pic:cNvPicPr>
                      <a:picLocks noChangeAspect="1" noChangeArrowheads="1"/>
                    </pic:cNvPicPr>
                  </pic:nvPicPr>
                  <pic:blipFill>
                    <a:blip r:embed="rId16"/>
                    <a:srcRect b="8401"/>
                    <a:stretch>
                      <a:fillRect/>
                    </a:stretch>
                  </pic:blipFill>
                  <pic:spPr>
                    <a:xfrm>
                      <a:off x="0" y="0"/>
                      <a:ext cx="5938520" cy="2232025"/>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r>
        <w:rPr>
          <w:rFonts w:hint="default"/>
        </w:rPr>
        <w:drawing>
          <wp:anchor distT="0" distB="0" distL="114300" distR="114300" simplePos="0" relativeHeight="74" behindDoc="0" locked="0" layoutInCell="1" hidden="0" allowOverlap="1">
            <wp:simplePos x="0" y="0"/>
            <wp:positionH relativeFrom="column">
              <wp:posOffset>240665</wp:posOffset>
            </wp:positionH>
            <wp:positionV relativeFrom="paragraph">
              <wp:posOffset>205105</wp:posOffset>
            </wp:positionV>
            <wp:extent cx="5938520" cy="2232025"/>
            <wp:effectExtent l="0" t="0" r="0" b="0"/>
            <wp:wrapNone/>
            <wp:docPr id="1241" name="居宅介護（ホームヘルプ）02"/>
            <a:graphic xmlns:a="http://schemas.openxmlformats.org/drawingml/2006/main">
              <a:graphicData uri="http://schemas.openxmlformats.org/drawingml/2006/picture">
                <pic:pic xmlns:pic="http://schemas.openxmlformats.org/drawingml/2006/picture">
                  <pic:nvPicPr>
                    <pic:cNvPr id="1241" name="居宅介護（ホームヘルプ）02"/>
                    <pic:cNvPicPr>
                      <a:picLocks noChangeAspect="1" noChangeArrowheads="1"/>
                    </pic:cNvPicPr>
                  </pic:nvPicPr>
                  <pic:blipFill>
                    <a:blip r:embed="rId17"/>
                    <a:srcRect b="8401"/>
                    <a:stretch>
                      <a:fillRect/>
                    </a:stretch>
                  </pic:blipFill>
                  <pic:spPr>
                    <a:xfrm>
                      <a:off x="0" y="0"/>
                      <a:ext cx="5938520" cy="2232025"/>
                    </a:xfrm>
                    <a:prstGeom prst="rect">
                      <a:avLst/>
                    </a:prstGeom>
                    <a:noFill/>
                    <a:ln>
                      <a:noFill/>
                    </a:ln>
                  </pic:spPr>
                </pic:pic>
              </a:graphicData>
            </a:graphic>
          </wp:anchor>
        </w:drawing>
      </w:r>
    </w:p>
    <w:p>
      <w:pPr>
        <w:pStyle w:val="0"/>
        <w:ind w:left="438" w:firstLine="209"/>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default"/>
        </w:rPr>
        <w:br w:type="page"/>
      </w:r>
    </w:p>
    <w:p>
      <w:pPr>
        <w:pStyle w:val="246"/>
        <w:ind w:left="672"/>
        <w:rPr>
          <w:rFonts w:hint="default"/>
        </w:rPr>
      </w:pPr>
      <w:bookmarkEnd w:id="204"/>
      <w:bookmarkEnd w:id="205"/>
      <w:bookmarkEnd w:id="206"/>
      <w:r>
        <w:rPr>
          <w:rFonts w:hint="eastAsia"/>
        </w:rPr>
        <w:t>ｲ</w:t>
      </w:r>
      <w:r>
        <w:rPr>
          <w:rFonts w:hint="eastAsia"/>
        </w:rPr>
        <w:t>)</w:t>
      </w:r>
      <w:r>
        <w:rPr>
          <w:rFonts w:hint="eastAsia"/>
        </w:rPr>
        <w:t>重度訪問介護</w:t>
      </w:r>
    </w:p>
    <w:p>
      <w:pPr>
        <w:pStyle w:val="251"/>
        <w:spacing w:line="240" w:lineRule="auto"/>
        <w:ind w:left="897" w:leftChars="400" w:firstLine="214"/>
        <w:rPr>
          <w:rFonts w:hint="default"/>
          <w:spacing w:val="0"/>
        </w:rPr>
      </w:pPr>
      <w:bookmarkStart w:id="208" w:name="_Toc314505300"/>
      <w:bookmarkStart w:id="209" w:name="_Toc314578849"/>
      <w:r>
        <w:rPr>
          <w:rFonts w:hint="eastAsia"/>
          <w:spacing w:val="0"/>
        </w:rPr>
        <w:t>常時介護を必要とする重度障がいの肢体不自由者に対して、居宅における入浴・排せつ・食事などの介護に加え、外出時における移動支援等を総合的に行います。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default"/>
          <w:spacing w:val="0"/>
        </w:rPr>
        <w:t>令和５年度実績見込の利用者数が今後も利用するとして利用者数と利用量は同数を見込</w:t>
      </w:r>
      <w:r>
        <w:rPr>
          <w:rFonts w:hint="eastAsia"/>
          <w:spacing w:val="0"/>
        </w:rPr>
        <w:t>み</w:t>
      </w:r>
      <w:r>
        <w:rPr>
          <w:rFonts w:hint="default"/>
          <w:spacing w:val="0"/>
        </w:rPr>
        <w:t>ます。</w:t>
      </w:r>
    </w:p>
    <w:p>
      <w:pPr>
        <w:pStyle w:val="0"/>
        <w:spacing w:line="0" w:lineRule="atLeast"/>
        <w:ind w:left="438" w:firstLine="159"/>
        <w:rPr>
          <w:rFonts w:hint="default"/>
          <w:sz w:val="16"/>
        </w:rPr>
      </w:pPr>
      <w:bookmarkStart w:id="210" w:name="_Toc318449543"/>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11" w:name="重度訪問介護"/>
            <w:r>
              <w:rPr>
                <w:rFonts w:hint="eastAsia"/>
              </w:rPr>
              <w:t>利用者数</w:t>
            </w:r>
            <w:bookmarkEnd w:id="211"/>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4</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46</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46</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46</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710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710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710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323</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337</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710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277</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291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664</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r>
        <w:rPr>
          <w:rFonts w:hint="default"/>
        </w:rPr>
        <w:drawing>
          <wp:anchor distT="0" distB="0" distL="114300" distR="114300" simplePos="0" relativeHeight="73" behindDoc="0" locked="0" layoutInCell="1" hidden="0" allowOverlap="1">
            <wp:simplePos x="0" y="0"/>
            <wp:positionH relativeFrom="column">
              <wp:posOffset>266700</wp:posOffset>
            </wp:positionH>
            <wp:positionV relativeFrom="paragraph">
              <wp:posOffset>81280</wp:posOffset>
            </wp:positionV>
            <wp:extent cx="5938520" cy="2232025"/>
            <wp:effectExtent l="0" t="0" r="0" b="0"/>
            <wp:wrapNone/>
            <wp:docPr id="1242" name="重度訪問介護01"/>
            <a:graphic xmlns:a="http://schemas.openxmlformats.org/drawingml/2006/main">
              <a:graphicData uri="http://schemas.openxmlformats.org/drawingml/2006/picture">
                <pic:pic xmlns:pic="http://schemas.openxmlformats.org/drawingml/2006/picture">
                  <pic:nvPicPr>
                    <pic:cNvPr id="1242" name="重度訪問介護01"/>
                    <pic:cNvPicPr>
                      <a:picLocks noChangeAspect="1" noChangeArrowheads="1"/>
                    </pic:cNvPicPr>
                  </pic:nvPicPr>
                  <pic:blipFill>
                    <a:blip r:embed="rId18"/>
                    <a:srcRect b="8401"/>
                    <a:stretch>
                      <a:fillRect/>
                    </a:stretch>
                  </pic:blipFill>
                  <pic:spPr>
                    <a:xfrm>
                      <a:off x="0" y="0"/>
                      <a:ext cx="5938520" cy="2232025"/>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r>
        <w:rPr>
          <w:rFonts w:hint="default"/>
        </w:rPr>
        <w:drawing>
          <wp:anchor distT="0" distB="0" distL="114300" distR="114300" simplePos="0" relativeHeight="72" behindDoc="0" locked="0" layoutInCell="1" hidden="0" allowOverlap="1">
            <wp:simplePos x="0" y="0"/>
            <wp:positionH relativeFrom="column">
              <wp:posOffset>272415</wp:posOffset>
            </wp:positionH>
            <wp:positionV relativeFrom="paragraph">
              <wp:posOffset>179705</wp:posOffset>
            </wp:positionV>
            <wp:extent cx="5938520" cy="2232025"/>
            <wp:effectExtent l="0" t="0" r="0" b="0"/>
            <wp:wrapNone/>
            <wp:docPr id="1243" name="重度訪問介護02"/>
            <a:graphic xmlns:a="http://schemas.openxmlformats.org/drawingml/2006/main">
              <a:graphicData uri="http://schemas.openxmlformats.org/drawingml/2006/picture">
                <pic:pic xmlns:pic="http://schemas.openxmlformats.org/drawingml/2006/picture">
                  <pic:nvPicPr>
                    <pic:cNvPr id="1243" name="重度訪問介護02"/>
                    <pic:cNvPicPr>
                      <a:picLocks noChangeAspect="1" noChangeArrowheads="1"/>
                    </pic:cNvPicPr>
                  </pic:nvPicPr>
                  <pic:blipFill>
                    <a:blip r:embed="rId19"/>
                    <a:srcRect b="8401"/>
                    <a:stretch>
                      <a:fillRect/>
                    </a:stretch>
                  </pic:blipFill>
                  <pic:spPr>
                    <a:xfrm>
                      <a:off x="0" y="0"/>
                      <a:ext cx="5938520" cy="2232025"/>
                    </a:xfrm>
                    <a:prstGeom prst="rect">
                      <a:avLst/>
                    </a:prstGeom>
                    <a:noFill/>
                    <a:ln>
                      <a:noFill/>
                    </a:ln>
                  </pic:spPr>
                </pic:pic>
              </a:graphicData>
            </a:graphic>
          </wp:anchor>
        </w:drawing>
      </w:r>
    </w:p>
    <w:p>
      <w:pPr>
        <w:pStyle w:val="0"/>
        <w:ind w:left="438" w:firstLine="209"/>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246"/>
        <w:ind w:left="672"/>
        <w:rPr>
          <w:rFonts w:hint="default"/>
        </w:rPr>
      </w:pPr>
      <w:r>
        <w:rPr>
          <w:rFonts w:hint="default"/>
        </w:rPr>
        <w:br w:type="page"/>
      </w:r>
      <w:r>
        <w:rPr>
          <w:rFonts w:hint="eastAsia"/>
        </w:rPr>
        <w:t>ｳ</w:t>
      </w:r>
      <w:r>
        <w:rPr>
          <w:rFonts w:hint="eastAsia"/>
        </w:rPr>
        <w:t>)</w:t>
      </w:r>
      <w:r>
        <w:rPr>
          <w:rFonts w:hint="eastAsia"/>
        </w:rPr>
        <w:t>行動援護</w:t>
      </w:r>
      <w:bookmarkEnd w:id="208"/>
      <w:bookmarkEnd w:id="209"/>
      <w:bookmarkEnd w:id="210"/>
    </w:p>
    <w:p>
      <w:pPr>
        <w:pStyle w:val="251"/>
        <w:spacing w:line="240" w:lineRule="auto"/>
        <w:ind w:left="897" w:leftChars="400" w:firstLine="214"/>
        <w:rPr>
          <w:rFonts w:hint="default"/>
          <w:spacing w:val="0"/>
        </w:rPr>
      </w:pPr>
      <w:bookmarkStart w:id="212" w:name="_Toc314505301"/>
      <w:bookmarkStart w:id="213" w:name="_Toc314578850"/>
      <w:r>
        <w:rPr>
          <w:rFonts w:hint="eastAsia"/>
          <w:spacing w:val="0"/>
        </w:rPr>
        <w:t>知的障がいや精神障がい等により自己判断能力が制限されている方が行動する際に生じうる危険を回避するために必要な援護、外出支援を行います。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default"/>
          <w:spacing w:val="0"/>
        </w:rPr>
        <w:t>令和２年度～令和４年度実績と令和５年度実績見込みより、利用者数については一定数の利用者数を見込</w:t>
      </w:r>
      <w:r>
        <w:rPr>
          <w:rFonts w:hint="eastAsia"/>
          <w:spacing w:val="0"/>
        </w:rPr>
        <w:t>み</w:t>
      </w:r>
      <w:r>
        <w:rPr>
          <w:rFonts w:hint="default"/>
          <w:spacing w:val="0"/>
        </w:rPr>
        <w:t>ます。利用量については増加傾向にあると考え令和５年度見込の利用量を各年度見込</w:t>
      </w:r>
      <w:r>
        <w:rPr>
          <w:rFonts w:hint="eastAsia"/>
          <w:spacing w:val="0"/>
        </w:rPr>
        <w:t>み</w:t>
      </w:r>
      <w:r>
        <w:rPr>
          <w:rFonts w:hint="default"/>
          <w:spacing w:val="0"/>
        </w:rPr>
        <w:t>ます。</w:t>
      </w:r>
    </w:p>
    <w:p>
      <w:pPr>
        <w:pStyle w:val="0"/>
        <w:spacing w:line="0" w:lineRule="atLeast"/>
        <w:ind w:left="438" w:firstLine="159"/>
        <w:rPr>
          <w:rFonts w:hint="default"/>
          <w:sz w:val="16"/>
        </w:rPr>
      </w:pPr>
      <w:bookmarkStart w:id="214" w:name="_Toc318449544"/>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15" w:name="行動援護"/>
            <w:r>
              <w:rPr>
                <w:rFonts w:hint="eastAsia"/>
              </w:rPr>
              <w:t>利用者数</w:t>
            </w:r>
            <w:bookmarkEnd w:id="215"/>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10</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17</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15</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7</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21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71" behindDoc="0" locked="0" layoutInCell="1" hidden="0" allowOverlap="1">
            <wp:simplePos x="0" y="0"/>
            <wp:positionH relativeFrom="column">
              <wp:posOffset>219075</wp:posOffset>
            </wp:positionH>
            <wp:positionV relativeFrom="paragraph">
              <wp:posOffset>119380</wp:posOffset>
            </wp:positionV>
            <wp:extent cx="5938520" cy="2232025"/>
            <wp:effectExtent l="0" t="0" r="0" b="0"/>
            <wp:wrapNone/>
            <wp:docPr id="1244" name="行動援護01"/>
            <a:graphic xmlns:a="http://schemas.openxmlformats.org/drawingml/2006/main">
              <a:graphicData uri="http://schemas.openxmlformats.org/drawingml/2006/picture">
                <pic:pic xmlns:pic="http://schemas.openxmlformats.org/drawingml/2006/picture">
                  <pic:nvPicPr>
                    <pic:cNvPr id="1244" name="行動援護01"/>
                    <pic:cNvPicPr>
                      <a:picLocks noChangeAspect="1" noChangeArrowheads="1"/>
                    </pic:cNvPicPr>
                  </pic:nvPicPr>
                  <pic:blipFill>
                    <a:blip r:embed="rId20"/>
                    <a:srcRect b="8401"/>
                    <a:stretch>
                      <a:fillRect/>
                    </a:stretch>
                  </pic:blipFill>
                  <pic:spPr>
                    <a:xfrm>
                      <a:off x="0" y="0"/>
                      <a:ext cx="5938520" cy="2232025"/>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r>
        <w:rPr>
          <w:rFonts w:hint="default"/>
        </w:rPr>
        <w:drawing>
          <wp:anchor distT="0" distB="0" distL="114300" distR="114300" simplePos="0" relativeHeight="70" behindDoc="0" locked="0" layoutInCell="1" hidden="0" allowOverlap="1">
            <wp:simplePos x="0" y="0"/>
            <wp:positionH relativeFrom="column">
              <wp:posOffset>224790</wp:posOffset>
            </wp:positionH>
            <wp:positionV relativeFrom="paragraph">
              <wp:posOffset>198755</wp:posOffset>
            </wp:positionV>
            <wp:extent cx="5938520" cy="2232025"/>
            <wp:effectExtent l="0" t="0" r="0" b="0"/>
            <wp:wrapNone/>
            <wp:docPr id="1245" name="行動援護02"/>
            <a:graphic xmlns:a="http://schemas.openxmlformats.org/drawingml/2006/main">
              <a:graphicData uri="http://schemas.openxmlformats.org/drawingml/2006/picture">
                <pic:pic xmlns:pic="http://schemas.openxmlformats.org/drawingml/2006/picture">
                  <pic:nvPicPr>
                    <pic:cNvPr id="1245" name="行動援護02"/>
                    <pic:cNvPicPr>
                      <a:picLocks noChangeAspect="1" noChangeArrowheads="1"/>
                    </pic:cNvPicPr>
                  </pic:nvPicPr>
                  <pic:blipFill>
                    <a:blip r:embed="rId21"/>
                    <a:srcRect b="8401"/>
                    <a:stretch>
                      <a:fillRect/>
                    </a:stretch>
                  </pic:blipFill>
                  <pic:spPr>
                    <a:xfrm>
                      <a:off x="0" y="0"/>
                      <a:ext cx="5938520" cy="2232025"/>
                    </a:xfrm>
                    <a:prstGeom prst="rect">
                      <a:avLst/>
                    </a:prstGeom>
                    <a:noFill/>
                    <a:ln>
                      <a:noFill/>
                    </a:ln>
                  </pic:spPr>
                </pic:pic>
              </a:graphicData>
            </a:graphic>
          </wp:anchor>
        </w:drawing>
      </w:r>
    </w:p>
    <w:p>
      <w:pPr>
        <w:pStyle w:val="0"/>
        <w:ind w:left="438" w:firstLine="209"/>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rPr>
          <w:rFonts w:hint="default"/>
          <w:spacing w:val="-2"/>
          <w:sz w:val="21"/>
        </w:rPr>
      </w:pPr>
      <w:r>
        <w:rPr>
          <w:rFonts w:hint="default"/>
        </w:rPr>
        <w:br w:type="page"/>
      </w:r>
    </w:p>
    <w:p>
      <w:pPr>
        <w:pStyle w:val="246"/>
        <w:ind w:left="672"/>
        <w:rPr>
          <w:rFonts w:hint="default"/>
        </w:rPr>
      </w:pPr>
      <w:r>
        <w:rPr>
          <w:rFonts w:hint="eastAsia"/>
        </w:rPr>
        <w:t>ｴ</w:t>
      </w:r>
      <w:r>
        <w:rPr>
          <w:rFonts w:hint="eastAsia"/>
        </w:rPr>
        <w:t>)</w:t>
      </w:r>
      <w:r>
        <w:rPr>
          <w:rFonts w:hint="eastAsia"/>
        </w:rPr>
        <w:t>同行援護</w:t>
      </w:r>
      <w:bookmarkEnd w:id="212"/>
      <w:bookmarkEnd w:id="213"/>
      <w:bookmarkEnd w:id="214"/>
    </w:p>
    <w:p>
      <w:pPr>
        <w:pStyle w:val="251"/>
        <w:spacing w:line="240" w:lineRule="auto"/>
        <w:ind w:left="897" w:leftChars="400" w:firstLine="214"/>
        <w:rPr>
          <w:rFonts w:hint="default"/>
          <w:spacing w:val="0"/>
        </w:rPr>
      </w:pPr>
      <w:bookmarkStart w:id="216" w:name="_Toc314505302"/>
      <w:bookmarkStart w:id="217" w:name="_Toc314578851"/>
      <w:r>
        <w:rPr>
          <w:rFonts w:hint="eastAsia"/>
          <w:spacing w:val="0"/>
        </w:rPr>
        <w:t>視覚障がいにより移動に著しい困難を有する障がい者等の外出時に同行し、移動の援護を行います。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default"/>
          <w:spacing w:val="0"/>
        </w:rPr>
        <w:t>令和２年度～令和４年度実績と令和５年度実績見込より利用者数は年々増加傾向になっています。利用者数は毎年度</w:t>
      </w:r>
      <w:r>
        <w:rPr>
          <w:rFonts w:hint="eastAsia"/>
          <w:spacing w:val="0"/>
        </w:rPr>
        <w:t>２</w:t>
      </w:r>
      <w:r>
        <w:rPr>
          <w:rFonts w:hint="default"/>
          <w:spacing w:val="0"/>
        </w:rPr>
        <w:t>人増加すると見込</w:t>
      </w:r>
      <w:r>
        <w:rPr>
          <w:rFonts w:hint="eastAsia"/>
          <w:spacing w:val="0"/>
        </w:rPr>
        <w:t>み</w:t>
      </w:r>
      <w:r>
        <w:rPr>
          <w:rFonts w:hint="default"/>
          <w:spacing w:val="0"/>
        </w:rPr>
        <w:t>、利用量は一人当たり</w:t>
      </w:r>
      <w:r>
        <w:rPr>
          <w:rFonts w:hint="default"/>
          <w:spacing w:val="0"/>
        </w:rPr>
        <w:t>26</w:t>
      </w:r>
      <w:r>
        <w:rPr>
          <w:rFonts w:hint="default"/>
          <w:spacing w:val="0"/>
        </w:rPr>
        <w:t>時間と見込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18" w:name="同行援護"/>
            <w:r>
              <w:rPr>
                <w:rFonts w:hint="eastAsia"/>
              </w:rPr>
              <w:t>利用者数</w:t>
            </w:r>
            <w:bookmarkEnd w:id="218"/>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23</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27</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29</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23</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25</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25</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267</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279</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292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702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754</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806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576</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644</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652</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309</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365</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360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69" behindDoc="0" locked="0" layoutInCell="1" hidden="0" allowOverlap="1">
            <wp:simplePos x="0" y="0"/>
            <wp:positionH relativeFrom="column">
              <wp:posOffset>209550</wp:posOffset>
            </wp:positionH>
            <wp:positionV relativeFrom="paragraph">
              <wp:posOffset>128905</wp:posOffset>
            </wp:positionV>
            <wp:extent cx="5938520" cy="2232025"/>
            <wp:effectExtent l="0" t="0" r="0" b="0"/>
            <wp:wrapNone/>
            <wp:docPr id="1246" name="同行援護01"/>
            <a:graphic xmlns:a="http://schemas.openxmlformats.org/drawingml/2006/main">
              <a:graphicData uri="http://schemas.openxmlformats.org/drawingml/2006/picture">
                <pic:pic xmlns:pic="http://schemas.openxmlformats.org/drawingml/2006/picture">
                  <pic:nvPicPr>
                    <pic:cNvPr id="1246" name="同行援護01"/>
                    <pic:cNvPicPr>
                      <a:picLocks noChangeAspect="1" noChangeArrowheads="1"/>
                    </pic:cNvPicPr>
                  </pic:nvPicPr>
                  <pic:blipFill>
                    <a:blip r:embed="rId22"/>
                    <a:srcRect b="8401"/>
                    <a:stretch>
                      <a:fillRect/>
                    </a:stretch>
                  </pic:blipFill>
                  <pic:spPr>
                    <a:xfrm>
                      <a:off x="0" y="0"/>
                      <a:ext cx="5938520" cy="2232025"/>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68" behindDoc="0" locked="0" layoutInCell="1" hidden="0" allowOverlap="1">
            <wp:simplePos x="0" y="0"/>
            <wp:positionH relativeFrom="column">
              <wp:posOffset>215265</wp:posOffset>
            </wp:positionH>
            <wp:positionV relativeFrom="paragraph">
              <wp:posOffset>33655</wp:posOffset>
            </wp:positionV>
            <wp:extent cx="5938520" cy="2232025"/>
            <wp:effectExtent l="0" t="0" r="0" b="0"/>
            <wp:wrapNone/>
            <wp:docPr id="1247" name="同行援護02"/>
            <a:graphic xmlns:a="http://schemas.openxmlformats.org/drawingml/2006/main">
              <a:graphicData uri="http://schemas.openxmlformats.org/drawingml/2006/picture">
                <pic:pic xmlns:pic="http://schemas.openxmlformats.org/drawingml/2006/picture">
                  <pic:nvPicPr>
                    <pic:cNvPr id="1247" name="同行援護02"/>
                    <pic:cNvPicPr>
                      <a:picLocks noChangeAspect="1" noChangeArrowheads="1"/>
                    </pic:cNvPicPr>
                  </pic:nvPicPr>
                  <pic:blipFill>
                    <a:blip r:embed="rId23"/>
                    <a:srcRect b="8401"/>
                    <a:stretch>
                      <a:fillRect/>
                    </a:stretch>
                  </pic:blipFill>
                  <pic:spPr>
                    <a:xfrm>
                      <a:off x="0" y="0"/>
                      <a:ext cx="5938520" cy="2232025"/>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246"/>
        <w:ind w:left="672"/>
        <w:rPr>
          <w:rFonts w:hint="default"/>
        </w:rPr>
      </w:pPr>
      <w:r>
        <w:rPr>
          <w:rFonts w:hint="default"/>
        </w:rPr>
        <w:br w:type="page"/>
      </w:r>
      <w:r>
        <w:rPr>
          <w:rFonts w:hint="eastAsia"/>
        </w:rPr>
        <w:t>ｵ</w:t>
      </w:r>
      <w:r>
        <w:rPr>
          <w:rFonts w:hint="eastAsia"/>
        </w:rPr>
        <w:t>)</w:t>
      </w:r>
      <w:r>
        <w:rPr>
          <w:rFonts w:hint="eastAsia"/>
        </w:rPr>
        <w:t>重度障害者等包括支援</w:t>
      </w:r>
    </w:p>
    <w:p>
      <w:pPr>
        <w:pStyle w:val="251"/>
        <w:spacing w:line="240" w:lineRule="auto"/>
        <w:ind w:left="897" w:leftChars="400" w:firstLine="214"/>
        <w:rPr>
          <w:rFonts w:hint="default"/>
          <w:spacing w:val="0"/>
        </w:rPr>
      </w:pPr>
      <w:r>
        <w:rPr>
          <w:rFonts w:hint="eastAsia"/>
          <w:spacing w:val="0"/>
        </w:rPr>
        <w:t>常時介護を必要とする重度障がい者に対し、居宅介護をはじめとする複数のサービスを包括的に行います。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eastAsia"/>
          <w:spacing w:val="0"/>
        </w:rPr>
        <w:t>今後も利用の見込みはなしと判断しました。</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19" w:name="重度障害者等包括支援"/>
            <w:r>
              <w:rPr>
                <w:rFonts w:hint="eastAsia"/>
              </w:rPr>
              <w:t>利用者数</w:t>
            </w:r>
            <w:bookmarkEnd w:id="219"/>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0</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0</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時間</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5"/>
        <w:rPr>
          <w:rFonts w:hint="default" w:ascii="ＭＳ ゴシック" w:hAnsi="ＭＳ ゴシック" w:eastAsia="ＭＳ ゴシック"/>
        </w:rPr>
      </w:pPr>
    </w:p>
    <w:p>
      <w:pPr>
        <w:pStyle w:val="251"/>
        <w:ind w:left="448" w:firstLine="210"/>
        <w:rPr>
          <w:rFonts w:hint="default" w:ascii="ＭＳ ゴシック" w:hAnsi="ＭＳ ゴシック" w:eastAsia="ＭＳ ゴシック"/>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43"/>
        <w:ind w:left="784" w:hanging="336"/>
        <w:rPr>
          <w:rFonts w:hint="default"/>
        </w:rPr>
      </w:pPr>
      <w:bookmarkEnd w:id="216"/>
      <w:bookmarkEnd w:id="217"/>
      <w:r>
        <w:rPr>
          <w:rFonts w:hint="default"/>
        </w:rPr>
        <w:br w:type="page"/>
      </w:r>
      <w:bookmarkStart w:id="220" w:name="_Toc314505303"/>
      <w:bookmarkStart w:id="221" w:name="_Toc314578852"/>
      <w:bookmarkStart w:id="222" w:name="_Toc318449546"/>
      <w:bookmarkStart w:id="223" w:name="_Toc59549971"/>
      <w:r>
        <w:rPr>
          <w:rFonts w:hint="eastAsia"/>
        </w:rPr>
        <w:t>②日中活動系サービス</w:t>
      </w:r>
      <w:bookmarkEnd w:id="220"/>
      <w:bookmarkEnd w:id="221"/>
      <w:bookmarkEnd w:id="222"/>
      <w:bookmarkEnd w:id="223"/>
    </w:p>
    <w:p>
      <w:pPr>
        <w:pStyle w:val="246"/>
        <w:ind w:left="672"/>
        <w:rPr>
          <w:rFonts w:hint="default"/>
        </w:rPr>
      </w:pPr>
      <w:bookmarkStart w:id="224" w:name="_Toc314505304"/>
      <w:bookmarkStart w:id="225" w:name="_Toc314578853"/>
      <w:bookmarkStart w:id="226" w:name="_Toc318449547"/>
      <w:r>
        <w:rPr>
          <w:rFonts w:hint="eastAsia"/>
        </w:rPr>
        <w:t>ｱ</w:t>
      </w:r>
      <w:r>
        <w:rPr>
          <w:rFonts w:hint="eastAsia"/>
        </w:rPr>
        <w:t>)</w:t>
      </w:r>
      <w:r>
        <w:rPr>
          <w:rFonts w:hint="eastAsia"/>
        </w:rPr>
        <w:t>生活介護</w:t>
      </w:r>
      <w:bookmarkEnd w:id="224"/>
      <w:bookmarkEnd w:id="225"/>
      <w:bookmarkEnd w:id="226"/>
    </w:p>
    <w:p>
      <w:pPr>
        <w:pStyle w:val="251"/>
        <w:spacing w:line="240" w:lineRule="auto"/>
        <w:ind w:left="897" w:leftChars="400" w:firstLine="214"/>
        <w:rPr>
          <w:rFonts w:hint="default"/>
          <w:spacing w:val="0"/>
        </w:rPr>
      </w:pPr>
      <w:bookmarkStart w:id="227" w:name="_Toc314505305"/>
      <w:bookmarkStart w:id="228" w:name="_Toc314578854"/>
      <w:r>
        <w:rPr>
          <w:rFonts w:hint="eastAsia"/>
          <w:spacing w:val="0"/>
        </w:rPr>
        <w:t>常時介護が必要な障がい者に対して、昼間、施設において、入浴・排せつ・食事等の介護を行うとともに、創作活動や生産活動の機会を提供します。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default"/>
          <w:spacing w:val="0"/>
        </w:rPr>
        <w:t>令和２年度～令和４年度実績より利用者数は多少の増減はあるものの一定数の利用が見込まれます。利用量については</w:t>
      </w:r>
      <w:r>
        <w:rPr>
          <w:rFonts w:hint="eastAsia"/>
          <w:spacing w:val="0"/>
        </w:rPr>
        <w:t>、</w:t>
      </w:r>
      <w:r>
        <w:rPr>
          <w:rFonts w:hint="default"/>
          <w:spacing w:val="0"/>
        </w:rPr>
        <w:t>令和５年度の実績見込の数値を見込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29" w:name="生活介護"/>
            <w:r>
              <w:rPr>
                <w:rFonts w:hint="eastAsia"/>
              </w:rPr>
              <w:t>利用者数</w:t>
            </w:r>
            <w:bookmarkEnd w:id="229"/>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98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100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102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99</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99</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99</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100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96</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99</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4</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3</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2,058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2,100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2,142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2,015</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2,015</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2,015</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1,990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1,932</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2,015</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68</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r>
              <w:rPr>
                <w:rFonts w:hint="default"/>
              </w:rPr>
              <w:t>168</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r>
              <w:rPr>
                <w:rFonts w:hint="default"/>
              </w:rPr>
              <w:t>127</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67" behindDoc="0" locked="0" layoutInCell="1" hidden="0" allowOverlap="1">
            <wp:simplePos x="0" y="0"/>
            <wp:positionH relativeFrom="column">
              <wp:posOffset>222250</wp:posOffset>
            </wp:positionH>
            <wp:positionV relativeFrom="paragraph">
              <wp:posOffset>99060</wp:posOffset>
            </wp:positionV>
            <wp:extent cx="5938520" cy="2231390"/>
            <wp:effectExtent l="0" t="0" r="0" b="0"/>
            <wp:wrapNone/>
            <wp:docPr id="1248" name="生活介護01"/>
            <a:graphic xmlns:a="http://schemas.openxmlformats.org/drawingml/2006/main">
              <a:graphicData uri="http://schemas.openxmlformats.org/drawingml/2006/picture">
                <pic:pic xmlns:pic="http://schemas.openxmlformats.org/drawingml/2006/picture">
                  <pic:nvPicPr>
                    <pic:cNvPr id="1248" name="生活介護01"/>
                    <pic:cNvPicPr>
                      <a:picLocks noChangeAspect="1" noChangeArrowheads="1"/>
                    </pic:cNvPicPr>
                  </pic:nvPicPr>
                  <pic:blipFill>
                    <a:blip r:embed="rId24"/>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9"/>
        <w:rPr>
          <w:rFonts w:hint="default"/>
        </w:rPr>
      </w:pPr>
      <w:r>
        <w:rPr>
          <w:rFonts w:hint="default"/>
        </w:rPr>
        <w:drawing>
          <wp:anchor distT="0" distB="0" distL="114300" distR="114300" simplePos="0" relativeHeight="66" behindDoc="0" locked="0" layoutInCell="1" hidden="0" allowOverlap="1">
            <wp:simplePos x="0" y="0"/>
            <wp:positionH relativeFrom="column">
              <wp:posOffset>218440</wp:posOffset>
            </wp:positionH>
            <wp:positionV relativeFrom="paragraph">
              <wp:posOffset>41910</wp:posOffset>
            </wp:positionV>
            <wp:extent cx="5938520" cy="2231390"/>
            <wp:effectExtent l="0" t="0" r="0" b="0"/>
            <wp:wrapNone/>
            <wp:docPr id="1249" name="生活介護02"/>
            <a:graphic xmlns:a="http://schemas.openxmlformats.org/drawingml/2006/main">
              <a:graphicData uri="http://schemas.openxmlformats.org/drawingml/2006/picture">
                <pic:pic xmlns:pic="http://schemas.openxmlformats.org/drawingml/2006/picture">
                  <pic:nvPicPr>
                    <pic:cNvPr id="1249" name="生活介護02"/>
                    <pic:cNvPicPr>
                      <a:picLocks noChangeAspect="1" noChangeArrowheads="1"/>
                    </pic:cNvPicPr>
                  </pic:nvPicPr>
                  <pic:blipFill>
                    <a:blip r:embed="rId25"/>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246"/>
        <w:ind w:left="672"/>
        <w:rPr>
          <w:rFonts w:hint="default"/>
        </w:rPr>
      </w:pPr>
      <w:r>
        <w:rPr>
          <w:rFonts w:hint="default"/>
        </w:rPr>
        <w:br w:type="page"/>
      </w:r>
      <w:r>
        <w:rPr>
          <w:rFonts w:hint="eastAsia"/>
        </w:rPr>
        <w:t>ｲ</w:t>
      </w:r>
      <w:r>
        <w:rPr>
          <w:rFonts w:hint="eastAsia"/>
        </w:rPr>
        <w:t>)-1</w:t>
      </w:r>
      <w:r>
        <w:rPr>
          <w:rFonts w:hint="default"/>
        </w:rPr>
        <w:t xml:space="preserve"> </w:t>
      </w:r>
      <w:r>
        <w:rPr>
          <w:rFonts w:hint="eastAsia"/>
        </w:rPr>
        <w:t>自立訓練（機能訓練）</w:t>
      </w:r>
    </w:p>
    <w:p>
      <w:pPr>
        <w:pStyle w:val="251"/>
        <w:spacing w:line="240" w:lineRule="auto"/>
        <w:ind w:left="897" w:leftChars="400" w:firstLine="214"/>
        <w:rPr>
          <w:rFonts w:hint="default"/>
          <w:spacing w:val="0"/>
        </w:rPr>
      </w:pPr>
      <w:r>
        <w:rPr>
          <w:rFonts w:hint="eastAsia"/>
          <w:spacing w:val="0"/>
        </w:rPr>
        <w:t>地域において自立した生活が送れるよう、理学療法や作業療法等の身体機能のリハビリテーション、歩行訓練、コミュニケーションや家事等の訓練を行います。利用者数が少ないこともあり、利用は年度によって増減があり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default"/>
          <w:spacing w:val="0"/>
        </w:rPr>
        <w:t>令和２年度～令和４年度実績と令和５年度実績見込に変動があるため、令和５年度実績見込の利用者数と利用量を見込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30" w:name="自立訓練（機能訓練）"/>
            <w:r>
              <w:rPr>
                <w:rFonts w:hint="eastAsia"/>
              </w:rPr>
              <w:t>利用者数</w:t>
            </w:r>
            <w:bookmarkEnd w:id="230"/>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24</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24</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24</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23</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23</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23</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33</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23</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24</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9</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r>
              <w:rPr>
                <w:rFonts w:hint="default"/>
              </w:rPr>
              <w:t>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65" behindDoc="0" locked="0" layoutInCell="1" hidden="0" allowOverlap="1">
            <wp:simplePos x="0" y="0"/>
            <wp:positionH relativeFrom="column">
              <wp:posOffset>218440</wp:posOffset>
            </wp:positionH>
            <wp:positionV relativeFrom="paragraph">
              <wp:posOffset>46355</wp:posOffset>
            </wp:positionV>
            <wp:extent cx="5938520" cy="2231390"/>
            <wp:effectExtent l="0" t="0" r="0" b="0"/>
            <wp:wrapNone/>
            <wp:docPr id="1250" name="自立訓練（機能訓練）01"/>
            <a:graphic xmlns:a="http://schemas.openxmlformats.org/drawingml/2006/main">
              <a:graphicData uri="http://schemas.openxmlformats.org/drawingml/2006/picture">
                <pic:pic xmlns:pic="http://schemas.openxmlformats.org/drawingml/2006/picture">
                  <pic:nvPicPr>
                    <pic:cNvPr id="1250" name="自立訓練（機能訓練）01"/>
                    <pic:cNvPicPr>
                      <a:picLocks noChangeAspect="1" noChangeArrowheads="1"/>
                    </pic:cNvPicPr>
                  </pic:nvPicPr>
                  <pic:blipFill>
                    <a:blip r:embed="rId26"/>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r>
        <w:rPr>
          <w:rFonts w:hint="default"/>
        </w:rPr>
        <w:drawing>
          <wp:anchor distT="0" distB="0" distL="114300" distR="114300" simplePos="0" relativeHeight="64" behindDoc="0" locked="0" layoutInCell="1" hidden="0" allowOverlap="1">
            <wp:simplePos x="0" y="0"/>
            <wp:positionH relativeFrom="column">
              <wp:posOffset>218440</wp:posOffset>
            </wp:positionH>
            <wp:positionV relativeFrom="paragraph">
              <wp:posOffset>132080</wp:posOffset>
            </wp:positionV>
            <wp:extent cx="5938520" cy="2231390"/>
            <wp:effectExtent l="0" t="0" r="0" b="0"/>
            <wp:wrapNone/>
            <wp:docPr id="1251" name="自立訓練（機能訓練）02"/>
            <a:graphic xmlns:a="http://schemas.openxmlformats.org/drawingml/2006/main">
              <a:graphicData uri="http://schemas.openxmlformats.org/drawingml/2006/picture">
                <pic:pic xmlns:pic="http://schemas.openxmlformats.org/drawingml/2006/picture">
                  <pic:nvPicPr>
                    <pic:cNvPr id="1251" name="自立訓練（機能訓練）02"/>
                    <pic:cNvPicPr>
                      <a:picLocks noChangeAspect="1" noChangeArrowheads="1"/>
                    </pic:cNvPicPr>
                  </pic:nvPicPr>
                  <pic:blipFill>
                    <a:blip r:embed="rId27"/>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9"/>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251"/>
        <w:ind w:left="448" w:firstLine="210"/>
        <w:rPr>
          <w:rFonts w:hint="default" w:ascii="ＭＳ ゴシック" w:hAnsi="ＭＳ ゴシック" w:eastAsia="ＭＳ ゴシック"/>
        </w:rPr>
      </w:pPr>
    </w:p>
    <w:p>
      <w:pPr>
        <w:pStyle w:val="251"/>
        <w:ind w:left="448" w:firstLine="210"/>
        <w:rPr>
          <w:rFonts w:hint="default" w:ascii="ＭＳ ゴシック" w:hAnsi="ＭＳ ゴシック" w:eastAsia="ＭＳ ゴシック"/>
        </w:rPr>
      </w:pPr>
    </w:p>
    <w:p>
      <w:pPr>
        <w:pStyle w:val="246"/>
        <w:ind w:left="672"/>
        <w:rPr>
          <w:rFonts w:hint="default"/>
        </w:rPr>
      </w:pPr>
      <w:bookmarkStart w:id="231" w:name="_Toc318449548"/>
      <w:r>
        <w:rPr>
          <w:rFonts w:hint="default"/>
        </w:rPr>
        <w:br w:type="page"/>
      </w:r>
      <w:r>
        <w:rPr>
          <w:rFonts w:hint="default"/>
        </w:rPr>
        <w:t>ｲ</w:t>
      </w:r>
      <w:r>
        <w:rPr>
          <w:rFonts w:hint="default"/>
        </w:rPr>
        <w:t>)</w:t>
      </w:r>
      <w:bookmarkEnd w:id="227"/>
      <w:bookmarkStart w:id="232" w:name="_Toc314505306"/>
      <w:bookmarkEnd w:id="228"/>
      <w:bookmarkStart w:id="233" w:name="_Toc314578855"/>
      <w:bookmarkEnd w:id="231"/>
      <w:bookmarkStart w:id="234" w:name="_Toc318449549"/>
      <w:r>
        <w:rPr>
          <w:rFonts w:hint="eastAsia"/>
        </w:rPr>
        <w:t>-2</w:t>
      </w:r>
      <w:r>
        <w:rPr>
          <w:rFonts w:hint="default"/>
        </w:rPr>
        <w:t xml:space="preserve"> </w:t>
      </w:r>
      <w:r>
        <w:rPr>
          <w:rFonts w:hint="eastAsia"/>
        </w:rPr>
        <w:t>自立訓練（生活訓練）</w:t>
      </w:r>
      <w:bookmarkEnd w:id="232"/>
      <w:bookmarkEnd w:id="233"/>
      <w:bookmarkEnd w:id="234"/>
    </w:p>
    <w:p>
      <w:pPr>
        <w:pStyle w:val="251"/>
        <w:spacing w:line="240" w:lineRule="auto"/>
        <w:ind w:left="897" w:leftChars="400" w:firstLine="214"/>
        <w:rPr>
          <w:rFonts w:hint="default"/>
          <w:spacing w:val="0"/>
        </w:rPr>
      </w:pPr>
      <w:bookmarkStart w:id="235" w:name="_Toc314505307"/>
      <w:bookmarkStart w:id="236" w:name="_Toc314578856"/>
      <w:r>
        <w:rPr>
          <w:rFonts w:hint="eastAsia"/>
          <w:spacing w:val="0"/>
        </w:rPr>
        <w:t>自立した地域生活を営むことができるよう、食事や家事等、日常生活能力を向上するための支援を行います。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default"/>
          <w:spacing w:val="0"/>
        </w:rPr>
        <w:t>令和２年度～令和４年度実績平均と令和５年度実績見込から判断して令和５年度実績見込の数値で見込みました。</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37" w:name="自立訓練（生活訓練）"/>
            <w:r>
              <w:rPr>
                <w:rFonts w:hint="eastAsia"/>
              </w:rPr>
              <w:t>利用者数</w:t>
            </w:r>
            <w:bookmarkEnd w:id="237"/>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5</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35</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35</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35</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61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61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61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48</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43</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61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13</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8</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26</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63" behindDoc="0" locked="0" layoutInCell="1" hidden="0" allowOverlap="1">
            <wp:simplePos x="0" y="0"/>
            <wp:positionH relativeFrom="column">
              <wp:posOffset>200025</wp:posOffset>
            </wp:positionH>
            <wp:positionV relativeFrom="paragraph">
              <wp:posOffset>114935</wp:posOffset>
            </wp:positionV>
            <wp:extent cx="5938520" cy="2231390"/>
            <wp:effectExtent l="0" t="0" r="0" b="0"/>
            <wp:wrapNone/>
            <wp:docPr id="1252" name="自立訓練（生活訓練）01"/>
            <a:graphic xmlns:a="http://schemas.openxmlformats.org/drawingml/2006/main">
              <a:graphicData uri="http://schemas.openxmlformats.org/drawingml/2006/picture">
                <pic:pic xmlns:pic="http://schemas.openxmlformats.org/drawingml/2006/picture">
                  <pic:nvPicPr>
                    <pic:cNvPr id="1252" name="自立訓練（生活訓練）01"/>
                    <pic:cNvPicPr>
                      <a:picLocks noChangeAspect="1" noChangeArrowheads="1"/>
                    </pic:cNvPicPr>
                  </pic:nvPicPr>
                  <pic:blipFill>
                    <a:blip r:embed="rId28"/>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9"/>
        <w:rPr>
          <w:rFonts w:hint="default"/>
        </w:rPr>
      </w:pPr>
      <w:r>
        <w:rPr>
          <w:rFonts w:hint="default"/>
        </w:rPr>
        <w:drawing>
          <wp:anchor distT="0" distB="0" distL="114300" distR="114300" simplePos="0" relativeHeight="62" behindDoc="0" locked="0" layoutInCell="1" hidden="0" allowOverlap="1">
            <wp:simplePos x="0" y="0"/>
            <wp:positionH relativeFrom="column">
              <wp:posOffset>205740</wp:posOffset>
            </wp:positionH>
            <wp:positionV relativeFrom="paragraph">
              <wp:posOffset>43815</wp:posOffset>
            </wp:positionV>
            <wp:extent cx="5938520" cy="2231390"/>
            <wp:effectExtent l="0" t="0" r="0" b="0"/>
            <wp:wrapNone/>
            <wp:docPr id="1253" name="自立訓練（生活訓練）02"/>
            <a:graphic xmlns:a="http://schemas.openxmlformats.org/drawingml/2006/main">
              <a:graphicData uri="http://schemas.openxmlformats.org/drawingml/2006/picture">
                <pic:pic xmlns:pic="http://schemas.openxmlformats.org/drawingml/2006/picture">
                  <pic:nvPicPr>
                    <pic:cNvPr id="1253" name="自立訓練（生活訓練）02"/>
                    <pic:cNvPicPr>
                      <a:picLocks noChangeAspect="1" noChangeArrowheads="1"/>
                    </pic:cNvPicPr>
                  </pic:nvPicPr>
                  <pic:blipFill>
                    <a:blip r:embed="rId29"/>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246"/>
        <w:ind w:left="672"/>
        <w:rPr>
          <w:rFonts w:hint="default"/>
        </w:rPr>
      </w:pPr>
      <w:r>
        <w:rPr>
          <w:rFonts w:hint="default"/>
        </w:rPr>
        <w:br w:type="page"/>
      </w:r>
      <w:bookmarkStart w:id="238" w:name="_Toc318449550"/>
      <w:r>
        <w:rPr>
          <w:rFonts w:hint="eastAsia"/>
        </w:rPr>
        <w:t>ｳ</w:t>
      </w:r>
      <w:r>
        <w:rPr>
          <w:rFonts w:hint="eastAsia"/>
        </w:rPr>
        <w:t>)</w:t>
      </w:r>
      <w:r>
        <w:rPr>
          <w:rFonts w:hint="eastAsia"/>
        </w:rPr>
        <w:t>就労選択支援</w:t>
      </w:r>
    </w:p>
    <w:p>
      <w:pPr>
        <w:pStyle w:val="251"/>
        <w:spacing w:line="240" w:lineRule="auto"/>
        <w:ind w:left="897" w:leftChars="400" w:firstLine="214"/>
        <w:rPr>
          <w:rFonts w:hint="default"/>
          <w:spacing w:val="0"/>
        </w:rPr>
      </w:pPr>
      <w:r>
        <w:rPr>
          <w:rFonts w:hint="eastAsia"/>
          <w:spacing w:val="0"/>
        </w:rPr>
        <w:t>就労選択支援は、令和</w:t>
      </w:r>
      <w:r>
        <w:rPr>
          <w:rFonts w:hint="eastAsia"/>
          <w:spacing w:val="0"/>
        </w:rPr>
        <w:t>6</w:t>
      </w:r>
      <w:r>
        <w:rPr>
          <w:rFonts w:hint="eastAsia"/>
          <w:spacing w:val="0"/>
        </w:rPr>
        <w:t>年</w:t>
      </w:r>
      <w:r>
        <w:rPr>
          <w:rFonts w:hint="eastAsia"/>
          <w:spacing w:val="0"/>
        </w:rPr>
        <w:t>4</w:t>
      </w:r>
      <w:r>
        <w:rPr>
          <w:rFonts w:hint="eastAsia"/>
          <w:spacing w:val="0"/>
        </w:rPr>
        <w:t>月より新しく導入されたサービスです。障がいを持つ人の希望や能力に合う仕事探しを支援し、関係機関との橋渡しを担います。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eastAsia"/>
          <w:spacing w:val="0"/>
        </w:rPr>
        <w:t>令和６年度に制度開始のためサービスに対するニーズが不明なため各年度１人を見込みます。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39" w:name="就労選択支援"/>
            <w:r>
              <w:rPr>
                <w:rFonts w:hint="eastAsia"/>
              </w:rPr>
              <w:t>利用者数</w:t>
            </w:r>
            <w:bookmarkEnd w:id="239"/>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61" behindDoc="0" locked="0" layoutInCell="1" hidden="0" allowOverlap="1">
            <wp:simplePos x="0" y="0"/>
            <wp:positionH relativeFrom="column">
              <wp:posOffset>215900</wp:posOffset>
            </wp:positionH>
            <wp:positionV relativeFrom="paragraph">
              <wp:posOffset>84455</wp:posOffset>
            </wp:positionV>
            <wp:extent cx="5953125" cy="2219960"/>
            <wp:effectExtent l="0" t="0" r="0" b="0"/>
            <wp:wrapNone/>
            <wp:docPr id="1254" name="就労選択支援01"/>
            <a:graphic xmlns:a="http://schemas.openxmlformats.org/drawingml/2006/main">
              <a:graphicData uri="http://schemas.openxmlformats.org/drawingml/2006/picture">
                <pic:pic xmlns:pic="http://schemas.openxmlformats.org/drawingml/2006/picture">
                  <pic:nvPicPr>
                    <pic:cNvPr id="1254" name="就労選択支援01"/>
                    <pic:cNvPicPr>
                      <a:picLocks noChangeAspect="1" noChangeArrowheads="1"/>
                    </pic:cNvPicPr>
                  </pic:nvPicPr>
                  <pic:blipFill>
                    <a:blip r:embed="rId30"/>
                    <a:srcRect b="9334"/>
                    <a:stretch>
                      <a:fillRect/>
                    </a:stretch>
                  </pic:blipFill>
                  <pic:spPr>
                    <a:xfrm>
                      <a:off x="0" y="0"/>
                      <a:ext cx="5953125" cy="221996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r>
        <w:rPr>
          <w:rFonts w:hint="default"/>
        </w:rPr>
        <w:drawing>
          <wp:anchor distT="0" distB="0" distL="114300" distR="114300" simplePos="0" relativeHeight="60" behindDoc="0" locked="0" layoutInCell="1" hidden="0" allowOverlap="1">
            <wp:simplePos x="0" y="0"/>
            <wp:positionH relativeFrom="column">
              <wp:posOffset>217170</wp:posOffset>
            </wp:positionH>
            <wp:positionV relativeFrom="paragraph">
              <wp:posOffset>59690</wp:posOffset>
            </wp:positionV>
            <wp:extent cx="5954395" cy="2219960"/>
            <wp:effectExtent l="0" t="0" r="0" b="0"/>
            <wp:wrapNone/>
            <wp:docPr id="1255" name="就労選択支援02"/>
            <a:graphic xmlns:a="http://schemas.openxmlformats.org/drawingml/2006/main">
              <a:graphicData uri="http://schemas.openxmlformats.org/drawingml/2006/picture">
                <pic:pic xmlns:pic="http://schemas.openxmlformats.org/drawingml/2006/picture">
                  <pic:nvPicPr>
                    <pic:cNvPr id="1255" name="就労選択支援02"/>
                    <pic:cNvPicPr>
                      <a:picLocks noChangeAspect="1" noChangeArrowheads="1"/>
                    </pic:cNvPicPr>
                  </pic:nvPicPr>
                  <pic:blipFill>
                    <a:blip r:embed="rId31"/>
                    <a:srcRect b="9334"/>
                    <a:stretch>
                      <a:fillRect/>
                    </a:stretch>
                  </pic:blipFill>
                  <pic:spPr>
                    <a:xfrm>
                      <a:off x="0" y="0"/>
                      <a:ext cx="5954395" cy="221996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9"/>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246"/>
        <w:ind w:left="672"/>
        <w:rPr>
          <w:rFonts w:hint="default"/>
        </w:rPr>
      </w:pPr>
      <w:r>
        <w:rPr>
          <w:rFonts w:hint="default"/>
        </w:rPr>
        <w:br w:type="page"/>
      </w:r>
      <w:r>
        <w:rPr>
          <w:rFonts w:hint="eastAsia"/>
        </w:rPr>
        <w:t>ｴ</w:t>
      </w:r>
      <w:r>
        <w:rPr>
          <w:rFonts w:hint="eastAsia"/>
        </w:rPr>
        <w:t>)</w:t>
      </w:r>
      <w:r>
        <w:rPr>
          <w:rFonts w:hint="eastAsia"/>
        </w:rPr>
        <w:t>就労移行支援</w:t>
      </w:r>
      <w:bookmarkEnd w:id="235"/>
      <w:bookmarkEnd w:id="236"/>
      <w:bookmarkEnd w:id="238"/>
    </w:p>
    <w:p>
      <w:pPr>
        <w:pStyle w:val="251"/>
        <w:spacing w:line="240" w:lineRule="auto"/>
        <w:ind w:left="897" w:leftChars="400" w:firstLine="214"/>
        <w:rPr>
          <w:rFonts w:hint="default"/>
          <w:spacing w:val="0"/>
        </w:rPr>
      </w:pPr>
      <w:bookmarkStart w:id="240" w:name="_Toc314505308"/>
      <w:bookmarkStart w:id="241" w:name="_Toc314578857"/>
      <w:r>
        <w:rPr>
          <w:rFonts w:hint="eastAsia"/>
          <w:spacing w:val="0"/>
        </w:rPr>
        <w:t>一般企業への就労を希望する障がい者に対して、一定期間、事業所における生産活動及び企業における実習等を通じて、就労のための訓練を行います。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default"/>
          <w:spacing w:val="0"/>
        </w:rPr>
        <w:t>令和２年度～令和４年度実績と令和５年度実績見込より判断して利用者数と利用量それぞれ令和５年度実績見込の数値で推移していくと見込みました。</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42" w:name="就労移行支援"/>
            <w:r>
              <w:rPr>
                <w:rFonts w:hint="eastAsia"/>
              </w:rPr>
              <w:t>利用者数</w:t>
            </w:r>
            <w:bookmarkEnd w:id="242"/>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14</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14</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9</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3</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4</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4</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216</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252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252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192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192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192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165</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173</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192</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51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r>
              <w:rPr>
                <w:rFonts w:hint="default"/>
              </w:rPr>
              <w:t>79</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r>
              <w:rPr>
                <w:rFonts w:hint="default"/>
              </w:rPr>
              <w:t>60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59" behindDoc="0" locked="0" layoutInCell="1" hidden="0" allowOverlap="1">
            <wp:simplePos x="0" y="0"/>
            <wp:positionH relativeFrom="column">
              <wp:posOffset>227965</wp:posOffset>
            </wp:positionH>
            <wp:positionV relativeFrom="paragraph">
              <wp:posOffset>160655</wp:posOffset>
            </wp:positionV>
            <wp:extent cx="5938520" cy="2231390"/>
            <wp:effectExtent l="0" t="0" r="0" b="0"/>
            <wp:wrapNone/>
            <wp:docPr id="1256" name="就労移行支援01"/>
            <a:graphic xmlns:a="http://schemas.openxmlformats.org/drawingml/2006/main">
              <a:graphicData uri="http://schemas.openxmlformats.org/drawingml/2006/picture">
                <pic:pic xmlns:pic="http://schemas.openxmlformats.org/drawingml/2006/picture">
                  <pic:nvPicPr>
                    <pic:cNvPr id="1256" name="就労移行支援01"/>
                    <pic:cNvPicPr>
                      <a:picLocks noChangeAspect="1" noChangeArrowheads="1"/>
                    </pic:cNvPicPr>
                  </pic:nvPicPr>
                  <pic:blipFill>
                    <a:blip r:embed="rId32"/>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9"/>
        <w:rPr>
          <w:rFonts w:hint="default"/>
        </w:rPr>
      </w:pPr>
      <w:r>
        <w:rPr>
          <w:rFonts w:hint="default"/>
        </w:rPr>
        <w:drawing>
          <wp:anchor distT="0" distB="0" distL="114300" distR="114300" simplePos="0" relativeHeight="58" behindDoc="0" locked="0" layoutInCell="1" hidden="0" allowOverlap="1">
            <wp:simplePos x="0" y="0"/>
            <wp:positionH relativeFrom="column">
              <wp:posOffset>227965</wp:posOffset>
            </wp:positionH>
            <wp:positionV relativeFrom="paragraph">
              <wp:posOffset>10795</wp:posOffset>
            </wp:positionV>
            <wp:extent cx="5938520" cy="2231390"/>
            <wp:effectExtent l="0" t="0" r="0" b="0"/>
            <wp:wrapNone/>
            <wp:docPr id="1257" name="就労移行支援02"/>
            <a:graphic xmlns:a="http://schemas.openxmlformats.org/drawingml/2006/main">
              <a:graphicData uri="http://schemas.openxmlformats.org/drawingml/2006/picture">
                <pic:pic xmlns:pic="http://schemas.openxmlformats.org/drawingml/2006/picture">
                  <pic:nvPicPr>
                    <pic:cNvPr id="1257" name="就労移行支援02"/>
                    <pic:cNvPicPr>
                      <a:picLocks noChangeAspect="1" noChangeArrowheads="1"/>
                    </pic:cNvPicPr>
                  </pic:nvPicPr>
                  <pic:blipFill>
                    <a:blip r:embed="rId33"/>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251"/>
        <w:ind w:left="448" w:firstLine="210"/>
        <w:rPr>
          <w:rFonts w:hint="default"/>
        </w:rPr>
      </w:pPr>
    </w:p>
    <w:p>
      <w:pPr>
        <w:pStyle w:val="246"/>
        <w:ind w:left="672"/>
        <w:rPr>
          <w:rFonts w:hint="default"/>
        </w:rPr>
      </w:pPr>
      <w:r>
        <w:rPr>
          <w:rFonts w:hint="default"/>
        </w:rPr>
        <w:br w:type="page"/>
      </w:r>
      <w:bookmarkStart w:id="243" w:name="_Toc318449551"/>
    </w:p>
    <w:p>
      <w:pPr>
        <w:pStyle w:val="246"/>
        <w:ind w:left="672"/>
        <w:rPr>
          <w:rFonts w:hint="default"/>
        </w:rPr>
      </w:pPr>
      <w:r>
        <w:rPr>
          <w:rFonts w:hint="default"/>
        </w:rPr>
        <w:t>ｵ</w:t>
      </w:r>
      <w:r>
        <w:rPr>
          <w:rFonts w:hint="eastAsia"/>
        </w:rPr>
        <w:t xml:space="preserve">)-1 </w:t>
      </w:r>
      <w:bookmarkEnd w:id="240"/>
      <w:bookmarkEnd w:id="241"/>
      <w:bookmarkEnd w:id="243"/>
      <w:r>
        <w:rPr>
          <w:rFonts w:hint="eastAsia"/>
        </w:rPr>
        <w:t>就労継続支援Ａ型</w:t>
      </w:r>
    </w:p>
    <w:p>
      <w:pPr>
        <w:pStyle w:val="251"/>
        <w:spacing w:line="240" w:lineRule="auto"/>
        <w:ind w:left="897" w:leftChars="400" w:firstLine="214"/>
        <w:rPr>
          <w:rFonts w:hint="default"/>
          <w:spacing w:val="0"/>
        </w:rPr>
      </w:pPr>
      <w:bookmarkStart w:id="244" w:name="_Toc314505309"/>
      <w:bookmarkStart w:id="245" w:name="_Toc314578858"/>
      <w:r>
        <w:rPr>
          <w:rFonts w:hint="eastAsia"/>
          <w:spacing w:val="0"/>
        </w:rPr>
        <w:t>一般企業での就労が困難な方に雇用契約に基づく就労の機会を提供し、一般就労に必要な知識及び能力の向上のための訓練を行います。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default"/>
          <w:spacing w:val="0"/>
        </w:rPr>
        <w:t>令和２年度～令和５年度実績見込で利用者数と利用量に各年度バラつきがありますが、利用者数については令和５年度実績見込の人数を見込</w:t>
      </w:r>
      <w:r>
        <w:rPr>
          <w:rFonts w:hint="eastAsia"/>
          <w:spacing w:val="0"/>
        </w:rPr>
        <w:t>み</w:t>
      </w:r>
      <w:r>
        <w:rPr>
          <w:rFonts w:hint="default"/>
          <w:spacing w:val="0"/>
        </w:rPr>
        <w:t>ます。また、利用量については令和２年度～令和５年度実績見込より一人当たり</w:t>
      </w:r>
      <w:r>
        <w:rPr>
          <w:rFonts w:hint="default"/>
          <w:spacing w:val="0"/>
        </w:rPr>
        <w:t>19</w:t>
      </w:r>
      <w:r>
        <w:rPr>
          <w:rFonts w:hint="default"/>
          <w:spacing w:val="0"/>
        </w:rPr>
        <w:t>日で見込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46" w:name="就労継続支援（Ａ型_雇用型）"/>
            <w:r>
              <w:rPr>
                <w:rFonts w:hint="eastAsia"/>
              </w:rPr>
              <w:t>利用者数</w:t>
            </w:r>
            <w:bookmarkEnd w:id="246"/>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23</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23</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27</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27</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27</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28</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24</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27</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4</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483</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483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483</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513</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513</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513</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515</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450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467</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r>
              <w:rPr>
                <w:rFonts w:hint="default"/>
              </w:rPr>
              <w:t>33</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r>
              <w:rPr>
                <w:rFonts w:hint="default"/>
              </w:rPr>
              <w:t>16</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57" behindDoc="0" locked="0" layoutInCell="1" hidden="0" allowOverlap="1">
            <wp:simplePos x="0" y="0"/>
            <wp:positionH relativeFrom="column">
              <wp:posOffset>238125</wp:posOffset>
            </wp:positionH>
            <wp:positionV relativeFrom="paragraph">
              <wp:posOffset>147955</wp:posOffset>
            </wp:positionV>
            <wp:extent cx="5938520" cy="2231390"/>
            <wp:effectExtent l="0" t="0" r="0" b="0"/>
            <wp:wrapNone/>
            <wp:docPr id="1258" name="就労継続支援（Ａ型_雇用型）01"/>
            <a:graphic xmlns:a="http://schemas.openxmlformats.org/drawingml/2006/main">
              <a:graphicData uri="http://schemas.openxmlformats.org/drawingml/2006/picture">
                <pic:pic xmlns:pic="http://schemas.openxmlformats.org/drawingml/2006/picture">
                  <pic:nvPicPr>
                    <pic:cNvPr id="1258" name="就労継続支援（Ａ型_雇用型）01"/>
                    <pic:cNvPicPr>
                      <a:picLocks noChangeAspect="1" noChangeArrowheads="1"/>
                    </pic:cNvPicPr>
                  </pic:nvPicPr>
                  <pic:blipFill>
                    <a:blip r:embed="rId34"/>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r>
        <w:rPr>
          <w:rFonts w:hint="default"/>
        </w:rPr>
        <w:drawing>
          <wp:anchor distT="0" distB="0" distL="114300" distR="114300" simplePos="0" relativeHeight="56" behindDoc="0" locked="0" layoutInCell="1" hidden="0" allowOverlap="1">
            <wp:simplePos x="0" y="0"/>
            <wp:positionH relativeFrom="column">
              <wp:posOffset>243840</wp:posOffset>
            </wp:positionH>
            <wp:positionV relativeFrom="paragraph">
              <wp:posOffset>236220</wp:posOffset>
            </wp:positionV>
            <wp:extent cx="5938520" cy="2231390"/>
            <wp:effectExtent l="0" t="0" r="0" b="0"/>
            <wp:wrapNone/>
            <wp:docPr id="1259" name="就労継続支援（Ａ型_雇用型）02"/>
            <a:graphic xmlns:a="http://schemas.openxmlformats.org/drawingml/2006/main">
              <a:graphicData uri="http://schemas.openxmlformats.org/drawingml/2006/picture">
                <pic:pic xmlns:pic="http://schemas.openxmlformats.org/drawingml/2006/picture">
                  <pic:nvPicPr>
                    <pic:cNvPr id="1259" name="就労継続支援（Ａ型_雇用型）02"/>
                    <pic:cNvPicPr>
                      <a:picLocks noChangeAspect="1" noChangeArrowheads="1"/>
                    </pic:cNvPicPr>
                  </pic:nvPicPr>
                  <pic:blipFill>
                    <a:blip r:embed="rId35"/>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9"/>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246"/>
        <w:ind w:left="672"/>
        <w:rPr>
          <w:rFonts w:hint="default"/>
        </w:rPr>
      </w:pPr>
      <w:r>
        <w:rPr>
          <w:rFonts w:hint="default"/>
        </w:rPr>
        <w:br w:type="page"/>
      </w:r>
      <w:bookmarkStart w:id="247" w:name="_Toc318449552"/>
      <w:r>
        <w:rPr>
          <w:rFonts w:hint="default"/>
        </w:rPr>
        <w:t>ｵ</w:t>
      </w:r>
      <w:r>
        <w:rPr>
          <w:rFonts w:hint="eastAsia"/>
        </w:rPr>
        <w:t xml:space="preserve">)-2 </w:t>
      </w:r>
      <w:bookmarkEnd w:id="244"/>
      <w:bookmarkEnd w:id="245"/>
      <w:bookmarkEnd w:id="247"/>
      <w:r>
        <w:rPr>
          <w:rFonts w:hint="eastAsia"/>
        </w:rPr>
        <w:t>就労継続支援Ｂ型</w:t>
      </w:r>
    </w:p>
    <w:p>
      <w:pPr>
        <w:pStyle w:val="251"/>
        <w:spacing w:line="240" w:lineRule="auto"/>
        <w:ind w:left="897" w:leftChars="400" w:firstLine="214"/>
        <w:rPr>
          <w:rFonts w:hint="default"/>
          <w:spacing w:val="0"/>
        </w:rPr>
      </w:pPr>
      <w:bookmarkStart w:id="248" w:name="_Toc314505310"/>
      <w:bookmarkStart w:id="249" w:name="_Toc314578859"/>
      <w:r>
        <w:rPr>
          <w:rFonts w:hint="eastAsia"/>
          <w:spacing w:val="0"/>
        </w:rPr>
        <w:t>一般企業での就労が困難な方に対し、雇用契約を結ばない形ではあるが、就労の機会を提供し、一般雇用への移行に必要な知識及び能力の向上のための訓練を行います。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default"/>
          <w:spacing w:val="0"/>
        </w:rPr>
        <w:t>令和２年度～令和４年度実績と令和５年度実績見込より利用者数は年々増加傾向になっています。利用者数は毎年度</w:t>
      </w:r>
      <w:r>
        <w:rPr>
          <w:rFonts w:hint="default"/>
          <w:spacing w:val="0"/>
        </w:rPr>
        <w:t>5</w:t>
      </w:r>
      <w:r>
        <w:rPr>
          <w:rFonts w:hint="default"/>
          <w:spacing w:val="0"/>
        </w:rPr>
        <w:t>人増加すると見込</w:t>
      </w:r>
      <w:r>
        <w:rPr>
          <w:rFonts w:hint="eastAsia"/>
          <w:spacing w:val="0"/>
        </w:rPr>
        <w:t>み、</w:t>
      </w:r>
      <w:r>
        <w:rPr>
          <w:rFonts w:hint="default"/>
          <w:spacing w:val="0"/>
        </w:rPr>
        <w:t>利用量は一人当たり</w:t>
      </w:r>
      <w:r>
        <w:rPr>
          <w:rFonts w:hint="default"/>
          <w:spacing w:val="0"/>
        </w:rPr>
        <w:t>18</w:t>
      </w:r>
      <w:r>
        <w:rPr>
          <w:rFonts w:hint="default"/>
          <w:spacing w:val="0"/>
        </w:rPr>
        <w:t>日と見込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50" w:name="就労継続支援（Ｂ型_非雇用型）"/>
            <w:r>
              <w:rPr>
                <w:rFonts w:hint="eastAsia"/>
              </w:rPr>
              <w:t>利用者数</w:t>
            </w:r>
            <w:bookmarkEnd w:id="250"/>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156</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161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166</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182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187</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192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149</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160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177</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7</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2,808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2,898</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2,988</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3,276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3,366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3,456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2,765</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2,886</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3,233</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43</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r>
              <w:rPr>
                <w:rFonts w:hint="default"/>
              </w:rPr>
              <w:t>12</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245</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55" behindDoc="0" locked="0" layoutInCell="1" hidden="0" allowOverlap="1">
            <wp:simplePos x="0" y="0"/>
            <wp:positionH relativeFrom="column">
              <wp:posOffset>212725</wp:posOffset>
            </wp:positionH>
            <wp:positionV relativeFrom="paragraph">
              <wp:posOffset>66040</wp:posOffset>
            </wp:positionV>
            <wp:extent cx="5938520" cy="2231390"/>
            <wp:effectExtent l="0" t="0" r="0" b="0"/>
            <wp:wrapNone/>
            <wp:docPr id="1260" name="就労継続支援（Ｂ型_非雇用型）01"/>
            <a:graphic xmlns:a="http://schemas.openxmlformats.org/drawingml/2006/main">
              <a:graphicData uri="http://schemas.openxmlformats.org/drawingml/2006/picture">
                <pic:pic xmlns:pic="http://schemas.openxmlformats.org/drawingml/2006/picture">
                  <pic:nvPicPr>
                    <pic:cNvPr id="1260" name="就労継続支援（Ｂ型_非雇用型）01"/>
                    <pic:cNvPicPr>
                      <a:picLocks noChangeAspect="1" noChangeArrowheads="1"/>
                    </pic:cNvPicPr>
                  </pic:nvPicPr>
                  <pic:blipFill>
                    <a:blip r:embed="rId36"/>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r>
        <w:rPr>
          <w:rFonts w:hint="default"/>
        </w:rPr>
        <w:drawing>
          <wp:anchor distT="0" distB="0" distL="114300" distR="114300" simplePos="0" relativeHeight="54" behindDoc="0" locked="0" layoutInCell="1" hidden="0" allowOverlap="1">
            <wp:simplePos x="0" y="0"/>
            <wp:positionH relativeFrom="column">
              <wp:posOffset>208915</wp:posOffset>
            </wp:positionH>
            <wp:positionV relativeFrom="paragraph">
              <wp:posOffset>154305</wp:posOffset>
            </wp:positionV>
            <wp:extent cx="5938520" cy="2231390"/>
            <wp:effectExtent l="0" t="0" r="0" b="0"/>
            <wp:wrapNone/>
            <wp:docPr id="1261" name="就労継続支援（Ｂ型_非雇用型）02"/>
            <a:graphic xmlns:a="http://schemas.openxmlformats.org/drawingml/2006/main">
              <a:graphicData uri="http://schemas.openxmlformats.org/drawingml/2006/picture">
                <pic:pic xmlns:pic="http://schemas.openxmlformats.org/drawingml/2006/picture">
                  <pic:nvPicPr>
                    <pic:cNvPr id="1261" name="就労継続支援（Ｂ型_非雇用型）02"/>
                    <pic:cNvPicPr>
                      <a:picLocks noChangeAspect="1" noChangeArrowheads="1"/>
                    </pic:cNvPicPr>
                  </pic:nvPicPr>
                  <pic:blipFill>
                    <a:blip r:embed="rId37"/>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9"/>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251"/>
        <w:ind w:left="448" w:firstLine="210"/>
        <w:rPr>
          <w:rFonts w:hint="default" w:ascii="ＭＳ ゴシック" w:hAnsi="ＭＳ ゴシック" w:eastAsia="ＭＳ ゴシック"/>
        </w:rPr>
      </w:pPr>
    </w:p>
    <w:p>
      <w:pPr>
        <w:pStyle w:val="251"/>
        <w:ind w:left="448" w:firstLine="210"/>
        <w:rPr>
          <w:rFonts w:hint="default"/>
        </w:rPr>
      </w:pPr>
    </w:p>
    <w:p>
      <w:pPr>
        <w:pStyle w:val="251"/>
        <w:ind w:left="448" w:firstLine="210"/>
        <w:rPr>
          <w:rFonts w:hint="default"/>
        </w:rPr>
      </w:pPr>
    </w:p>
    <w:p>
      <w:pPr>
        <w:pStyle w:val="246"/>
        <w:ind w:left="672"/>
        <w:rPr>
          <w:rFonts w:hint="default"/>
        </w:rPr>
      </w:pPr>
      <w:r>
        <w:rPr>
          <w:rFonts w:hint="default"/>
        </w:rPr>
        <w:br w:type="page"/>
      </w:r>
      <w:bookmarkStart w:id="251" w:name="_Toc318449553"/>
      <w:r>
        <w:rPr>
          <w:rFonts w:hint="default"/>
        </w:rPr>
        <w:t>ｶ</w:t>
      </w:r>
      <w:r>
        <w:rPr>
          <w:rFonts w:hint="default"/>
        </w:rPr>
        <w:t>)</w:t>
      </w:r>
      <w:bookmarkEnd w:id="248"/>
      <w:bookmarkStart w:id="252" w:name="_Toc314505311"/>
      <w:bookmarkEnd w:id="249"/>
      <w:bookmarkStart w:id="253" w:name="_Toc314578860"/>
      <w:bookmarkEnd w:id="251"/>
      <w:bookmarkStart w:id="254" w:name="_Toc318449554"/>
      <w:r>
        <w:rPr>
          <w:rFonts w:hint="eastAsia"/>
        </w:rPr>
        <w:t>就労定着支援</w:t>
      </w:r>
    </w:p>
    <w:p>
      <w:pPr>
        <w:pStyle w:val="251"/>
        <w:spacing w:line="240" w:lineRule="auto"/>
        <w:ind w:left="897" w:leftChars="400" w:firstLine="214"/>
        <w:rPr>
          <w:rFonts w:hint="default"/>
          <w:spacing w:val="0"/>
        </w:rPr>
      </w:pPr>
      <w:r>
        <w:rPr>
          <w:rFonts w:hint="eastAsia"/>
          <w:spacing w:val="0"/>
        </w:rPr>
        <w:t>一般就労に移行した障がい者について、就労に伴う生活面の課題に対し、就労の継続を図るために企業・自宅等への訪問等により、必要な連絡調整や指導・助言等を行います。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default"/>
          <w:spacing w:val="0"/>
        </w:rPr>
        <w:t>令和４年度実績と令和５年度実績見込より</w:t>
      </w:r>
      <w:r>
        <w:rPr>
          <w:rFonts w:hint="eastAsia"/>
          <w:spacing w:val="0"/>
        </w:rPr>
        <w:t>令和６年度は令和５年度実績見込と同数で見込みます。令和</w:t>
      </w:r>
      <w:r>
        <w:rPr>
          <w:rFonts w:hint="default"/>
          <w:spacing w:val="0"/>
        </w:rPr>
        <w:t>7</w:t>
      </w:r>
      <w:r>
        <w:rPr>
          <w:rFonts w:hint="default"/>
          <w:spacing w:val="0"/>
        </w:rPr>
        <w:t>年度以降は</w:t>
      </w:r>
      <w:r>
        <w:rPr>
          <w:rFonts w:hint="eastAsia"/>
          <w:spacing w:val="0"/>
        </w:rPr>
        <w:t>、一般就労に移行した方が利用することを見込み、</w:t>
      </w:r>
      <w:r>
        <w:rPr>
          <w:rFonts w:hint="default"/>
          <w:spacing w:val="0"/>
        </w:rPr>
        <w:t>毎年度１人増を見込みます。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55" w:name="就労定着支援"/>
            <w:r>
              <w:rPr>
                <w:rFonts w:hint="eastAsia"/>
              </w:rPr>
              <w:t>利用者数</w:t>
            </w:r>
            <w:bookmarkEnd w:id="255"/>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2</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2</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3" behindDoc="0" locked="0" layoutInCell="1" hidden="0" allowOverlap="1">
            <wp:simplePos x="0" y="0"/>
            <wp:positionH relativeFrom="column">
              <wp:posOffset>320675</wp:posOffset>
            </wp:positionH>
            <wp:positionV relativeFrom="paragraph">
              <wp:posOffset>207010</wp:posOffset>
            </wp:positionV>
            <wp:extent cx="5938520" cy="2231390"/>
            <wp:effectExtent l="0" t="0" r="0" b="0"/>
            <wp:wrapNone/>
            <wp:docPr id="1262" name="就労定着支援01"/>
            <a:graphic xmlns:a="http://schemas.openxmlformats.org/drawingml/2006/main">
              <a:graphicData uri="http://schemas.openxmlformats.org/drawingml/2006/picture">
                <pic:pic xmlns:pic="http://schemas.openxmlformats.org/drawingml/2006/picture">
                  <pic:nvPicPr>
                    <pic:cNvPr id="1262" name="就労定着支援01"/>
                    <pic:cNvPicPr>
                      <a:picLocks noChangeAspect="1" noChangeArrowheads="1"/>
                    </pic:cNvPicPr>
                  </pic:nvPicPr>
                  <pic:blipFill>
                    <a:blip r:embed="rId38"/>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rPr>
          <w:rFonts w:hint="default"/>
        </w:rPr>
      </w:pPr>
      <w:r>
        <w:rPr>
          <w:rFonts w:hint="default"/>
        </w:rPr>
        <w:br w:type="page"/>
      </w:r>
    </w:p>
    <w:p>
      <w:pPr>
        <w:pStyle w:val="246"/>
        <w:ind w:left="672"/>
        <w:rPr>
          <w:rFonts w:hint="default"/>
        </w:rPr>
      </w:pPr>
      <w:r>
        <w:rPr>
          <w:rFonts w:hint="eastAsia"/>
        </w:rPr>
        <w:t>ｷ</w:t>
      </w:r>
      <w:r>
        <w:rPr>
          <w:rFonts w:hint="default"/>
        </w:rPr>
        <w:t>)</w:t>
      </w:r>
      <w:bookmarkEnd w:id="252"/>
      <w:bookmarkStart w:id="256" w:name="_Toc314505312"/>
      <w:bookmarkEnd w:id="253"/>
      <w:bookmarkStart w:id="257" w:name="_Toc314578861"/>
      <w:bookmarkEnd w:id="254"/>
      <w:bookmarkStart w:id="258" w:name="_Toc318449555"/>
      <w:r>
        <w:rPr>
          <w:rFonts w:hint="eastAsia"/>
        </w:rPr>
        <w:t>療養介護</w:t>
      </w:r>
    </w:p>
    <w:p>
      <w:pPr>
        <w:pStyle w:val="251"/>
        <w:spacing w:line="240" w:lineRule="auto"/>
        <w:ind w:left="897" w:leftChars="400" w:firstLine="214"/>
        <w:rPr>
          <w:rFonts w:hint="default"/>
          <w:spacing w:val="0"/>
        </w:rPr>
      </w:pPr>
      <w:r>
        <w:rPr>
          <w:rFonts w:hint="eastAsia"/>
          <w:spacing w:val="0"/>
        </w:rPr>
        <w:t>医療と常時介護を必要とする方に、医療機関において、機能訓練やレクリエーション活動、療養上の管理、看護、介護等を行い、身体能力及び日常生活能力の維持、向上を目指します。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default"/>
          <w:spacing w:val="0"/>
        </w:rPr>
        <w:t>令和５年度実績見込の利用者数が今後も利用するとして同数を見込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59" w:name="療養介護"/>
            <w:r>
              <w:rPr>
                <w:rFonts w:hint="eastAsia"/>
              </w:rPr>
              <w:t>利用者数</w:t>
            </w:r>
            <w:bookmarkEnd w:id="259"/>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8</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8</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9</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9</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9</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8</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8</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9</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53" behindDoc="0" locked="0" layoutInCell="1" hidden="0" allowOverlap="1">
            <wp:simplePos x="0" y="0"/>
            <wp:positionH relativeFrom="column">
              <wp:posOffset>238760</wp:posOffset>
            </wp:positionH>
            <wp:positionV relativeFrom="paragraph">
              <wp:posOffset>189230</wp:posOffset>
            </wp:positionV>
            <wp:extent cx="5938520" cy="2231390"/>
            <wp:effectExtent l="0" t="0" r="0" b="0"/>
            <wp:wrapNone/>
            <wp:docPr id="1263" name="療養介護01"/>
            <a:graphic xmlns:a="http://schemas.openxmlformats.org/drawingml/2006/main">
              <a:graphicData uri="http://schemas.openxmlformats.org/drawingml/2006/picture">
                <pic:pic xmlns:pic="http://schemas.openxmlformats.org/drawingml/2006/picture">
                  <pic:nvPicPr>
                    <pic:cNvPr id="1263" name="療養介護01"/>
                    <pic:cNvPicPr>
                      <a:picLocks noChangeAspect="1" noChangeArrowheads="1"/>
                    </pic:cNvPicPr>
                  </pic:nvPicPr>
                  <pic:blipFill>
                    <a:blip r:embed="rId39"/>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rPr>
      </w:pPr>
    </w:p>
    <w:p>
      <w:pPr>
        <w:pStyle w:val="0"/>
        <w:ind w:left="438" w:firstLine="205"/>
        <w:rPr>
          <w:rFonts w:hint="default"/>
        </w:rPr>
      </w:pPr>
    </w:p>
    <w:p>
      <w:pPr>
        <w:pStyle w:val="251"/>
        <w:ind w:left="448" w:firstLine="210"/>
        <w:rPr>
          <w:rFonts w:hint="default"/>
        </w:rPr>
      </w:pPr>
    </w:p>
    <w:p>
      <w:pPr>
        <w:pStyle w:val="251"/>
        <w:ind w:left="448" w:firstLine="210"/>
        <w:rPr>
          <w:rFonts w:hint="default"/>
        </w:rPr>
      </w:pPr>
    </w:p>
    <w:p>
      <w:pPr>
        <w:pStyle w:val="0"/>
        <w:rPr>
          <w:rFonts w:hint="default" w:ascii="ＭＳ ゴシック" w:hAnsi="ＭＳ ゴシック" w:eastAsia="ＭＳ ゴシック"/>
        </w:rPr>
      </w:pPr>
      <w:r>
        <w:rPr>
          <w:rFonts w:hint="default"/>
        </w:rPr>
        <w:br w:type="page"/>
      </w:r>
    </w:p>
    <w:p>
      <w:pPr>
        <w:pStyle w:val="246"/>
        <w:ind w:left="672"/>
        <w:rPr>
          <w:rFonts w:hint="default"/>
        </w:rPr>
      </w:pPr>
      <w:r>
        <w:rPr>
          <w:rFonts w:hint="eastAsia"/>
        </w:rPr>
        <w:t>●</w:t>
      </w:r>
      <w:r>
        <w:rPr>
          <w:rFonts w:hint="eastAsia"/>
        </w:rPr>
        <w:t xml:space="preserve"> </w:t>
      </w:r>
      <w:r>
        <w:rPr>
          <w:rFonts w:hint="eastAsia"/>
        </w:rPr>
        <w:t>短期入所（ショートステイ）合計</w:t>
      </w:r>
      <w:r>
        <w:rPr>
          <w:rFonts w:hint="eastAsia"/>
        </w:rPr>
        <w:t>(</w:t>
      </w:r>
      <w:r>
        <w:rPr>
          <w:rFonts w:hint="eastAsia"/>
        </w:rPr>
        <w:t>福祉型・医療型</w:t>
      </w:r>
      <w:r>
        <w:rPr>
          <w:rFonts w:hint="eastAsia"/>
        </w:rPr>
        <w:t>)</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60" w:name="短期入所（ショートステイ）"/>
            <w:r>
              <w:rPr>
                <w:rFonts w:hint="eastAsia"/>
              </w:rPr>
              <w:t>利用者数</w:t>
            </w:r>
            <w:bookmarkEnd w:id="260"/>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23</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25</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25</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28</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12</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17</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23</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8</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2</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70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76</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76</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142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154</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166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52</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82</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120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18</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6</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44</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52" behindDoc="0" locked="0" layoutInCell="1" hidden="0" allowOverlap="1">
            <wp:simplePos x="0" y="0"/>
            <wp:positionH relativeFrom="column">
              <wp:posOffset>241300</wp:posOffset>
            </wp:positionH>
            <wp:positionV relativeFrom="paragraph">
              <wp:posOffset>148590</wp:posOffset>
            </wp:positionV>
            <wp:extent cx="5938520" cy="2231390"/>
            <wp:effectExtent l="0" t="0" r="0" b="0"/>
            <wp:wrapNone/>
            <wp:docPr id="1264" name="短期入所（ショートステイ）01"/>
            <a:graphic xmlns:a="http://schemas.openxmlformats.org/drawingml/2006/main">
              <a:graphicData uri="http://schemas.openxmlformats.org/drawingml/2006/picture">
                <pic:pic xmlns:pic="http://schemas.openxmlformats.org/drawingml/2006/picture">
                  <pic:nvPicPr>
                    <pic:cNvPr id="1264" name="短期入所（ショートステイ）01"/>
                    <pic:cNvPicPr>
                      <a:picLocks noChangeAspect="1" noChangeArrowheads="1"/>
                    </pic:cNvPicPr>
                  </pic:nvPicPr>
                  <pic:blipFill>
                    <a:blip r:embed="rId40"/>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r>
        <w:rPr>
          <w:rFonts w:hint="default"/>
        </w:rPr>
        <w:drawing>
          <wp:anchor distT="0" distB="0" distL="114300" distR="114300" simplePos="0" relativeHeight="51" behindDoc="0" locked="0" layoutInCell="1" hidden="0" allowOverlap="1">
            <wp:simplePos x="0" y="0"/>
            <wp:positionH relativeFrom="column">
              <wp:posOffset>237490</wp:posOffset>
            </wp:positionH>
            <wp:positionV relativeFrom="paragraph">
              <wp:posOffset>122555</wp:posOffset>
            </wp:positionV>
            <wp:extent cx="5938520" cy="2231390"/>
            <wp:effectExtent l="0" t="0" r="0" b="0"/>
            <wp:wrapNone/>
            <wp:docPr id="1265" name="短期入所（ショートステイ）02"/>
            <a:graphic xmlns:a="http://schemas.openxmlformats.org/drawingml/2006/main">
              <a:graphicData uri="http://schemas.openxmlformats.org/drawingml/2006/picture">
                <pic:pic xmlns:pic="http://schemas.openxmlformats.org/drawingml/2006/picture">
                  <pic:nvPicPr>
                    <pic:cNvPr id="1265" name="短期入所（ショートステイ）02"/>
                    <pic:cNvPicPr>
                      <a:picLocks noChangeAspect="1" noChangeArrowheads="1"/>
                    </pic:cNvPicPr>
                  </pic:nvPicPr>
                  <pic:blipFill>
                    <a:blip r:embed="rId41"/>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9"/>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0"/>
        <w:ind w:left="438" w:firstLine="205"/>
        <w:rPr>
          <w:rFonts w:hint="default"/>
        </w:rPr>
      </w:pPr>
      <w:bookmarkEnd w:id="256"/>
      <w:bookmarkEnd w:id="257"/>
      <w:bookmarkEnd w:id="258"/>
      <w:bookmarkStart w:id="261" w:name="_Toc314505313"/>
      <w:bookmarkStart w:id="262" w:name="_Toc314578862"/>
      <w:bookmarkStart w:id="263" w:name="_Toc318449556"/>
    </w:p>
    <w:p>
      <w:pPr>
        <w:pStyle w:val="246"/>
        <w:ind w:left="672"/>
        <w:rPr>
          <w:rFonts w:hint="default"/>
        </w:rPr>
      </w:pPr>
      <w:r>
        <w:rPr>
          <w:rFonts w:hint="default"/>
        </w:rPr>
        <w:br w:type="page"/>
      </w:r>
      <w:r>
        <w:rPr>
          <w:rFonts w:hint="eastAsia"/>
        </w:rPr>
        <w:t>ｸ</w:t>
      </w:r>
      <w:r>
        <w:rPr>
          <w:rFonts w:hint="eastAsia"/>
        </w:rPr>
        <w:t>)-1</w:t>
      </w:r>
      <w:r>
        <w:rPr>
          <w:rFonts w:hint="eastAsia"/>
        </w:rPr>
        <w:t>短期入所（福祉型）</w:t>
      </w:r>
    </w:p>
    <w:p>
      <w:pPr>
        <w:pStyle w:val="251"/>
        <w:spacing w:line="240" w:lineRule="auto"/>
        <w:ind w:left="897" w:leftChars="400" w:firstLine="214"/>
        <w:rPr>
          <w:rFonts w:hint="default"/>
          <w:spacing w:val="0"/>
        </w:rPr>
      </w:pPr>
      <w:r>
        <w:rPr>
          <w:rFonts w:hint="eastAsia"/>
          <w:spacing w:val="0"/>
        </w:rPr>
        <w:t>自宅で介護する方が病気等により一時的に自宅での介護が困難になった場合に、短期間、夜間も含め、施設において入浴、排せつ、食事等の介護を行います。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default"/>
          <w:spacing w:val="0"/>
        </w:rPr>
        <w:t>令和２年度～令和４年度については新型コロナウイルス流行の影響で利用者数と利用量は停滞してい</w:t>
      </w:r>
      <w:r>
        <w:rPr>
          <w:rFonts w:hint="eastAsia"/>
          <w:spacing w:val="0"/>
        </w:rPr>
        <w:t>まし</w:t>
      </w:r>
      <w:r>
        <w:rPr>
          <w:rFonts w:hint="default"/>
          <w:spacing w:val="0"/>
        </w:rPr>
        <w:t>たが、令和５年度</w:t>
      </w:r>
      <w:r>
        <w:rPr>
          <w:rFonts w:hint="eastAsia"/>
          <w:spacing w:val="0"/>
        </w:rPr>
        <w:t>以降は</w:t>
      </w:r>
      <w:r>
        <w:rPr>
          <w:rFonts w:hint="default"/>
          <w:spacing w:val="0"/>
        </w:rPr>
        <w:t>利用数</w:t>
      </w:r>
      <w:r>
        <w:rPr>
          <w:rFonts w:hint="eastAsia"/>
          <w:spacing w:val="0"/>
        </w:rPr>
        <w:t>と</w:t>
      </w:r>
      <w:r>
        <w:rPr>
          <w:rFonts w:hint="default"/>
          <w:spacing w:val="0"/>
        </w:rPr>
        <w:t>利用量共に増加</w:t>
      </w:r>
      <w:r>
        <w:rPr>
          <w:rFonts w:hint="eastAsia"/>
          <w:spacing w:val="0"/>
        </w:rPr>
        <w:t>することを想定し、</w:t>
      </w:r>
      <w:r>
        <w:rPr>
          <w:rFonts w:hint="default"/>
          <w:spacing w:val="0"/>
        </w:rPr>
        <w:t>利用者数については毎年度</w:t>
      </w:r>
      <w:r>
        <w:rPr>
          <w:rFonts w:hint="default"/>
          <w:spacing w:val="0"/>
        </w:rPr>
        <w:t>2</w:t>
      </w:r>
      <w:r>
        <w:rPr>
          <w:rFonts w:hint="default"/>
          <w:spacing w:val="0"/>
        </w:rPr>
        <w:t>人増、利用量については</w:t>
      </w:r>
      <w:r>
        <w:rPr>
          <w:rFonts w:hint="default"/>
          <w:spacing w:val="0"/>
        </w:rPr>
        <w:t>1</w:t>
      </w:r>
      <w:r>
        <w:rPr>
          <w:rFonts w:hint="default"/>
          <w:spacing w:val="0"/>
        </w:rPr>
        <w:t>人あたり</w:t>
      </w:r>
      <w:r>
        <w:rPr>
          <w:rFonts w:hint="default"/>
          <w:spacing w:val="0"/>
        </w:rPr>
        <w:t>6</w:t>
      </w:r>
      <w:r>
        <w:rPr>
          <w:rFonts w:hint="default"/>
          <w:spacing w:val="0"/>
        </w:rPr>
        <w:t>日利用で見込</w:t>
      </w:r>
      <w:r>
        <w:rPr>
          <w:rFonts w:hint="eastAsia"/>
          <w:spacing w:val="0"/>
        </w:rPr>
        <w:t>みます。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64" w:name="短期入所（福祉型）"/>
            <w:r>
              <w:rPr>
                <w:rFonts w:hint="eastAsia"/>
              </w:rPr>
              <w:t>利用者数</w:t>
            </w:r>
            <w:bookmarkEnd w:id="264"/>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22</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24</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7</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13</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20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13</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9</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2</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62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68</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68</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132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144</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156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42</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74</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111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20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6</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43</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50" behindDoc="0" locked="0" layoutInCell="1" hidden="0" allowOverlap="1">
            <wp:simplePos x="0" y="0"/>
            <wp:positionH relativeFrom="column">
              <wp:posOffset>332740</wp:posOffset>
            </wp:positionH>
            <wp:positionV relativeFrom="paragraph">
              <wp:posOffset>74930</wp:posOffset>
            </wp:positionV>
            <wp:extent cx="5938520" cy="2232025"/>
            <wp:effectExtent l="0" t="0" r="0" b="0"/>
            <wp:wrapNone/>
            <wp:docPr id="1266" name="短期入所（福祉型）01"/>
            <a:graphic xmlns:a="http://schemas.openxmlformats.org/drawingml/2006/main">
              <a:graphicData uri="http://schemas.openxmlformats.org/drawingml/2006/picture">
                <pic:pic xmlns:pic="http://schemas.openxmlformats.org/drawingml/2006/picture">
                  <pic:nvPicPr>
                    <pic:cNvPr id="1266" name="短期入所（福祉型）01"/>
                    <pic:cNvPicPr>
                      <a:picLocks noChangeAspect="1" noChangeArrowheads="1"/>
                    </pic:cNvPicPr>
                  </pic:nvPicPr>
                  <pic:blipFill>
                    <a:blip r:embed="rId42"/>
                    <a:srcRect b="8403"/>
                    <a:stretch>
                      <a:fillRect/>
                    </a:stretch>
                  </pic:blipFill>
                  <pic:spPr>
                    <a:xfrm>
                      <a:off x="0" y="0"/>
                      <a:ext cx="5938520" cy="2232025"/>
                    </a:xfrm>
                    <a:prstGeom prst="rect">
                      <a:avLst/>
                    </a:prstGeom>
                    <a:noFill/>
                    <a:ln>
                      <a:noFill/>
                    </a:ln>
                  </pic:spPr>
                </pic:pic>
              </a:graphicData>
            </a:graphic>
          </wp:anchor>
        </w:drawing>
      </w:r>
    </w:p>
    <w:p>
      <w:pPr>
        <w:pStyle w:val="0"/>
        <w:ind w:left="438" w:firstLine="209"/>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4"/>
        <w:rPr>
          <w:rFonts w:hint="default"/>
        </w:rPr>
      </w:pPr>
      <w:r>
        <w:rPr>
          <w:rFonts w:hint="default"/>
        </w:rPr>
        <w:drawing>
          <wp:anchor distT="0" distB="0" distL="114300" distR="114300" simplePos="0" relativeHeight="49" behindDoc="0" locked="0" layoutInCell="1" hidden="0" allowOverlap="1">
            <wp:simplePos x="0" y="0"/>
            <wp:positionH relativeFrom="column">
              <wp:posOffset>332740</wp:posOffset>
            </wp:positionH>
            <wp:positionV relativeFrom="paragraph">
              <wp:posOffset>49530</wp:posOffset>
            </wp:positionV>
            <wp:extent cx="5938520" cy="2232025"/>
            <wp:effectExtent l="0" t="0" r="0" b="0"/>
            <wp:wrapNone/>
            <wp:docPr id="1267" name="短期入所（福祉型）02"/>
            <a:graphic xmlns:a="http://schemas.openxmlformats.org/drawingml/2006/main">
              <a:graphicData uri="http://schemas.openxmlformats.org/drawingml/2006/picture">
                <pic:pic xmlns:pic="http://schemas.openxmlformats.org/drawingml/2006/picture">
                  <pic:nvPicPr>
                    <pic:cNvPr id="1267" name="短期入所（福祉型）02"/>
                    <pic:cNvPicPr>
                      <a:picLocks noChangeAspect="1" noChangeArrowheads="1"/>
                    </pic:cNvPicPr>
                  </pic:nvPicPr>
                  <pic:blipFill>
                    <a:blip r:embed="rId43"/>
                    <a:srcRect b="8403"/>
                    <a:stretch>
                      <a:fillRect/>
                    </a:stretch>
                  </pic:blipFill>
                  <pic:spPr>
                    <a:xfrm>
                      <a:off x="0" y="0"/>
                      <a:ext cx="5938520" cy="2232025"/>
                    </a:xfrm>
                    <a:prstGeom prst="rect">
                      <a:avLst/>
                    </a:prstGeom>
                    <a:noFill/>
                    <a:ln>
                      <a:noFill/>
                    </a:ln>
                  </pic:spPr>
                </pic:pic>
              </a:graphicData>
            </a:graphic>
          </wp:anchor>
        </w:drawing>
      </w: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0"/>
        <w:ind w:left="438" w:firstLine="205"/>
        <w:rPr>
          <w:rFonts w:hint="default"/>
        </w:rPr>
      </w:pPr>
    </w:p>
    <w:p>
      <w:pPr>
        <w:pStyle w:val="246"/>
        <w:ind w:left="672"/>
        <w:rPr>
          <w:rFonts w:hint="default"/>
        </w:rPr>
      </w:pPr>
      <w:r>
        <w:rPr>
          <w:rFonts w:hint="default"/>
        </w:rPr>
        <w:br w:type="page"/>
      </w:r>
      <w:r>
        <w:rPr>
          <w:rFonts w:hint="eastAsia"/>
        </w:rPr>
        <w:t>ｸ</w:t>
      </w:r>
      <w:r>
        <w:rPr>
          <w:rFonts w:hint="eastAsia"/>
        </w:rPr>
        <w:t>)-2</w:t>
      </w:r>
      <w:r>
        <w:rPr>
          <w:rFonts w:hint="eastAsia"/>
        </w:rPr>
        <w:t>短期入所（医療型）</w:t>
      </w:r>
    </w:p>
    <w:p>
      <w:pPr>
        <w:pStyle w:val="251"/>
        <w:spacing w:line="240" w:lineRule="auto"/>
        <w:ind w:left="897" w:leftChars="400" w:firstLine="214"/>
        <w:rPr>
          <w:rFonts w:hint="default"/>
          <w:spacing w:val="0"/>
        </w:rPr>
      </w:pPr>
      <w:r>
        <w:rPr>
          <w:rFonts w:hint="eastAsia"/>
          <w:spacing w:val="0"/>
        </w:rPr>
        <w:t>自宅で介護する方が病気等により一時的に自宅での介護が困難になった場合に、短期間受け入れる医療型の施設です。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default"/>
          <w:spacing w:val="0"/>
        </w:rPr>
        <w:t>令和２年度～令和４年度実績と令和５年度実績見込の平均から利用者数は各年度</w:t>
      </w:r>
      <w:r>
        <w:rPr>
          <w:rFonts w:hint="default"/>
          <w:spacing w:val="0"/>
        </w:rPr>
        <w:t>4</w:t>
      </w:r>
      <w:r>
        <w:rPr>
          <w:rFonts w:hint="default"/>
          <w:spacing w:val="0"/>
        </w:rPr>
        <w:t>人、利用量は各年度</w:t>
      </w:r>
      <w:r>
        <w:rPr>
          <w:rFonts w:hint="default"/>
          <w:spacing w:val="0"/>
        </w:rPr>
        <w:t>10</w:t>
      </w:r>
      <w:r>
        <w:rPr>
          <w:rFonts w:hint="default"/>
          <w:spacing w:val="0"/>
        </w:rPr>
        <w:t>日として見込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65" w:name="短期入所（医療型）"/>
            <w:r>
              <w:rPr>
                <w:rFonts w:hint="eastAsia"/>
              </w:rPr>
              <w:t>利用者数</w:t>
            </w:r>
            <w:bookmarkEnd w:id="265"/>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bl>
    <w:p>
      <w:pPr>
        <w:pStyle w:val="0"/>
        <w:spacing w:line="160" w:lineRule="exact"/>
        <w:ind w:left="224" w:leftChars="100"/>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8</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8</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8</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9</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5"/>
        <w:rPr>
          <w:rFonts w:hint="default" w:ascii="ＭＳ ゴシック" w:hAnsi="ＭＳ ゴシック" w:eastAsia="ＭＳ ゴシック"/>
        </w:rPr>
      </w:pPr>
      <w:r>
        <w:rPr>
          <w:rFonts w:hint="default"/>
        </w:rPr>
        <w:drawing>
          <wp:anchor distT="0" distB="0" distL="114300" distR="114300" simplePos="0" relativeHeight="48" behindDoc="0" locked="0" layoutInCell="1" hidden="0" allowOverlap="1">
            <wp:simplePos x="0" y="0"/>
            <wp:positionH relativeFrom="column">
              <wp:posOffset>224790</wp:posOffset>
            </wp:positionH>
            <wp:positionV relativeFrom="paragraph">
              <wp:posOffset>81915</wp:posOffset>
            </wp:positionV>
            <wp:extent cx="5938520" cy="2232025"/>
            <wp:effectExtent l="0" t="0" r="0" b="0"/>
            <wp:wrapNone/>
            <wp:docPr id="1268" name="短期入所（医療型）01"/>
            <a:graphic xmlns:a="http://schemas.openxmlformats.org/drawingml/2006/main">
              <a:graphicData uri="http://schemas.openxmlformats.org/drawingml/2006/picture">
                <pic:pic xmlns:pic="http://schemas.openxmlformats.org/drawingml/2006/picture">
                  <pic:nvPicPr>
                    <pic:cNvPr id="1268" name="短期入所（医療型）01"/>
                    <pic:cNvPicPr>
                      <a:picLocks noChangeAspect="1" noChangeArrowheads="1"/>
                    </pic:cNvPicPr>
                  </pic:nvPicPr>
                  <pic:blipFill>
                    <a:blip r:embed="rId44"/>
                    <a:srcRect b="8403"/>
                    <a:stretch>
                      <a:fillRect/>
                    </a:stretch>
                  </pic:blipFill>
                  <pic:spPr>
                    <a:xfrm>
                      <a:off x="0" y="0"/>
                      <a:ext cx="5938520" cy="2232025"/>
                    </a:xfrm>
                    <a:prstGeom prst="rect">
                      <a:avLst/>
                    </a:prstGeom>
                    <a:noFill/>
                    <a:ln>
                      <a:noFill/>
                    </a:ln>
                  </pic:spPr>
                </pic:pic>
              </a:graphicData>
            </a:graphic>
          </wp:anchor>
        </w:drawing>
      </w:r>
    </w:p>
    <w:p>
      <w:pPr>
        <w:pStyle w:val="0"/>
        <w:ind w:left="438" w:firstLine="209"/>
        <w:rPr>
          <w:rFonts w:hint="default" w:ascii="ＭＳ ゴシック" w:hAnsi="ＭＳ ゴシック" w:eastAsia="ＭＳ ゴシック"/>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4"/>
        <w:rPr>
          <w:rFonts w:hint="default"/>
        </w:rPr>
      </w:pPr>
      <w:r>
        <w:rPr>
          <w:rFonts w:hint="default"/>
        </w:rPr>
        <w:drawing>
          <wp:anchor distT="0" distB="0" distL="114300" distR="114300" simplePos="0" relativeHeight="47" behindDoc="0" locked="0" layoutInCell="1" hidden="0" allowOverlap="1">
            <wp:simplePos x="0" y="0"/>
            <wp:positionH relativeFrom="column">
              <wp:posOffset>224790</wp:posOffset>
            </wp:positionH>
            <wp:positionV relativeFrom="paragraph">
              <wp:posOffset>53975</wp:posOffset>
            </wp:positionV>
            <wp:extent cx="5938520" cy="2232025"/>
            <wp:effectExtent l="0" t="0" r="0" b="0"/>
            <wp:wrapNone/>
            <wp:docPr id="1269" name="短期入所（医療型）02"/>
            <a:graphic xmlns:a="http://schemas.openxmlformats.org/drawingml/2006/main">
              <a:graphicData uri="http://schemas.openxmlformats.org/drawingml/2006/picture">
                <pic:pic xmlns:pic="http://schemas.openxmlformats.org/drawingml/2006/picture">
                  <pic:nvPicPr>
                    <pic:cNvPr id="1269" name="短期入所（医療型）02"/>
                    <pic:cNvPicPr>
                      <a:picLocks noChangeAspect="1" noChangeArrowheads="1"/>
                    </pic:cNvPicPr>
                  </pic:nvPicPr>
                  <pic:blipFill>
                    <a:blip r:embed="rId45"/>
                    <a:srcRect b="8403"/>
                    <a:stretch>
                      <a:fillRect/>
                    </a:stretch>
                  </pic:blipFill>
                  <pic:spPr>
                    <a:xfrm>
                      <a:off x="0" y="0"/>
                      <a:ext cx="5938520" cy="2232025"/>
                    </a:xfrm>
                    <a:prstGeom prst="rect">
                      <a:avLst/>
                    </a:prstGeom>
                    <a:noFill/>
                    <a:ln>
                      <a:noFill/>
                    </a:ln>
                  </pic:spPr>
                </pic:pic>
              </a:graphicData>
            </a:graphic>
          </wp:anchor>
        </w:drawing>
      </w: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43"/>
        <w:ind w:left="784" w:hanging="336"/>
        <w:rPr>
          <w:rFonts w:hint="default"/>
        </w:rPr>
      </w:pPr>
      <w:r>
        <w:rPr>
          <w:rFonts w:hint="default"/>
        </w:rPr>
        <w:br w:type="page"/>
      </w:r>
      <w:bookmarkStart w:id="266" w:name="_Toc59549972"/>
      <w:r>
        <w:rPr>
          <w:rFonts w:hint="eastAsia"/>
        </w:rPr>
        <w:t>③居住系サービス</w:t>
      </w:r>
      <w:bookmarkEnd w:id="261"/>
      <w:bookmarkEnd w:id="262"/>
      <w:bookmarkEnd w:id="263"/>
      <w:bookmarkEnd w:id="266"/>
    </w:p>
    <w:p>
      <w:pPr>
        <w:pStyle w:val="246"/>
        <w:ind w:left="672"/>
        <w:rPr>
          <w:rFonts w:hint="default"/>
        </w:rPr>
      </w:pPr>
      <w:bookmarkStart w:id="267" w:name="_Toc314505314"/>
      <w:bookmarkStart w:id="268" w:name="_Toc314505315"/>
      <w:bookmarkStart w:id="269" w:name="_Toc314578863"/>
      <w:bookmarkStart w:id="270" w:name="_Toc314578864"/>
      <w:bookmarkStart w:id="271" w:name="_Toc318449557"/>
      <w:bookmarkStart w:id="272" w:name="_Toc318449558"/>
      <w:r>
        <w:rPr>
          <w:rFonts w:hint="eastAsia"/>
        </w:rPr>
        <w:t>ｱ</w:t>
      </w:r>
      <w:r>
        <w:rPr>
          <w:rFonts w:hint="eastAsia"/>
        </w:rPr>
        <w:t>)</w:t>
      </w:r>
      <w:r>
        <w:rPr>
          <w:rFonts w:hint="eastAsia"/>
        </w:rPr>
        <w:t>自立生活援助</w:t>
      </w:r>
    </w:p>
    <w:p>
      <w:pPr>
        <w:pStyle w:val="251"/>
        <w:spacing w:line="240" w:lineRule="auto"/>
        <w:ind w:left="897" w:leftChars="400" w:firstLine="214"/>
        <w:rPr>
          <w:rFonts w:hint="default"/>
          <w:spacing w:val="0"/>
        </w:rPr>
      </w:pPr>
      <w:r>
        <w:rPr>
          <w:rFonts w:hint="eastAsia"/>
          <w:spacing w:val="0"/>
        </w:rPr>
        <w:t>障がい者支援施設やグループホーム等から一人暮らしへの移行を希望する知的障がい者や精神障がい者等に対し、一定期間、定期的な巡回訪問・随時対応による必要な支援を行います。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eastAsia"/>
          <w:spacing w:val="0"/>
        </w:rPr>
        <w:t>これまでに利用実績はないが、今後施設やグループホーム等から一人暮らしへの移行希望者が利用すると想定し、</w:t>
      </w:r>
      <w:r>
        <w:rPr>
          <w:rFonts w:hint="default"/>
          <w:spacing w:val="0"/>
        </w:rPr>
        <w:t>令和８年度に</w:t>
      </w:r>
      <w:r>
        <w:rPr>
          <w:rFonts w:hint="default"/>
          <w:spacing w:val="0"/>
        </w:rPr>
        <w:t>1</w:t>
      </w:r>
      <w:r>
        <w:rPr>
          <w:rFonts w:hint="default"/>
          <w:spacing w:val="0"/>
        </w:rPr>
        <w:t>人見込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73" w:name="自立生活援助"/>
            <w:r>
              <w:rPr>
                <w:rFonts w:hint="eastAsia"/>
              </w:rPr>
              <w:t>利用者数</w:t>
            </w:r>
            <w:bookmarkEnd w:id="273"/>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250"/>
              <w:rPr>
                <w:rFonts w:hint="default"/>
              </w:rPr>
            </w:pPr>
            <w:r>
              <w:rPr>
                <w:rFonts w:hint="default"/>
                <w:sz w:val="22"/>
              </w:rPr>
              <w:t>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250"/>
              <w:rPr>
                <w:rFonts w:hint="default"/>
              </w:rPr>
            </w:pPr>
            <w:r>
              <w:rPr>
                <w:rFonts w:hint="default"/>
                <w:sz w:val="22"/>
              </w:rPr>
              <w:t>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top"/>
          </w:tcPr>
          <w:p>
            <w:pPr>
              <w:pStyle w:val="250"/>
              <w:rPr>
                <w:rFonts w:hint="default"/>
              </w:rPr>
            </w:pPr>
            <w:r>
              <w:rPr>
                <w:rFonts w:hint="default"/>
                <w:sz w:val="22"/>
              </w:rPr>
              <w:t>1</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250"/>
              <w:rPr>
                <w:rFonts w:hint="default"/>
              </w:rPr>
            </w:pPr>
            <w:r>
              <w:rPr>
                <w:rFonts w:hint="default"/>
                <w:sz w:val="22"/>
              </w:rPr>
              <w:t>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250"/>
              <w:rPr>
                <w:rFonts w:hint="default"/>
              </w:rPr>
            </w:pPr>
            <w:r>
              <w:rPr>
                <w:rFonts w:hint="default"/>
                <w:sz w:val="22"/>
              </w:rPr>
              <w:t>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top"/>
          </w:tcPr>
          <w:p>
            <w:pPr>
              <w:pStyle w:val="250"/>
              <w:rPr>
                <w:rFonts w:hint="default"/>
              </w:rPr>
            </w:pPr>
            <w:r>
              <w:rPr>
                <w:rFonts w:hint="default"/>
                <w:sz w:val="22"/>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250"/>
              <w:rPr>
                <w:rFonts w:hint="default"/>
              </w:rPr>
            </w:pPr>
            <w:r>
              <w:rPr>
                <w:rFonts w:hint="default"/>
                <w:sz w:val="22"/>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250"/>
              <w:rPr>
                <w:rFonts w:hint="default"/>
              </w:rPr>
            </w:pPr>
            <w:r>
              <w:rPr>
                <w:rFonts w:hint="default"/>
                <w:sz w:val="22"/>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top"/>
          </w:tcPr>
          <w:p>
            <w:pPr>
              <w:pStyle w:val="250"/>
              <w:rPr>
                <w:rFonts w:hint="default"/>
              </w:rPr>
            </w:pPr>
            <w:r>
              <w:rPr>
                <w:rFonts w:hint="default"/>
                <w:sz w:val="22"/>
              </w:rPr>
              <w:t>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250"/>
              <w:rPr>
                <w:rFonts w:hint="default"/>
              </w:rPr>
            </w:pPr>
            <w:r>
              <w:rPr>
                <w:rFonts w:hint="eastAsia"/>
                <w:sz w:val="22"/>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250"/>
              <w:rPr>
                <w:rFonts w:hint="default"/>
              </w:rPr>
            </w:pPr>
            <w:r>
              <w:rPr>
                <w:rFonts w:hint="eastAsia"/>
                <w:sz w:val="22"/>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top"/>
          </w:tcPr>
          <w:p>
            <w:pPr>
              <w:pStyle w:val="250"/>
              <w:rPr>
                <w:rFonts w:hint="default"/>
              </w:rPr>
            </w:pPr>
            <w:r>
              <w:rPr>
                <w:rFonts w:hint="eastAsia"/>
                <w:sz w:val="22"/>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46" behindDoc="0" locked="0" layoutInCell="1" hidden="0" allowOverlap="1">
            <wp:simplePos x="0" y="0"/>
            <wp:positionH relativeFrom="column">
              <wp:posOffset>285750</wp:posOffset>
            </wp:positionH>
            <wp:positionV relativeFrom="paragraph">
              <wp:posOffset>119380</wp:posOffset>
            </wp:positionV>
            <wp:extent cx="5938520" cy="2232025"/>
            <wp:effectExtent l="0" t="0" r="0" b="0"/>
            <wp:wrapNone/>
            <wp:docPr id="1270" name="自立生活援助01"/>
            <a:graphic xmlns:a="http://schemas.openxmlformats.org/drawingml/2006/main">
              <a:graphicData uri="http://schemas.openxmlformats.org/drawingml/2006/picture">
                <pic:pic xmlns:pic="http://schemas.openxmlformats.org/drawingml/2006/picture">
                  <pic:nvPicPr>
                    <pic:cNvPr id="1270" name="自立生活援助01"/>
                    <pic:cNvPicPr>
                      <a:picLocks noChangeAspect="1" noChangeArrowheads="1"/>
                    </pic:cNvPicPr>
                  </pic:nvPicPr>
                  <pic:blipFill>
                    <a:blip r:embed="rId46"/>
                    <a:srcRect b="8401"/>
                    <a:stretch>
                      <a:fillRect/>
                    </a:stretch>
                  </pic:blipFill>
                  <pic:spPr>
                    <a:xfrm>
                      <a:off x="0" y="0"/>
                      <a:ext cx="5938520" cy="2232025"/>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rPr>
          <w:rFonts w:hint="default"/>
          <w:spacing w:val="-2"/>
          <w:sz w:val="21"/>
        </w:rPr>
      </w:pPr>
      <w:r>
        <w:rPr>
          <w:rFonts w:hint="default"/>
        </w:rPr>
        <w:br w:type="page"/>
      </w:r>
    </w:p>
    <w:p>
      <w:pPr>
        <w:pStyle w:val="246"/>
        <w:ind w:left="672"/>
        <w:rPr>
          <w:rFonts w:hint="default"/>
        </w:rPr>
      </w:pPr>
      <w:r>
        <w:rPr>
          <w:rFonts w:hint="eastAsia"/>
        </w:rPr>
        <w:t>ｲ</w:t>
      </w:r>
      <w:r>
        <w:rPr>
          <w:rFonts w:hint="eastAsia"/>
        </w:rPr>
        <w:t>)</w:t>
      </w:r>
      <w:bookmarkEnd w:id="267"/>
      <w:bookmarkEnd w:id="269"/>
      <w:bookmarkEnd w:id="271"/>
      <w:bookmarkStart w:id="274" w:name="_Toc318449559"/>
      <w:r>
        <w:rPr>
          <w:rFonts w:hint="eastAsia"/>
        </w:rPr>
        <w:t>共同生活援助（グループホーム）</w:t>
      </w:r>
      <w:bookmarkEnd w:id="274"/>
    </w:p>
    <w:p>
      <w:pPr>
        <w:pStyle w:val="251"/>
        <w:spacing w:line="240" w:lineRule="auto"/>
        <w:ind w:left="897" w:leftChars="400" w:firstLine="214"/>
        <w:rPr>
          <w:rFonts w:hint="default"/>
          <w:spacing w:val="0"/>
        </w:rPr>
      </w:pPr>
      <w:r>
        <w:rPr>
          <w:rFonts w:hint="eastAsia"/>
          <w:spacing w:val="0"/>
        </w:rPr>
        <w:t>共同生活を行う住居において、相談支援や日常生活上の援助を行います。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default"/>
          <w:spacing w:val="0"/>
        </w:rPr>
        <w:t>令和２年度～令和４年度実績と令和５年度実績見込より利用者数は年々増加しており、今後も増加していくと見込</w:t>
      </w:r>
      <w:r>
        <w:rPr>
          <w:rFonts w:hint="eastAsia"/>
          <w:spacing w:val="0"/>
        </w:rPr>
        <w:t>み</w:t>
      </w:r>
      <w:r>
        <w:rPr>
          <w:rFonts w:hint="default"/>
          <w:spacing w:val="0"/>
        </w:rPr>
        <w:t>ます。令和４年度実績から令和５年度実績見込の増加者数</w:t>
      </w:r>
      <w:r>
        <w:rPr>
          <w:rFonts w:hint="default"/>
          <w:spacing w:val="0"/>
        </w:rPr>
        <w:t>4</w:t>
      </w:r>
      <w:r>
        <w:rPr>
          <w:rFonts w:hint="default"/>
          <w:spacing w:val="0"/>
        </w:rPr>
        <w:t>人が年度ごとに増えていくと見込</w:t>
      </w:r>
      <w:r>
        <w:rPr>
          <w:rFonts w:hint="eastAsia"/>
          <w:spacing w:val="0"/>
        </w:rPr>
        <w:t>み</w:t>
      </w:r>
      <w:r>
        <w:rPr>
          <w:rFonts w:hint="default"/>
          <w:spacing w:val="0"/>
        </w:rPr>
        <w:t>ます。</w:t>
      </w:r>
    </w:p>
    <w:p>
      <w:pPr>
        <w:pStyle w:val="0"/>
        <w:spacing w:line="100" w:lineRule="exact"/>
        <w:rPr>
          <w:rFonts w:hint="default"/>
        </w:rPr>
      </w:pPr>
      <w:bookmarkEnd w:id="272"/>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75" w:name="共同生活援助（グループホーム）"/>
            <w:r>
              <w:rPr>
                <w:rFonts w:hint="eastAsia"/>
              </w:rPr>
              <w:t>利用者数</w:t>
            </w:r>
            <w:bookmarkEnd w:id="275"/>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37</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39</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41</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55</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59</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63</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42</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47</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51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8</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r>
        <w:rPr>
          <w:rFonts w:hint="default"/>
        </w:rPr>
        <w:drawing>
          <wp:anchor distT="0" distB="0" distL="114300" distR="114300" simplePos="0" relativeHeight="45" behindDoc="0" locked="0" layoutInCell="1" hidden="0" allowOverlap="1">
            <wp:simplePos x="0" y="0"/>
            <wp:positionH relativeFrom="column">
              <wp:posOffset>244475</wp:posOffset>
            </wp:positionH>
            <wp:positionV relativeFrom="paragraph">
              <wp:posOffset>163830</wp:posOffset>
            </wp:positionV>
            <wp:extent cx="5938520" cy="2232025"/>
            <wp:effectExtent l="0" t="0" r="0" b="0"/>
            <wp:wrapNone/>
            <wp:docPr id="1271" name="共同生活援助（グループホーム）01"/>
            <a:graphic xmlns:a="http://schemas.openxmlformats.org/drawingml/2006/main">
              <a:graphicData uri="http://schemas.openxmlformats.org/drawingml/2006/picture">
                <pic:pic xmlns:pic="http://schemas.openxmlformats.org/drawingml/2006/picture">
                  <pic:nvPicPr>
                    <pic:cNvPr id="1271" name="共同生活援助（グループホーム）01"/>
                    <pic:cNvPicPr>
                      <a:picLocks noChangeAspect="1" noChangeArrowheads="1"/>
                    </pic:cNvPicPr>
                  </pic:nvPicPr>
                  <pic:blipFill>
                    <a:blip r:embed="rId47"/>
                    <a:srcRect b="8401"/>
                    <a:stretch>
                      <a:fillRect/>
                    </a:stretch>
                  </pic:blipFill>
                  <pic:spPr>
                    <a:xfrm>
                      <a:off x="0" y="0"/>
                      <a:ext cx="5938520" cy="2232025"/>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251"/>
        <w:ind w:left="448" w:firstLine="210"/>
        <w:rPr>
          <w:rFonts w:hint="default"/>
        </w:rPr>
      </w:pPr>
      <w:bookmarkEnd w:id="268"/>
      <w:bookmarkEnd w:id="270"/>
      <w:bookmarkStart w:id="276" w:name="_Toc314505316"/>
      <w:bookmarkStart w:id="277" w:name="_Toc314578865"/>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0"/>
        <w:rPr>
          <w:rFonts w:hint="default"/>
          <w:sz w:val="16"/>
        </w:rPr>
      </w:pPr>
      <w:r>
        <w:rPr>
          <w:rFonts w:hint="default"/>
          <w:sz w:val="16"/>
        </w:rPr>
        <w:br w:type="page"/>
      </w:r>
    </w:p>
    <w:p>
      <w:pPr>
        <w:pStyle w:val="246"/>
        <w:ind w:left="672"/>
        <w:rPr>
          <w:rFonts w:hint="default"/>
        </w:rPr>
      </w:pPr>
      <w:bookmarkEnd w:id="276"/>
      <w:bookmarkEnd w:id="277"/>
      <w:r>
        <w:rPr>
          <w:rFonts w:hint="default"/>
        </w:rPr>
        <w:t>ｳ</w:t>
      </w:r>
      <w:r>
        <w:rPr>
          <w:rFonts w:hint="default"/>
        </w:rPr>
        <w:t>)</w:t>
      </w:r>
      <w:r>
        <w:rPr>
          <w:rFonts w:hint="eastAsia"/>
        </w:rPr>
        <w:t>施設入所支援</w:t>
      </w:r>
    </w:p>
    <w:p>
      <w:pPr>
        <w:pStyle w:val="251"/>
        <w:spacing w:line="240" w:lineRule="auto"/>
        <w:ind w:left="897" w:leftChars="400" w:firstLine="214"/>
        <w:rPr>
          <w:rFonts w:hint="default"/>
          <w:spacing w:val="0"/>
        </w:rPr>
      </w:pPr>
      <w:r>
        <w:rPr>
          <w:rFonts w:hint="eastAsia"/>
          <w:spacing w:val="0"/>
        </w:rPr>
        <w:t>施設に入所する方に、夜間や休日、入浴、排せつ、食事等の介護とともに、日常生活上の相談支援を行います。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default"/>
          <w:spacing w:val="0"/>
        </w:rPr>
        <w:t>令和２年度～令和４年度実績と令和５年度実績見込</w:t>
      </w:r>
      <w:r>
        <w:rPr>
          <w:rFonts w:hint="eastAsia"/>
          <w:spacing w:val="0"/>
        </w:rPr>
        <w:t>では</w:t>
      </w:r>
      <w:r>
        <w:rPr>
          <w:rFonts w:hint="default"/>
          <w:spacing w:val="0"/>
        </w:rPr>
        <w:t>微増しておりますが、地域生活への移行も考え</w:t>
      </w:r>
      <w:r>
        <w:rPr>
          <w:rFonts w:hint="eastAsia"/>
          <w:spacing w:val="0"/>
        </w:rPr>
        <w:t>、利用者数は令和６年度については令和５年度と同数を見込み、令和７年度以降は毎年度１人減を見込み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78" w:name="施設入所支援"/>
            <w:r>
              <w:rPr>
                <w:rFonts w:hint="eastAsia"/>
              </w:rPr>
              <w:t>利用者数</w:t>
            </w:r>
            <w:bookmarkEnd w:id="278"/>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57</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56</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61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60</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59</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59</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61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61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5</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8" behindDoc="0" locked="0" layoutInCell="1" hidden="0" allowOverlap="1">
            <wp:simplePos x="0" y="0"/>
            <wp:positionH relativeFrom="column">
              <wp:posOffset>225425</wp:posOffset>
            </wp:positionH>
            <wp:positionV relativeFrom="paragraph">
              <wp:posOffset>106680</wp:posOffset>
            </wp:positionV>
            <wp:extent cx="5938520" cy="2231390"/>
            <wp:effectExtent l="0" t="0" r="0" b="0"/>
            <wp:wrapNone/>
            <wp:docPr id="1272" name="施設入所支援01"/>
            <a:graphic xmlns:a="http://schemas.openxmlformats.org/drawingml/2006/main">
              <a:graphicData uri="http://schemas.openxmlformats.org/drawingml/2006/picture">
                <pic:pic xmlns:pic="http://schemas.openxmlformats.org/drawingml/2006/picture">
                  <pic:nvPicPr>
                    <pic:cNvPr id="1272" name="施設入所支援01"/>
                    <pic:cNvPicPr>
                      <a:picLocks noChangeAspect="1" noChangeArrowheads="1"/>
                    </pic:cNvPicPr>
                  </pic:nvPicPr>
                  <pic:blipFill>
                    <a:blip r:embed="rId48"/>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43"/>
        <w:ind w:left="784" w:hanging="336"/>
        <w:rPr>
          <w:rFonts w:hint="default"/>
        </w:rPr>
      </w:pPr>
      <w:r>
        <w:rPr>
          <w:rFonts w:hint="default"/>
        </w:rPr>
        <w:br w:type="page"/>
      </w:r>
      <w:bookmarkStart w:id="279" w:name="_Toc59549973"/>
      <w:r>
        <w:rPr>
          <w:rFonts w:hint="eastAsia"/>
        </w:rPr>
        <w:t>④相談支援</w:t>
      </w:r>
      <w:bookmarkEnd w:id="279"/>
    </w:p>
    <w:p>
      <w:pPr>
        <w:pStyle w:val="246"/>
        <w:ind w:left="672"/>
        <w:rPr>
          <w:rFonts w:hint="default"/>
        </w:rPr>
      </w:pPr>
      <w:r>
        <w:rPr>
          <w:rFonts w:hint="eastAsia"/>
        </w:rPr>
        <w:t>ｱ</w:t>
      </w:r>
      <w:r>
        <w:rPr>
          <w:rFonts w:hint="eastAsia"/>
        </w:rPr>
        <w:t>)</w:t>
      </w:r>
      <w:r>
        <w:rPr>
          <w:rFonts w:hint="eastAsia"/>
        </w:rPr>
        <w:t>計画相談支援</w:t>
      </w:r>
    </w:p>
    <w:p>
      <w:pPr>
        <w:pStyle w:val="251"/>
        <w:spacing w:line="240" w:lineRule="auto"/>
        <w:ind w:left="897" w:leftChars="400" w:firstLine="214"/>
        <w:rPr>
          <w:rFonts w:hint="default"/>
          <w:spacing w:val="0"/>
        </w:rPr>
      </w:pPr>
      <w:r>
        <w:rPr>
          <w:rFonts w:hint="eastAsia"/>
          <w:spacing w:val="0"/>
        </w:rPr>
        <w:t>障害福祉サービスの利用等について相談に応じ、助言や情報提供、「サービス等利用計画」の作成を行います。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default"/>
          <w:spacing w:val="0"/>
        </w:rPr>
        <w:t>令和２年度～令和４年度実績平均より毎年増加になることが想定されます。今後の障害福祉サービスの利用申請についても増加になると見込</w:t>
      </w:r>
      <w:r>
        <w:rPr>
          <w:rFonts w:hint="eastAsia"/>
          <w:spacing w:val="0"/>
        </w:rPr>
        <w:t>み、</w:t>
      </w:r>
      <w:r>
        <w:rPr>
          <w:rFonts w:hint="default"/>
          <w:spacing w:val="0"/>
        </w:rPr>
        <w:t>令和５年度実績見込から毎年度ごとに</w:t>
      </w:r>
      <w:r>
        <w:rPr>
          <w:rFonts w:hint="default"/>
          <w:spacing w:val="0"/>
        </w:rPr>
        <w:t>10</w:t>
      </w:r>
      <w:r>
        <w:rPr>
          <w:rFonts w:hint="default"/>
          <w:spacing w:val="0"/>
        </w:rPr>
        <w:t>名増加で見込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80" w:name="計画相談支援"/>
            <w:r>
              <w:rPr>
                <w:rFonts w:hint="eastAsia"/>
              </w:rPr>
              <w:t>利用者数</w:t>
            </w:r>
            <w:bookmarkEnd w:id="280"/>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94</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104</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114</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121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131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141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92</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95</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111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9</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3</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44" behindDoc="0" locked="0" layoutInCell="1" hidden="0" allowOverlap="1">
            <wp:simplePos x="0" y="0"/>
            <wp:positionH relativeFrom="column">
              <wp:posOffset>228600</wp:posOffset>
            </wp:positionH>
            <wp:positionV relativeFrom="paragraph">
              <wp:posOffset>109855</wp:posOffset>
            </wp:positionV>
            <wp:extent cx="5938520" cy="2231390"/>
            <wp:effectExtent l="0" t="0" r="0" b="0"/>
            <wp:wrapNone/>
            <wp:docPr id="1273" name="計画相談支援01"/>
            <a:graphic xmlns:a="http://schemas.openxmlformats.org/drawingml/2006/main">
              <a:graphicData uri="http://schemas.openxmlformats.org/drawingml/2006/picture">
                <pic:pic xmlns:pic="http://schemas.openxmlformats.org/drawingml/2006/picture">
                  <pic:nvPicPr>
                    <pic:cNvPr id="1273" name="計画相談支援01"/>
                    <pic:cNvPicPr>
                      <a:picLocks noChangeAspect="1" noChangeArrowheads="1"/>
                    </pic:cNvPicPr>
                  </pic:nvPicPr>
                  <pic:blipFill>
                    <a:blip r:embed="rId49"/>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251"/>
        <w:ind w:left="448" w:firstLine="210"/>
        <w:rPr>
          <w:rFonts w:hint="default" w:ascii="ＭＳ ゴシック" w:hAnsi="ＭＳ ゴシック" w:eastAsia="ＭＳ ゴシック"/>
        </w:rPr>
      </w:pPr>
    </w:p>
    <w:p>
      <w:pPr>
        <w:pStyle w:val="251"/>
        <w:ind w:left="448" w:firstLine="210"/>
        <w:rPr>
          <w:rFonts w:hint="default" w:ascii="ＭＳ ゴシック" w:hAnsi="ＭＳ ゴシック" w:eastAsia="ＭＳ ゴシック"/>
        </w:rPr>
      </w:pPr>
    </w:p>
    <w:p>
      <w:pPr>
        <w:pStyle w:val="251"/>
        <w:ind w:left="448" w:firstLine="210"/>
        <w:rPr>
          <w:rFonts w:hint="default" w:ascii="ＭＳ ゴシック" w:hAnsi="ＭＳ ゴシック" w:eastAsia="ＭＳ ゴシック"/>
        </w:rPr>
      </w:pPr>
    </w:p>
    <w:p>
      <w:pPr>
        <w:pStyle w:val="246"/>
        <w:ind w:left="672"/>
        <w:rPr>
          <w:rFonts w:hint="default"/>
        </w:rPr>
      </w:pPr>
      <w:r>
        <w:rPr>
          <w:rFonts w:hint="default"/>
        </w:rPr>
        <w:br w:type="page"/>
      </w:r>
      <w:r>
        <w:rPr>
          <w:rFonts w:hint="default"/>
        </w:rPr>
        <w:t>ｲ</w:t>
      </w:r>
      <w:r>
        <w:rPr>
          <w:rFonts w:hint="default"/>
        </w:rPr>
        <w:t>)</w:t>
      </w:r>
      <w:r>
        <w:rPr>
          <w:rFonts w:hint="eastAsia"/>
        </w:rPr>
        <w:t>地域移行支援</w:t>
      </w:r>
    </w:p>
    <w:p>
      <w:pPr>
        <w:pStyle w:val="251"/>
        <w:spacing w:line="240" w:lineRule="auto"/>
        <w:ind w:left="897" w:leftChars="400" w:firstLine="214"/>
        <w:rPr>
          <w:rFonts w:hint="default"/>
          <w:spacing w:val="0"/>
        </w:rPr>
      </w:pPr>
      <w:r>
        <w:rPr>
          <w:rFonts w:hint="eastAsia"/>
          <w:spacing w:val="0"/>
        </w:rPr>
        <w:t>障がい者支援施設や精神科病院に入所等をしている障がい者に対し、住居の確保、地域生活の準備や福祉サービスの見学・体験のための外出への同行支援、地域における生活に移行するための活動に関する相談等の支援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default"/>
          <w:spacing w:val="0"/>
        </w:rPr>
        <w:t>令和元年度の利用実績以降、利用者はいませんが、今後地域生活への移行が進むものと見込まれるため各年度</w:t>
      </w:r>
      <w:r>
        <w:rPr>
          <w:rFonts w:hint="default"/>
          <w:spacing w:val="0"/>
        </w:rPr>
        <w:t>1</w:t>
      </w:r>
      <w:r>
        <w:rPr>
          <w:rFonts w:hint="default"/>
          <w:spacing w:val="0"/>
        </w:rPr>
        <w:t>人の利用を見込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81" w:name="地域相談支援"/>
            <w:bookmarkStart w:id="282" w:name="地域移行支援"/>
            <w:r>
              <w:rPr>
                <w:rFonts w:hint="eastAsia"/>
              </w:rPr>
              <w:t>利用者数</w:t>
            </w:r>
            <w:bookmarkEnd w:id="281"/>
            <w:bookmarkEnd w:id="282"/>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43" behindDoc="0" locked="0" layoutInCell="1" hidden="0" allowOverlap="1">
            <wp:simplePos x="0" y="0"/>
            <wp:positionH relativeFrom="column">
              <wp:posOffset>187325</wp:posOffset>
            </wp:positionH>
            <wp:positionV relativeFrom="paragraph">
              <wp:posOffset>125730</wp:posOffset>
            </wp:positionV>
            <wp:extent cx="5938520" cy="2231390"/>
            <wp:effectExtent l="0" t="0" r="0" b="0"/>
            <wp:wrapNone/>
            <wp:docPr id="1274" name="地域移行支援01"/>
            <a:graphic xmlns:a="http://schemas.openxmlformats.org/drawingml/2006/main">
              <a:graphicData uri="http://schemas.openxmlformats.org/drawingml/2006/picture">
                <pic:pic xmlns:pic="http://schemas.openxmlformats.org/drawingml/2006/picture">
                  <pic:nvPicPr>
                    <pic:cNvPr id="1274" name="地域移行支援01"/>
                    <pic:cNvPicPr>
                      <a:picLocks noChangeAspect="1" noChangeArrowheads="1"/>
                    </pic:cNvPicPr>
                  </pic:nvPicPr>
                  <pic:blipFill>
                    <a:blip r:embed="rId50"/>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default" w:ascii="ＭＳ ゴシック" w:hAnsi="ＭＳ ゴシック" w:eastAsia="ＭＳ ゴシック"/>
        </w:rPr>
        <w:br w:type="page"/>
      </w:r>
    </w:p>
    <w:p>
      <w:pPr>
        <w:pStyle w:val="246"/>
        <w:ind w:left="672"/>
        <w:rPr>
          <w:rFonts w:hint="default"/>
        </w:rPr>
      </w:pPr>
      <w:r>
        <w:rPr>
          <w:rFonts w:hint="default"/>
        </w:rPr>
        <w:t>ｳ</w:t>
      </w:r>
      <w:r>
        <w:rPr>
          <w:rFonts w:hint="default"/>
        </w:rPr>
        <w:t>)</w:t>
      </w:r>
      <w:r>
        <w:rPr>
          <w:rFonts w:hint="eastAsia"/>
        </w:rPr>
        <w:t>地域定着支援</w:t>
      </w:r>
    </w:p>
    <w:p>
      <w:pPr>
        <w:pStyle w:val="251"/>
        <w:spacing w:line="240" w:lineRule="auto"/>
        <w:ind w:left="897" w:leftChars="400" w:firstLine="214"/>
        <w:rPr>
          <w:rFonts w:hint="default"/>
          <w:spacing w:val="0"/>
        </w:rPr>
      </w:pPr>
      <w:r>
        <w:rPr>
          <w:rFonts w:hint="eastAsia"/>
          <w:spacing w:val="0"/>
        </w:rPr>
        <w:t>居宅で一人暮らししている障がい者等に対する夜間も含む緊急時における連絡、相談等の支援を行います。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eastAsia"/>
          <w:spacing w:val="0"/>
        </w:rPr>
        <w:t>これまで利用実績はありませんが、今後地域生活への移行が進むものと見込まれるため各年度</w:t>
      </w:r>
      <w:r>
        <w:rPr>
          <w:rFonts w:hint="default"/>
          <w:spacing w:val="0"/>
        </w:rPr>
        <w:t>1</w:t>
      </w:r>
      <w:r>
        <w:rPr>
          <w:rFonts w:hint="default"/>
          <w:spacing w:val="0"/>
        </w:rPr>
        <w:t>人の利用を見込</w:t>
      </w:r>
      <w:r>
        <w:rPr>
          <w:rFonts w:hint="eastAsia"/>
          <w:spacing w:val="0"/>
        </w:rPr>
        <w:t>み</w:t>
      </w:r>
      <w:r>
        <w:rPr>
          <w:rFonts w:hint="default"/>
          <w:spacing w:val="0"/>
        </w:rPr>
        <w:t>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283" w:name="地域定着支援"/>
            <w:r>
              <w:rPr>
                <w:rFonts w:hint="eastAsia"/>
              </w:rPr>
              <w:t>利用者数</w:t>
            </w:r>
            <w:bookmarkEnd w:id="283"/>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42" behindDoc="0" locked="0" layoutInCell="1" hidden="0" allowOverlap="1">
            <wp:simplePos x="0" y="0"/>
            <wp:positionH relativeFrom="column">
              <wp:posOffset>228600</wp:posOffset>
            </wp:positionH>
            <wp:positionV relativeFrom="paragraph">
              <wp:posOffset>92710</wp:posOffset>
            </wp:positionV>
            <wp:extent cx="5938520" cy="2231390"/>
            <wp:effectExtent l="0" t="0" r="0" b="0"/>
            <wp:wrapNone/>
            <wp:docPr id="1275" name="地域定着支援01"/>
            <a:graphic xmlns:a="http://schemas.openxmlformats.org/drawingml/2006/main">
              <a:graphicData uri="http://schemas.openxmlformats.org/drawingml/2006/picture">
                <pic:pic xmlns:pic="http://schemas.openxmlformats.org/drawingml/2006/picture">
                  <pic:nvPicPr>
                    <pic:cNvPr id="1275" name="地域定着支援01"/>
                    <pic:cNvPicPr>
                      <a:picLocks noChangeAspect="1" noChangeArrowheads="1"/>
                    </pic:cNvPicPr>
                  </pic:nvPicPr>
                  <pic:blipFill>
                    <a:blip r:embed="rId51"/>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0"/>
        <w:rPr>
          <w:rFonts w:hint="default"/>
          <w:spacing w:val="-2"/>
          <w:sz w:val="21"/>
        </w:rPr>
      </w:pPr>
      <w:bookmarkStart w:id="284" w:name="_Toc158027981"/>
      <w:bookmarkStart w:id="285" w:name="_Toc159123336"/>
    </w:p>
    <w:p>
      <w:pPr>
        <w:pStyle w:val="243"/>
        <w:ind w:left="784" w:hanging="336"/>
        <w:rPr>
          <w:rFonts w:hint="default"/>
        </w:rPr>
      </w:pPr>
      <w:r>
        <w:rPr>
          <w:rFonts w:hint="eastAsia"/>
        </w:rPr>
        <w:t>⑤</w:t>
      </w:r>
      <w:bookmarkEnd w:id="284"/>
      <w:bookmarkEnd w:id="285"/>
      <w:r>
        <w:rPr>
          <w:rFonts w:hint="eastAsia"/>
        </w:rPr>
        <w:t>サービス見込量確保のための方策</w:t>
      </w:r>
    </w:p>
    <w:p>
      <w:pPr>
        <w:pStyle w:val="0"/>
        <w:ind w:left="672" w:leftChars="300" w:firstLine="214" w:firstLineChars="100"/>
        <w:rPr>
          <w:rFonts w:hint="default" w:asciiTheme="minorEastAsia" w:hAnsiTheme="minorEastAsia" w:eastAsiaTheme="minorEastAsia"/>
          <w:sz w:val="21"/>
        </w:rPr>
      </w:pPr>
      <w:bookmarkStart w:id="286" w:name="_Toc153361625"/>
      <w:r>
        <w:rPr>
          <w:rFonts w:hint="eastAsia" w:asciiTheme="minorEastAsia" w:hAnsiTheme="minorEastAsia" w:eastAsiaTheme="minorEastAsia"/>
          <w:sz w:val="21"/>
        </w:rPr>
        <w:t>本町では利用者のニーズを満たす供給量を確保するために、各サービスの利用状況を把握し、サービスの提供が不足しないよう民間等の事業者との連携を図ります。</w:t>
      </w:r>
    </w:p>
    <w:p>
      <w:pPr>
        <w:pStyle w:val="0"/>
        <w:ind w:left="672" w:leftChars="30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また、サービス量の確保とともに、質の高いサービスの提供が不可欠であるため、利用者の声を把握することに努め、状況に応じて事業者への指導を行うなど、質の低下を防ぐように努めます。</w:t>
      </w:r>
    </w:p>
    <w:p>
      <w:pPr>
        <w:pStyle w:val="0"/>
        <w:ind w:left="672" w:leftChars="30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実績の乏しいサービスについては利用の周知を図るほか、サービス提供事業所がないサービスについては、本町のサービス利用状況等の情報提供により事業者の参入促進を図ります。</w:t>
      </w:r>
    </w:p>
    <w:p>
      <w:pPr>
        <w:pStyle w:val="0"/>
        <w:ind w:left="672" w:leftChars="300" w:firstLine="214" w:firstLineChars="100"/>
        <w:rPr>
          <w:rFonts w:hint="default" w:asciiTheme="minorEastAsia" w:hAnsiTheme="minorEastAsia" w:eastAsiaTheme="minorEastAsia"/>
          <w:sz w:val="21"/>
        </w:rPr>
      </w:pPr>
      <w:bookmarkEnd w:id="286"/>
    </w:p>
    <w:p>
      <w:pPr>
        <w:pStyle w:val="0"/>
        <w:ind w:left="672" w:leftChars="300" w:firstLine="214" w:firstLineChars="100"/>
        <w:rPr>
          <w:rFonts w:hint="default" w:asciiTheme="minorEastAsia" w:hAnsiTheme="minorEastAsia" w:eastAsiaTheme="minorEastAsia"/>
          <w:sz w:val="21"/>
        </w:rPr>
      </w:pPr>
      <w:r>
        <w:rPr>
          <w:rFonts w:hint="default" w:asciiTheme="minorEastAsia" w:hAnsiTheme="minorEastAsia" w:eastAsiaTheme="minorEastAsia"/>
          <w:sz w:val="21"/>
        </w:rPr>
        <w:br w:type="page"/>
      </w:r>
    </w:p>
    <w:p>
      <w:pPr>
        <w:pStyle w:val="251"/>
        <w:spacing w:line="240" w:lineRule="auto"/>
        <w:ind w:left="448" w:firstLine="0" w:firstLineChars="0"/>
        <w:rPr>
          <w:rFonts w:hint="default" w:asciiTheme="majorEastAsia" w:hAnsiTheme="majorEastAsia" w:eastAsiaTheme="majorEastAsia"/>
          <w:spacing w:val="0"/>
        </w:rPr>
      </w:pPr>
      <w:r>
        <w:rPr>
          <w:rFonts w:hint="eastAsia" w:asciiTheme="majorEastAsia" w:hAnsiTheme="majorEastAsia" w:eastAsiaTheme="majorEastAsia"/>
          <w:spacing w:val="0"/>
        </w:rPr>
        <w:t>【障害福祉サービスの実績及び見込み一覧】</w:t>
      </w:r>
    </w:p>
    <w:tbl>
      <w:tblPr>
        <w:tblStyle w:val="11"/>
        <w:tblW w:w="9072" w:type="dxa"/>
        <w:tblInd w:w="562" w:type="dxa"/>
        <w:tblLayout w:type="fixed"/>
        <w:tblCellMar>
          <w:left w:w="99" w:type="dxa"/>
          <w:right w:w="99" w:type="dxa"/>
        </w:tblCellMar>
        <w:tblLook w:firstRow="1" w:lastRow="0" w:firstColumn="1" w:lastColumn="0" w:noHBand="0" w:noVBand="1" w:val="04A0"/>
      </w:tblPr>
      <w:tblGrid>
        <w:gridCol w:w="426"/>
        <w:gridCol w:w="1417"/>
        <w:gridCol w:w="851"/>
        <w:gridCol w:w="1134"/>
        <w:gridCol w:w="874"/>
        <w:gridCol w:w="874"/>
        <w:gridCol w:w="874"/>
        <w:gridCol w:w="874"/>
        <w:gridCol w:w="874"/>
        <w:gridCol w:w="874"/>
      </w:tblGrid>
      <w:tr>
        <w:trPr/>
        <w:tc>
          <w:tcPr>
            <w:tcW w:w="426"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134"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単位</w:t>
            </w:r>
          </w:p>
        </w:tc>
        <w:tc>
          <w:tcPr>
            <w:tcW w:w="2622"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実績値</w:t>
            </w:r>
          </w:p>
        </w:tc>
        <w:tc>
          <w:tcPr>
            <w:tcW w:w="2622"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計画値</w:t>
            </w:r>
          </w:p>
        </w:tc>
      </w:tr>
      <w:tr>
        <w:trPr/>
        <w:tc>
          <w:tcPr>
            <w:tcW w:w="426"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134"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３年度</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４年度</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５年度</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６</w:t>
            </w:r>
            <w:r>
              <w:rPr>
                <w:rFonts w:hint="default" w:asciiTheme="minorEastAsia" w:hAnsiTheme="minorEastAsia" w:eastAsiaTheme="minorEastAsia"/>
                <w:sz w:val="20"/>
              </w:rPr>
              <w:t>年度</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７</w:t>
            </w:r>
            <w:r>
              <w:rPr>
                <w:rFonts w:hint="default" w:asciiTheme="minorEastAsia" w:hAnsiTheme="minorEastAsia" w:eastAsiaTheme="minorEastAsia"/>
                <w:sz w:val="20"/>
              </w:rPr>
              <w:t>年度</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８</w:t>
            </w:r>
            <w:r>
              <w:rPr>
                <w:rFonts w:hint="default" w:asciiTheme="minorEastAsia" w:hAnsiTheme="minorEastAsia" w:eastAsiaTheme="minorEastAsia"/>
                <w:sz w:val="20"/>
              </w:rPr>
              <w:t>年度</w:t>
            </w:r>
          </w:p>
        </w:tc>
      </w:tr>
      <w:tr>
        <w:trPr/>
        <w:tc>
          <w:tcPr>
            <w:tcW w:w="426"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textDirection w:val="tbRlV"/>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訪問系</w:t>
            </w: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居宅介護</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66</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68</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86</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92</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時間</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807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786</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778</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840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903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966</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重度訪問介護</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時間</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323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337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710</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行動援護</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時間</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31</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同行援護</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31</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時間</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576</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644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652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702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754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806</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重度障害者等包括支援</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時間</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r>
      <w:tr>
        <w:trPr/>
        <w:tc>
          <w:tcPr>
            <w:tcW w:w="426"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textDirection w:val="tbRlV"/>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日中活動系</w:t>
            </w: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生活介護</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96</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99</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1,990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1,932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2,015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2,015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2,015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2,015</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自立訓練</w:t>
            </w:r>
          </w:p>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w:t>
            </w:r>
            <w:r>
              <w:rPr>
                <w:rFonts w:hint="default" w:asciiTheme="minorEastAsia" w:hAnsiTheme="minorEastAsia" w:eastAsiaTheme="minorEastAsia"/>
                <w:sz w:val="20"/>
              </w:rPr>
              <w:t>機能訓練</w:t>
            </w:r>
            <w:r>
              <w:rPr>
                <w:rFonts w:hint="default" w:asciiTheme="minorEastAsia" w:hAnsiTheme="minorEastAsia" w:eastAsiaTheme="minorEastAsia"/>
                <w:sz w:val="20"/>
              </w:rPr>
              <w:t>)</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23</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自立訓練</w:t>
            </w:r>
          </w:p>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w:t>
            </w:r>
            <w:r>
              <w:rPr>
                <w:rFonts w:hint="default" w:asciiTheme="minorEastAsia" w:hAnsiTheme="minorEastAsia" w:eastAsiaTheme="minorEastAsia"/>
                <w:sz w:val="20"/>
              </w:rPr>
              <w:t>生活訓練</w:t>
            </w:r>
            <w:r>
              <w:rPr>
                <w:rFonts w:hint="default" w:asciiTheme="minorEastAsia" w:hAnsiTheme="minorEastAsia" w:eastAsiaTheme="minorEastAsia"/>
                <w:sz w:val="20"/>
              </w:rPr>
              <w:t>)</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48</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61</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one" w:color="auto" w:sz="0"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就労選択支援</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就労移行支援</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192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192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192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192</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就労継続支援</w:t>
            </w:r>
          </w:p>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w:t>
            </w:r>
            <w:r>
              <w:rPr>
                <w:rFonts w:hint="default" w:asciiTheme="minorEastAsia" w:hAnsiTheme="minorEastAsia" w:eastAsiaTheme="minorEastAsia"/>
                <w:sz w:val="20"/>
              </w:rPr>
              <w:t>Ａ型</w:t>
            </w:r>
            <w:r>
              <w:rPr>
                <w:rFonts w:hint="default" w:asciiTheme="minorEastAsia" w:hAnsiTheme="minorEastAsia" w:eastAsiaTheme="minorEastAsia"/>
                <w:sz w:val="20"/>
              </w:rPr>
              <w:t>)</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28</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27</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515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450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467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513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513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513</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就労継続支援</w:t>
            </w:r>
          </w:p>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w:t>
            </w:r>
            <w:r>
              <w:rPr>
                <w:rFonts w:hint="default" w:asciiTheme="minorEastAsia" w:hAnsiTheme="minorEastAsia" w:eastAsiaTheme="minorEastAsia"/>
                <w:sz w:val="20"/>
              </w:rPr>
              <w:t>Ｂ型</w:t>
            </w:r>
            <w:r>
              <w:rPr>
                <w:rFonts w:hint="default" w:asciiTheme="minorEastAsia" w:hAnsiTheme="minorEastAsia" w:eastAsiaTheme="minorEastAsia"/>
                <w:sz w:val="20"/>
              </w:rPr>
              <w:t>)</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149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182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187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192</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2,765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2,886</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3,233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3,276</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3,366</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3,456</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就労定着支援</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療養介護</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短期入所</w:t>
            </w:r>
          </w:p>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w:t>
            </w:r>
            <w:r>
              <w:rPr>
                <w:rFonts w:hint="default" w:asciiTheme="minorEastAsia" w:hAnsiTheme="minorEastAsia" w:eastAsiaTheme="minorEastAsia"/>
                <w:sz w:val="20"/>
              </w:rPr>
              <w:t>福祉型</w:t>
            </w:r>
            <w:r>
              <w:rPr>
                <w:rFonts w:hint="default" w:asciiTheme="minorEastAsia" w:hAnsiTheme="minorEastAsia" w:eastAsiaTheme="minorEastAsia"/>
                <w:sz w:val="20"/>
              </w:rPr>
              <w:t>)</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26</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111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132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144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156</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restart"/>
            <w:tcBorders>
              <w:top w:val="nil"/>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短期入所</w:t>
            </w:r>
          </w:p>
          <w:p>
            <w:pPr>
              <w:pStyle w:val="0"/>
              <w:spacing w:line="0" w:lineRule="atLeast"/>
              <w:rPr>
                <w:rFonts w:hint="default" w:asciiTheme="minorEastAsia" w:hAnsiTheme="minorEastAsia" w:eastAsiaTheme="minorEastAsia"/>
                <w:spacing w:val="-8"/>
                <w:w w:val="85"/>
                <w:sz w:val="20"/>
              </w:rPr>
            </w:pPr>
            <w:r>
              <w:rPr>
                <w:rFonts w:hint="default" w:asciiTheme="minorEastAsia" w:hAnsiTheme="minorEastAsia" w:eastAsiaTheme="minorEastAsia"/>
                <w:sz w:val="20"/>
              </w:rPr>
              <w:t>(</w:t>
            </w:r>
            <w:r>
              <w:rPr>
                <w:rFonts w:hint="default" w:asciiTheme="minorEastAsia" w:hAnsiTheme="minorEastAsia" w:eastAsiaTheme="minorEastAsia"/>
                <w:sz w:val="20"/>
              </w:rPr>
              <w:t>医療型</w:t>
            </w:r>
            <w:r>
              <w:rPr>
                <w:rFonts w:hint="default" w:asciiTheme="minorEastAsia" w:hAnsiTheme="minorEastAsia" w:eastAsiaTheme="minorEastAsia"/>
                <w:sz w:val="20"/>
              </w:rPr>
              <w:t>)</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bottom"/>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r>
      <w:tr>
        <w:trPr/>
        <w:tc>
          <w:tcPr>
            <w:tcW w:w="426"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textDirection w:val="tbRlV"/>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居住系</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自立生活援助</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共同生活援助</w:t>
            </w:r>
          </w:p>
          <w:p>
            <w:pPr>
              <w:pStyle w:val="0"/>
              <w:spacing w:line="0" w:lineRule="atLeast"/>
              <w:rPr>
                <w:rFonts w:hint="default" w:asciiTheme="minorEastAsia" w:hAnsiTheme="minorEastAsia" w:eastAsiaTheme="minorEastAsia"/>
                <w:w w:val="82"/>
                <w:sz w:val="20"/>
              </w:rPr>
            </w:pPr>
            <w:r>
              <w:rPr>
                <w:rFonts w:hint="default" w:asciiTheme="minorEastAsia" w:hAnsiTheme="minorEastAsia" w:eastAsiaTheme="minorEastAsia"/>
                <w:spacing w:val="-8"/>
                <w:w w:val="82"/>
                <w:sz w:val="20"/>
              </w:rPr>
              <w:t>(</w:t>
            </w:r>
            <w:r>
              <w:rPr>
                <w:rFonts w:hint="default" w:asciiTheme="minorEastAsia" w:hAnsiTheme="minorEastAsia" w:eastAsiaTheme="minorEastAsia"/>
                <w:spacing w:val="-8"/>
                <w:w w:val="82"/>
                <w:sz w:val="20"/>
              </w:rPr>
              <w:t>グループホーム</w:t>
            </w:r>
            <w:r>
              <w:rPr>
                <w:rFonts w:hint="default" w:asciiTheme="minorEastAsia" w:hAnsiTheme="minorEastAsia" w:eastAsiaTheme="minorEastAsia"/>
                <w:spacing w:val="-8"/>
                <w:w w:val="82"/>
                <w:sz w:val="20"/>
              </w:rPr>
              <w:t>)</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47</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63</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施設入所支援</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59</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61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60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59</w:t>
            </w:r>
          </w:p>
        </w:tc>
      </w:tr>
      <w:tr>
        <w:trPr/>
        <w:tc>
          <w:tcPr>
            <w:tcW w:w="426"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textDirection w:val="tbRlV"/>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その他</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計画相談支援</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92</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95</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111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131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141</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地域移行支援</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c>
          <w:tcPr>
            <w:tcW w:w="426" w:type="dxa"/>
            <w:vMerge w:val="continue"/>
            <w:tcBorders>
              <w:top w:val="nil"/>
              <w:left w:val="single" w:color="auto" w:sz="4" w:space="0"/>
              <w:bottom w:val="single" w:color="auto" w:sz="4" w:space="0"/>
              <w:right w:val="single" w:color="auto" w:sz="4" w:space="0"/>
              <w:tl2br w:val="none" w:color="auto" w:sz="0" w:space="0"/>
              <w:tr2bl w:val="none" w:color="auto" w:sz="0" w:space="0"/>
            </w:tcBorders>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地域定着支援</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7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bl>
    <w:p>
      <w:pPr>
        <w:pStyle w:val="251"/>
        <w:spacing w:line="240" w:lineRule="auto"/>
        <w:ind w:left="560" w:leftChars="250" w:firstLine="0" w:firstLineChars="0"/>
        <w:rPr>
          <w:rFonts w:hint="default"/>
        </w:rPr>
      </w:pPr>
      <w:r>
        <w:rPr>
          <w:rFonts w:hint="eastAsia"/>
        </w:rPr>
        <w:t>※令和５年度は、見込みの数値。</w:t>
      </w:r>
    </w:p>
    <w:p>
      <w:pPr>
        <w:pStyle w:val="0"/>
        <w:rPr>
          <w:rFonts w:hint="default"/>
          <w:spacing w:val="-2"/>
          <w:sz w:val="21"/>
        </w:rPr>
      </w:pPr>
      <w:r>
        <w:rPr>
          <w:rFonts w:hint="default"/>
        </w:rPr>
        <w:br w:type="page"/>
      </w:r>
    </w:p>
    <w:p>
      <w:pPr>
        <w:pStyle w:val="242"/>
        <w:spacing w:after="37" w:afterLines="0" w:afterAutospacing="0"/>
        <w:ind w:left="224"/>
        <w:rPr>
          <w:rFonts w:hint="default"/>
        </w:rPr>
      </w:pPr>
      <w:bookmarkStart w:id="287" w:name="_Toc158300432"/>
      <w:bookmarkStart w:id="288" w:name="_Toc314505322"/>
      <w:bookmarkStart w:id="289" w:name="_Toc314578874"/>
      <w:bookmarkStart w:id="290" w:name="_Toc318449571"/>
      <w:bookmarkStart w:id="291" w:name="_Toc59549974"/>
      <w:bookmarkStart w:id="292" w:name="_Toc67040250"/>
      <w:r>
        <w:rPr>
          <w:rFonts w:hint="default"/>
        </w:rPr>
        <w:t>(</w:t>
      </w:r>
      <w:r>
        <w:rPr>
          <w:rFonts w:hint="eastAsia"/>
        </w:rPr>
        <w:t>２</w:t>
      </w:r>
      <w:r>
        <w:rPr>
          <w:rFonts w:hint="default"/>
        </w:rPr>
        <w:t>)</w:t>
      </w:r>
      <w:bookmarkEnd w:id="288"/>
      <w:bookmarkEnd w:id="289"/>
      <w:bookmarkEnd w:id="290"/>
      <w:r>
        <w:rPr>
          <w:rFonts w:hint="eastAsia"/>
        </w:rPr>
        <w:t>地域生活支援事業（市町村事業）</w:t>
      </w:r>
      <w:bookmarkEnd w:id="287"/>
      <w:bookmarkEnd w:id="291"/>
      <w:bookmarkEnd w:id="292"/>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障がい者の日常生活、社会生活を支援するため、地域の特性や利用者の状況に応じた取り組みを行うものです。国からの必須事業と、市町村の判断で実施する任意事業とがあります。</w:t>
      </w:r>
    </w:p>
    <w:p>
      <w:pPr>
        <w:pStyle w:val="0"/>
        <w:spacing w:line="0" w:lineRule="atLeast"/>
        <w:ind w:left="552" w:leftChars="200" w:hanging="104" w:hangingChars="100"/>
        <w:rPr>
          <w:rFonts w:hint="default"/>
          <w:sz w:val="10"/>
        </w:rPr>
      </w:pPr>
    </w:p>
    <w:p>
      <w:pPr>
        <w:pStyle w:val="243"/>
        <w:ind w:left="784" w:hanging="336"/>
        <w:rPr>
          <w:rFonts w:hint="default"/>
        </w:rPr>
      </w:pPr>
      <w:bookmarkStart w:id="293" w:name="_Toc314505323"/>
      <w:bookmarkStart w:id="294" w:name="_Toc314578875"/>
      <w:bookmarkStart w:id="295" w:name="_Toc318449572"/>
      <w:bookmarkStart w:id="296" w:name="_Toc59549975"/>
      <w:r>
        <w:rPr>
          <w:rFonts w:hint="eastAsia"/>
        </w:rPr>
        <w:t>①必須事業</w:t>
      </w:r>
      <w:bookmarkEnd w:id="293"/>
      <w:bookmarkStart w:id="297" w:name="_Toc314505324"/>
      <w:bookmarkEnd w:id="294"/>
      <w:bookmarkStart w:id="298" w:name="_Toc314578876"/>
      <w:bookmarkEnd w:id="295"/>
      <w:bookmarkStart w:id="299" w:name="_Toc318449573"/>
      <w:bookmarkEnd w:id="296"/>
    </w:p>
    <w:p>
      <w:pPr>
        <w:pStyle w:val="246"/>
        <w:ind w:left="672"/>
        <w:rPr>
          <w:rFonts w:hint="default"/>
        </w:rPr>
      </w:pPr>
      <w:r>
        <w:rPr>
          <w:rFonts w:hint="eastAsia"/>
        </w:rPr>
        <w:t>ｱ</w:t>
      </w:r>
      <w:r>
        <w:rPr>
          <w:rFonts w:hint="default"/>
        </w:rPr>
        <w:t>)</w:t>
      </w:r>
      <w:r>
        <w:rPr>
          <w:rFonts w:hint="eastAsia"/>
        </w:rPr>
        <w:t>相談支援</w:t>
      </w:r>
      <w:bookmarkEnd w:id="297"/>
      <w:bookmarkEnd w:id="298"/>
      <w:r>
        <w:rPr>
          <w:rFonts w:hint="eastAsia"/>
        </w:rPr>
        <w:t>事業</w:t>
      </w:r>
      <w:bookmarkEnd w:id="299"/>
    </w:p>
    <w:p>
      <w:pPr>
        <w:pStyle w:val="246"/>
        <w:ind w:left="672"/>
        <w:rPr>
          <w:rFonts w:hint="default"/>
        </w:rPr>
      </w:pPr>
      <w:bookmarkStart w:id="300" w:name="_Toc318449574"/>
      <w:r>
        <w:rPr>
          <w:rFonts w:hint="eastAsia"/>
        </w:rPr>
        <w:t>ｱ</w:t>
      </w:r>
      <w:r>
        <w:rPr>
          <w:rFonts w:hint="eastAsia"/>
        </w:rPr>
        <w:t>)-1</w:t>
      </w:r>
      <w:bookmarkEnd w:id="300"/>
      <w:r>
        <w:rPr>
          <w:rFonts w:hint="eastAsia"/>
        </w:rPr>
        <w:t>障害者相談支援事業</w:t>
      </w:r>
    </w:p>
    <w:p>
      <w:pPr>
        <w:pStyle w:val="251"/>
        <w:spacing w:line="240" w:lineRule="auto"/>
        <w:ind w:left="897" w:leftChars="400" w:firstLine="214"/>
        <w:rPr>
          <w:rFonts w:hint="default"/>
          <w:spacing w:val="0"/>
        </w:rPr>
      </w:pPr>
      <w:r>
        <w:rPr>
          <w:rFonts w:hint="eastAsia"/>
          <w:spacing w:val="0"/>
        </w:rPr>
        <w:t>障がいのある方の自立した日常生活、社会生活上の相談・情報提供を行うほか、専門機関の紹介、権利擁護、ピアカウンセリング、自立支援協議会の運営等を行います。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251"/>
        <w:spacing w:line="240" w:lineRule="auto"/>
        <w:ind w:left="1009" w:leftChars="450" w:firstLine="214"/>
        <w:rPr>
          <w:rFonts w:hint="default"/>
          <w:spacing w:val="0"/>
        </w:rPr>
      </w:pPr>
      <w:r>
        <w:rPr>
          <w:rFonts w:hint="eastAsia"/>
          <w:spacing w:val="0"/>
        </w:rPr>
        <w:t>障がい者相談支援事業を委託し、障がい者等からのさまざまな相談に対し、必要な支援に努めています。今後も委託による事業実施を継続します。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301" w:name="障害児相談支援"/>
            <w:r>
              <w:rPr>
                <w:rFonts w:hint="eastAsia"/>
              </w:rPr>
              <w:t>実施箇所数</w:t>
            </w:r>
            <w:bookmarkEnd w:id="301"/>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line="240" w:lineRule="exact"/>
              <w:textAlignment w:val="center"/>
              <w:rPr>
                <w:rFonts w:hint="default"/>
              </w:rPr>
            </w:pPr>
            <w:r>
              <w:rPr>
                <w:rFonts w:hint="eastAsia"/>
              </w:rPr>
              <w:t>箇所</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line="240" w:lineRule="exact"/>
              <w:textAlignment w:val="center"/>
              <w:rPr>
                <w:rFonts w:hint="default"/>
              </w:rPr>
            </w:pPr>
            <w:r>
              <w:rPr>
                <w:rFonts w:hint="eastAsia"/>
              </w:rPr>
              <w:t>箇所</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251"/>
        <w:ind w:left="448" w:firstLine="210"/>
        <w:rPr>
          <w:rFonts w:hint="default"/>
        </w:rPr>
      </w:pPr>
    </w:p>
    <w:p>
      <w:pPr>
        <w:pStyle w:val="251"/>
        <w:ind w:left="448" w:firstLine="214"/>
        <w:rPr>
          <w:rFonts w:hint="default"/>
        </w:rPr>
      </w:pPr>
      <w:r>
        <w:rPr>
          <w:rFonts w:hint="default"/>
        </w:rPr>
        <w:drawing>
          <wp:anchor distT="0" distB="0" distL="114300" distR="114300" simplePos="0" relativeHeight="33" behindDoc="0" locked="0" layoutInCell="1" hidden="0" allowOverlap="1">
            <wp:simplePos x="0" y="0"/>
            <wp:positionH relativeFrom="column">
              <wp:posOffset>346075</wp:posOffset>
            </wp:positionH>
            <wp:positionV relativeFrom="paragraph">
              <wp:posOffset>36830</wp:posOffset>
            </wp:positionV>
            <wp:extent cx="5954395" cy="2219960"/>
            <wp:effectExtent l="0" t="0" r="0" b="0"/>
            <wp:wrapNone/>
            <wp:docPr id="1276" name="障害者相談支援事業01"/>
            <a:graphic xmlns:a="http://schemas.openxmlformats.org/drawingml/2006/main">
              <a:graphicData uri="http://schemas.openxmlformats.org/drawingml/2006/picture">
                <pic:pic xmlns:pic="http://schemas.openxmlformats.org/drawingml/2006/picture">
                  <pic:nvPicPr>
                    <pic:cNvPr id="1276" name="障害者相談支援事業01"/>
                    <pic:cNvPicPr>
                      <a:picLocks noChangeAspect="1" noChangeArrowheads="1"/>
                    </pic:cNvPicPr>
                  </pic:nvPicPr>
                  <pic:blipFill>
                    <a:blip r:embed="rId52"/>
                    <a:srcRect b="9334"/>
                    <a:stretch>
                      <a:fillRect/>
                    </a:stretch>
                  </pic:blipFill>
                  <pic:spPr>
                    <a:xfrm>
                      <a:off x="0" y="0"/>
                      <a:ext cx="5954395" cy="2219960"/>
                    </a:xfrm>
                    <a:prstGeom prst="rect">
                      <a:avLst/>
                    </a:prstGeom>
                    <a:noFill/>
                    <a:ln>
                      <a:noFill/>
                    </a:ln>
                  </pic:spPr>
                </pic:pic>
              </a:graphicData>
            </a:graphic>
          </wp:anchor>
        </w:drawing>
      </w: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0"/>
        <w:rPr>
          <w:rFonts w:hint="default"/>
          <w:spacing w:val="-2"/>
          <w:sz w:val="21"/>
        </w:rPr>
      </w:pPr>
      <w:r>
        <w:rPr>
          <w:rFonts w:hint="default"/>
          <w:spacing w:val="-2"/>
          <w:sz w:val="21"/>
        </w:rPr>
        <w:br w:type="page"/>
      </w:r>
    </w:p>
    <w:p>
      <w:pPr>
        <w:pStyle w:val="246"/>
        <w:ind w:left="672"/>
        <w:rPr>
          <w:rFonts w:hint="default"/>
        </w:rPr>
      </w:pPr>
      <w:r>
        <w:rPr>
          <w:rFonts w:hint="eastAsia"/>
        </w:rPr>
        <w:t>ｱ</w:t>
      </w:r>
      <w:r>
        <w:rPr>
          <w:rFonts w:hint="eastAsia"/>
        </w:rPr>
        <w:t>)-2</w:t>
      </w:r>
      <w:r>
        <w:rPr>
          <w:rFonts w:hint="eastAsia"/>
        </w:rPr>
        <w:t>基幹相談支援センター等機能強化事業</w:t>
      </w:r>
    </w:p>
    <w:p>
      <w:pPr>
        <w:pStyle w:val="251"/>
        <w:spacing w:line="240" w:lineRule="auto"/>
        <w:ind w:left="897" w:leftChars="400" w:firstLine="214"/>
        <w:rPr>
          <w:rFonts w:hint="default"/>
          <w:spacing w:val="0"/>
        </w:rPr>
      </w:pPr>
      <w:r>
        <w:rPr>
          <w:rFonts w:hint="eastAsia"/>
          <w:spacing w:val="0"/>
        </w:rPr>
        <w:t>保健師、社会福祉士、精神保健福祉士等の専門職員を配置するとともに、障がい者等の多岐に及ぶ相談に応じるとともに関係機関等との連携を図ることにより、障がい者等が自立した日常生活又は社会生活を営むことができるよう支援して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251"/>
        <w:spacing w:line="240" w:lineRule="auto"/>
        <w:ind w:left="1009" w:leftChars="450" w:firstLine="214"/>
        <w:rPr>
          <w:rFonts w:hint="default"/>
          <w:spacing w:val="0"/>
        </w:rPr>
      </w:pPr>
      <w:r>
        <w:rPr>
          <w:rFonts w:hint="eastAsia"/>
          <w:spacing w:val="0"/>
        </w:rPr>
        <w:t>町役場保健福祉課に基幹相談支援センターを設置し、障がい者等からのさまざまな相談に対し、関係機関等とも連携を図りながら必要な支援に努めています。</w:t>
      </w:r>
    </w:p>
    <w:p>
      <w:pPr>
        <w:pStyle w:val="251"/>
        <w:spacing w:line="240" w:lineRule="auto"/>
        <w:ind w:left="1009" w:leftChars="450" w:firstLine="214"/>
        <w:rPr>
          <w:rFonts w:hint="default"/>
          <w:spacing w:val="0"/>
        </w:rPr>
      </w:pPr>
      <w:r>
        <w:rPr>
          <w:rFonts w:hint="eastAsia"/>
          <w:spacing w:val="0"/>
        </w:rPr>
        <w:t>利用者数は、令和５年度の利用者数を令和６年度以降も</w:t>
      </w:r>
      <w:r>
        <w:rPr>
          <w:rFonts w:hint="default"/>
          <w:spacing w:val="0"/>
        </w:rPr>
        <w:t>見込</w:t>
      </w:r>
      <w:r>
        <w:rPr>
          <w:rFonts w:hint="eastAsia"/>
          <w:spacing w:val="0"/>
        </w:rPr>
        <w:t>みます。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302" w:name="基幹相談支援センター等機能強化事業"/>
            <w:r>
              <w:rPr>
                <w:rFonts w:hint="eastAsia"/>
              </w:rPr>
              <w:t>実施箇所数</w:t>
            </w:r>
            <w:bookmarkEnd w:id="302"/>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line="240" w:lineRule="exact"/>
              <w:textAlignment w:val="center"/>
              <w:rPr>
                <w:rFonts w:hint="default"/>
              </w:rPr>
            </w:pPr>
            <w:r>
              <w:rPr>
                <w:rFonts w:hint="eastAsia"/>
              </w:rPr>
              <w:t>箇所</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line="240" w:lineRule="exact"/>
              <w:textAlignment w:val="center"/>
              <w:rPr>
                <w:rFonts w:hint="default"/>
              </w:rPr>
            </w:pPr>
            <w:r>
              <w:rPr>
                <w:rFonts w:hint="eastAsia"/>
              </w:rPr>
              <w:t>箇所</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r>
    </w:tbl>
    <w:p>
      <w:pPr>
        <w:pStyle w:val="0"/>
        <w:spacing w:line="160" w:lineRule="exact"/>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利用実人数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126</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132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138</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203</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203</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203</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209</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197</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203</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83</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65</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65</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251"/>
        <w:ind w:left="448" w:firstLine="214"/>
        <w:rPr>
          <w:rFonts w:hint="default"/>
        </w:rPr>
      </w:pPr>
      <w:r>
        <w:rPr>
          <w:rFonts w:hint="default"/>
        </w:rPr>
        <w:drawing>
          <wp:anchor distT="0" distB="0" distL="114300" distR="114300" simplePos="0" relativeHeight="5" behindDoc="0" locked="0" layoutInCell="1" hidden="0" allowOverlap="1">
            <wp:simplePos x="0" y="0"/>
            <wp:positionH relativeFrom="column">
              <wp:posOffset>306070</wp:posOffset>
            </wp:positionH>
            <wp:positionV relativeFrom="paragraph">
              <wp:posOffset>144780</wp:posOffset>
            </wp:positionV>
            <wp:extent cx="5954395" cy="2219960"/>
            <wp:effectExtent l="0" t="0" r="0" b="0"/>
            <wp:wrapNone/>
            <wp:docPr id="1277" name="基幹相談支援センター等機能強化事業02"/>
            <a:graphic xmlns:a="http://schemas.openxmlformats.org/drawingml/2006/main">
              <a:graphicData uri="http://schemas.openxmlformats.org/drawingml/2006/picture">
                <pic:pic xmlns:pic="http://schemas.openxmlformats.org/drawingml/2006/picture">
                  <pic:nvPicPr>
                    <pic:cNvPr id="1277" name="基幹相談支援センター等機能強化事業02"/>
                    <pic:cNvPicPr>
                      <a:picLocks noChangeAspect="1" noChangeArrowheads="1"/>
                    </pic:cNvPicPr>
                  </pic:nvPicPr>
                  <pic:blipFill>
                    <a:blip r:embed="rId53"/>
                    <a:srcRect b="9334"/>
                    <a:stretch>
                      <a:fillRect/>
                    </a:stretch>
                  </pic:blipFill>
                  <pic:spPr>
                    <a:xfrm>
                      <a:off x="0" y="0"/>
                      <a:ext cx="5954395" cy="2219960"/>
                    </a:xfrm>
                    <a:prstGeom prst="rect">
                      <a:avLst/>
                    </a:prstGeom>
                    <a:noFill/>
                    <a:ln>
                      <a:noFill/>
                    </a:ln>
                  </pic:spPr>
                </pic:pic>
              </a:graphicData>
            </a:graphic>
          </wp:anchor>
        </w:drawing>
      </w: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0"/>
        <w:rPr>
          <w:rFonts w:hint="default" w:ascii="ＭＳ ゴシック" w:hAnsi="ＭＳ ゴシック" w:eastAsia="ＭＳ ゴシック"/>
        </w:rPr>
      </w:pPr>
      <w:bookmarkStart w:id="303" w:name="_Toc318449576"/>
      <w:r>
        <w:rPr>
          <w:rFonts w:hint="default"/>
        </w:rPr>
        <w:br w:type="page"/>
      </w:r>
    </w:p>
    <w:p>
      <w:pPr>
        <w:pStyle w:val="246"/>
        <w:ind w:left="672"/>
        <w:rPr>
          <w:rFonts w:hint="default"/>
        </w:rPr>
      </w:pPr>
      <w:bookmarkEnd w:id="303"/>
      <w:bookmarkStart w:id="304" w:name="_Toc318449577"/>
      <w:r>
        <w:rPr>
          <w:rFonts w:hint="eastAsia"/>
        </w:rPr>
        <w:t>ｲ</w:t>
      </w:r>
      <w:r>
        <w:rPr>
          <w:rFonts w:hint="default"/>
        </w:rPr>
        <w:t>)</w:t>
      </w:r>
      <w:r>
        <w:rPr>
          <w:rFonts w:hint="eastAsia"/>
        </w:rPr>
        <w:t>成年後見制度利用支援事業</w:t>
      </w:r>
      <w:bookmarkEnd w:id="304"/>
    </w:p>
    <w:p>
      <w:pPr>
        <w:pStyle w:val="251"/>
        <w:spacing w:line="240" w:lineRule="auto"/>
        <w:ind w:left="897" w:leftChars="400" w:firstLine="214"/>
        <w:rPr>
          <w:rFonts w:hint="default"/>
          <w:spacing w:val="0"/>
        </w:rPr>
      </w:pPr>
      <w:bookmarkStart w:id="305" w:name="_Toc314505326"/>
      <w:bookmarkStart w:id="306" w:name="_Toc314578878"/>
      <w:r>
        <w:rPr>
          <w:rFonts w:hint="eastAsia"/>
          <w:spacing w:val="0"/>
        </w:rPr>
        <w:t>障害福祉サービスの利用の観点から成年後見制度を利用することが有用であると認められた、知的障がい者や精神障がい者で、成年後見制度の申し立てに要する費用等及び後見人等の報酬等について、補助を受けなければ制度の利用が困難な者に対し、費用の全部又は一部を補助することにより障がい者の権利擁護を図ることを目的に実施しています。</w:t>
      </w:r>
    </w:p>
    <w:p>
      <w:pPr>
        <w:pStyle w:val="251"/>
        <w:spacing w:line="240" w:lineRule="auto"/>
        <w:ind w:leftChars="0" w:firstLine="642" w:firstLineChars="300"/>
        <w:rPr>
          <w:rFonts w:hint="default"/>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251"/>
        <w:spacing w:line="240" w:lineRule="auto"/>
        <w:ind w:left="1009" w:leftChars="450" w:firstLine="214"/>
        <w:rPr>
          <w:rFonts w:hint="default"/>
          <w:spacing w:val="0"/>
        </w:rPr>
      </w:pPr>
      <w:r>
        <w:rPr>
          <w:rFonts w:hint="eastAsia"/>
          <w:spacing w:val="0"/>
        </w:rPr>
        <w:t>今後も、障がい者の高齢化等により事業利用のニーズが出てくる可能性があります。そのため、令和５年度の助成見込に１人を加えた５人を令和６年度以降は見込みます。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bookmarkStart w:id="307" w:name="成年後見制度利用支援事業"/>
            <w:r>
              <w:rPr>
                <w:rFonts w:hint="eastAsia"/>
              </w:rPr>
              <w:t>実利用人数</w:t>
            </w:r>
            <w:bookmarkEnd w:id="307"/>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5</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5</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5</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4</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4</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2" behindDoc="0" locked="0" layoutInCell="1" hidden="0" allowOverlap="1">
            <wp:simplePos x="0" y="0"/>
            <wp:positionH relativeFrom="column">
              <wp:posOffset>257175</wp:posOffset>
            </wp:positionH>
            <wp:positionV relativeFrom="paragraph">
              <wp:posOffset>151130</wp:posOffset>
            </wp:positionV>
            <wp:extent cx="5962650" cy="2228215"/>
            <wp:effectExtent l="0" t="0" r="0" b="0"/>
            <wp:wrapNone/>
            <wp:docPr id="1278" name="成年後見制度利用支援事業02"/>
            <a:graphic xmlns:a="http://schemas.openxmlformats.org/drawingml/2006/main">
              <a:graphicData uri="http://schemas.openxmlformats.org/drawingml/2006/picture">
                <pic:pic xmlns:pic="http://schemas.openxmlformats.org/drawingml/2006/picture">
                  <pic:nvPicPr>
                    <pic:cNvPr id="1278" name="成年後見制度利用支援事業02"/>
                    <pic:cNvPicPr>
                      <a:picLocks noChangeAspect="1" noChangeArrowheads="1"/>
                    </pic:cNvPicPr>
                  </pic:nvPicPr>
                  <pic:blipFill>
                    <a:blip r:embed="rId54"/>
                    <a:srcRect b="9334"/>
                    <a:stretch>
                      <a:fillRect/>
                    </a:stretch>
                  </pic:blipFill>
                  <pic:spPr>
                    <a:xfrm>
                      <a:off x="0" y="0"/>
                      <a:ext cx="5962650" cy="2228215"/>
                    </a:xfrm>
                    <a:prstGeom prst="rect">
                      <a:avLst/>
                    </a:prstGeom>
                    <a:noFill/>
                    <a:ln>
                      <a:noFill/>
                    </a:ln>
                  </pic:spPr>
                </pic:pic>
              </a:graphicData>
            </a:graphic>
          </wp:anchor>
        </w:drawing>
      </w:r>
    </w:p>
    <w:p>
      <w:pPr>
        <w:pStyle w:val="251"/>
        <w:spacing w:line="240" w:lineRule="auto"/>
        <w:ind w:left="560" w:leftChars="250" w:firstLine="210"/>
        <w:rPr>
          <w:rFonts w:hint="default" w:ascii="ＭＳ ゴシック" w:hAnsi="ＭＳ ゴシック" w:eastAsia="ＭＳ ゴシック"/>
        </w:rPr>
      </w:pPr>
    </w:p>
    <w:p>
      <w:pPr>
        <w:pStyle w:val="251"/>
        <w:spacing w:line="240" w:lineRule="auto"/>
        <w:ind w:left="560" w:leftChars="250" w:firstLine="210"/>
        <w:rPr>
          <w:rFonts w:hint="default" w:ascii="ＭＳ ゴシック" w:hAnsi="ＭＳ ゴシック" w:eastAsia="ＭＳ ゴシック"/>
        </w:rPr>
      </w:pPr>
    </w:p>
    <w:p>
      <w:pPr>
        <w:pStyle w:val="251"/>
        <w:spacing w:line="240" w:lineRule="auto"/>
        <w:ind w:left="560" w:leftChars="250" w:firstLine="210"/>
        <w:rPr>
          <w:rFonts w:hint="default" w:ascii="ＭＳ ゴシック" w:hAnsi="ＭＳ ゴシック" w:eastAsia="ＭＳ ゴシック"/>
        </w:rPr>
      </w:pPr>
    </w:p>
    <w:p>
      <w:pPr>
        <w:pStyle w:val="251"/>
        <w:spacing w:line="240" w:lineRule="auto"/>
        <w:ind w:left="560" w:leftChars="250" w:firstLine="210"/>
        <w:rPr>
          <w:rFonts w:hint="default" w:ascii="ＭＳ ゴシック" w:hAnsi="ＭＳ ゴシック" w:eastAsia="ＭＳ ゴシック"/>
        </w:rPr>
      </w:pPr>
    </w:p>
    <w:p>
      <w:pPr>
        <w:pStyle w:val="251"/>
        <w:spacing w:line="240" w:lineRule="auto"/>
        <w:ind w:left="560" w:leftChars="250" w:firstLine="210"/>
        <w:rPr>
          <w:rFonts w:hint="default" w:ascii="ＭＳ ゴシック" w:hAnsi="ＭＳ ゴシック" w:eastAsia="ＭＳ ゴシック"/>
        </w:rPr>
      </w:pPr>
    </w:p>
    <w:p>
      <w:pPr>
        <w:pStyle w:val="251"/>
        <w:spacing w:line="240" w:lineRule="auto"/>
        <w:ind w:left="560" w:leftChars="250" w:firstLine="210"/>
        <w:rPr>
          <w:rFonts w:hint="default" w:ascii="ＭＳ ゴシック" w:hAnsi="ＭＳ ゴシック" w:eastAsia="ＭＳ ゴシック"/>
        </w:rPr>
      </w:pPr>
    </w:p>
    <w:p>
      <w:pPr>
        <w:pStyle w:val="251"/>
        <w:spacing w:line="240" w:lineRule="auto"/>
        <w:ind w:left="560" w:leftChars="250" w:firstLine="210"/>
        <w:rPr>
          <w:rFonts w:hint="default" w:ascii="ＭＳ ゴシック" w:hAnsi="ＭＳ ゴシック" w:eastAsia="ＭＳ ゴシック"/>
        </w:rPr>
      </w:pPr>
    </w:p>
    <w:p>
      <w:pPr>
        <w:pStyle w:val="251"/>
        <w:spacing w:line="240" w:lineRule="auto"/>
        <w:ind w:left="560" w:leftChars="250" w:firstLine="210"/>
        <w:rPr>
          <w:rFonts w:hint="default" w:ascii="ＭＳ ゴシック" w:hAnsi="ＭＳ ゴシック" w:eastAsia="ＭＳ ゴシック"/>
        </w:rPr>
      </w:pPr>
    </w:p>
    <w:p>
      <w:pPr>
        <w:pStyle w:val="251"/>
        <w:spacing w:line="240" w:lineRule="auto"/>
        <w:ind w:left="560" w:leftChars="250" w:firstLine="210"/>
        <w:rPr>
          <w:rFonts w:hint="default" w:ascii="ＭＳ ゴシック" w:hAnsi="ＭＳ ゴシック" w:eastAsia="ＭＳ ゴシック"/>
        </w:rPr>
      </w:pPr>
    </w:p>
    <w:p>
      <w:pPr>
        <w:pStyle w:val="251"/>
        <w:spacing w:line="240" w:lineRule="auto"/>
        <w:ind w:left="560" w:leftChars="250" w:firstLine="210"/>
        <w:rPr>
          <w:rFonts w:hint="default" w:ascii="ＭＳ ゴシック" w:hAnsi="ＭＳ ゴシック" w:eastAsia="ＭＳ ゴシック"/>
        </w:rPr>
      </w:pPr>
    </w:p>
    <w:p>
      <w:pPr>
        <w:pStyle w:val="251"/>
        <w:spacing w:line="240" w:lineRule="auto"/>
        <w:ind w:left="560" w:leftChars="250" w:firstLine="210"/>
        <w:rPr>
          <w:rFonts w:hint="default" w:ascii="ＭＳ ゴシック" w:hAnsi="ＭＳ ゴシック" w:eastAsia="ＭＳ ゴシック"/>
        </w:rPr>
      </w:pPr>
    </w:p>
    <w:p>
      <w:pPr>
        <w:pStyle w:val="251"/>
        <w:spacing w:line="240" w:lineRule="auto"/>
        <w:ind w:left="560" w:leftChars="250" w:firstLine="210"/>
        <w:rPr>
          <w:rFonts w:hint="default" w:ascii="ＭＳ ゴシック" w:hAnsi="ＭＳ ゴシック" w:eastAsia="ＭＳ ゴシック"/>
        </w:rPr>
      </w:pPr>
    </w:p>
    <w:p>
      <w:pPr>
        <w:pStyle w:val="0"/>
        <w:rPr>
          <w:rFonts w:hint="default" w:ascii="ＭＳ ゴシック" w:hAnsi="ＭＳ ゴシック" w:eastAsia="ＭＳ ゴシック"/>
          <w:spacing w:val="-2"/>
          <w:sz w:val="21"/>
        </w:rPr>
      </w:pPr>
      <w:r>
        <w:rPr>
          <w:rFonts w:hint="default" w:ascii="ＭＳ ゴシック" w:hAnsi="ＭＳ ゴシック" w:eastAsia="ＭＳ ゴシック"/>
        </w:rPr>
        <w:br w:type="page"/>
      </w:r>
    </w:p>
    <w:p>
      <w:pPr>
        <w:pStyle w:val="246"/>
        <w:ind w:left="672"/>
        <w:rPr>
          <w:rFonts w:hint="default"/>
        </w:rPr>
      </w:pPr>
      <w:bookmarkStart w:id="308" w:name="_Toc318449578"/>
      <w:r>
        <w:rPr>
          <w:rFonts w:hint="eastAsia"/>
        </w:rPr>
        <w:t>ｳ</w:t>
      </w:r>
      <w:r>
        <w:rPr>
          <w:rFonts w:hint="default"/>
        </w:rPr>
        <w:t>)</w:t>
      </w:r>
      <w:r>
        <w:rPr>
          <w:rFonts w:hint="eastAsia"/>
        </w:rPr>
        <w:t>意思疎通支援事業</w:t>
      </w:r>
      <w:bookmarkEnd w:id="305"/>
      <w:bookmarkEnd w:id="306"/>
      <w:bookmarkEnd w:id="308"/>
    </w:p>
    <w:p>
      <w:pPr>
        <w:pStyle w:val="246"/>
        <w:ind w:left="672"/>
        <w:rPr>
          <w:rFonts w:hint="default"/>
        </w:rPr>
      </w:pPr>
      <w:r>
        <w:rPr>
          <w:rFonts w:hint="eastAsia"/>
        </w:rPr>
        <w:t>ｳ</w:t>
      </w:r>
      <w:r>
        <w:rPr>
          <w:rFonts w:hint="eastAsia"/>
        </w:rPr>
        <w:t>)-1</w:t>
      </w:r>
      <w:r>
        <w:rPr>
          <w:rFonts w:hint="eastAsia"/>
        </w:rPr>
        <w:t>手話通訳者・要約筆記奉仕員派遣事業</w:t>
      </w:r>
    </w:p>
    <w:p>
      <w:pPr>
        <w:pStyle w:val="251"/>
        <w:spacing w:line="240" w:lineRule="auto"/>
        <w:ind w:left="897" w:leftChars="400" w:firstLine="214"/>
        <w:rPr>
          <w:rFonts w:hint="default"/>
          <w:spacing w:val="0"/>
        </w:rPr>
      </w:pPr>
      <w:r>
        <w:rPr>
          <w:rFonts w:hint="eastAsia"/>
          <w:spacing w:val="0"/>
        </w:rPr>
        <w:t>「手話通訳者の派遣」、「要約筆記奉仕員の派遣」等を行う事業です。本町に登録された手話通訳者・要約筆記者を、障がい者からの依頼により派遣しています。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251"/>
        <w:spacing w:line="240" w:lineRule="auto"/>
        <w:ind w:left="1009" w:leftChars="450" w:firstLine="214"/>
        <w:rPr>
          <w:rFonts w:hint="default"/>
          <w:spacing w:val="0"/>
        </w:rPr>
      </w:pPr>
      <w:r>
        <w:rPr>
          <w:rFonts w:hint="eastAsia"/>
          <w:spacing w:val="0"/>
        </w:rPr>
        <w:t>利用者は固定化しているため、令和４年度の利用者が継続して利用すると見込みます。</w:t>
      </w:r>
    </w:p>
    <w:p>
      <w:pPr>
        <w:pStyle w:val="0"/>
        <w:spacing w:line="0" w:lineRule="atLeast"/>
        <w:ind w:left="438" w:firstLine="159"/>
        <w:rPr>
          <w:rFonts w:hint="default"/>
          <w:sz w:val="16"/>
        </w:rPr>
      </w:pPr>
    </w:p>
    <w:tbl>
      <w:tblPr>
        <w:tblStyle w:val="11"/>
        <w:tblW w:w="905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30"/>
        <w:gridCol w:w="1131"/>
        <w:gridCol w:w="1102"/>
        <w:gridCol w:w="29"/>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bookmarkStart w:id="309" w:name="意思疎通支援事業"/>
            <w:bookmarkStart w:id="310" w:name="手話通訳者・要約筆記者派遣事業"/>
            <w:r>
              <w:rPr>
                <w:rFonts w:hint="eastAsia"/>
              </w:rPr>
              <w:t>実利用件数</w:t>
            </w:r>
            <w:bookmarkEnd w:id="309"/>
            <w:bookmarkEnd w:id="310"/>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3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件</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9</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9</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9</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11</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11</w:t>
            </w:r>
          </w:p>
        </w:tc>
        <w:tc>
          <w:tcPr>
            <w:tcW w:w="113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11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件</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9</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11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11</w:t>
            </w:r>
          </w:p>
        </w:tc>
        <w:tc>
          <w:tcPr>
            <w:tcW w:w="1130"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31"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2</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2</w:t>
            </w:r>
          </w:p>
        </w:tc>
        <w:tc>
          <w:tcPr>
            <w:tcW w:w="1130"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top"/>
          </w:tcPr>
          <w:p>
            <w:pPr>
              <w:pStyle w:val="250"/>
              <w:spacing w:before="5" w:beforeLines="0" w:beforeAutospacing="0" w:after="5" w:afterLines="0" w:afterAutospacing="0"/>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c>
          <w:tcPr>
            <w:tcW w:w="1131" w:type="dxa"/>
            <w:gridSpan w:val="2"/>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r>
      <w:tr>
        <w:trPr>
          <w:gridAfter w:val="1"/>
          <w:wAfter w:w="29" w:type="dxa"/>
        </w:trPr>
        <w:tc>
          <w:tcPr>
            <w:tcW w:w="9030" w:type="dxa"/>
            <w:gridSpan w:val="8"/>
            <w:tcBorders>
              <w:top w:val="single" w:color="auto" w:sz="8"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32" behindDoc="0" locked="0" layoutInCell="1" hidden="0" allowOverlap="1">
            <wp:simplePos x="0" y="0"/>
            <wp:positionH relativeFrom="column">
              <wp:posOffset>238125</wp:posOffset>
            </wp:positionH>
            <wp:positionV relativeFrom="paragraph">
              <wp:posOffset>113665</wp:posOffset>
            </wp:positionV>
            <wp:extent cx="6000750" cy="2228215"/>
            <wp:effectExtent l="0" t="0" r="0" b="0"/>
            <wp:wrapNone/>
            <wp:docPr id="1279" name="手話通訳者・要約筆記者派遣事業02"/>
            <a:graphic xmlns:a="http://schemas.openxmlformats.org/drawingml/2006/main">
              <a:graphicData uri="http://schemas.openxmlformats.org/drawingml/2006/picture">
                <pic:pic xmlns:pic="http://schemas.openxmlformats.org/drawingml/2006/picture">
                  <pic:nvPicPr>
                    <pic:cNvPr id="1279" name="手話通訳者・要約筆記者派遣事業02"/>
                    <pic:cNvPicPr>
                      <a:picLocks noChangeAspect="1" noChangeArrowheads="1"/>
                    </pic:cNvPicPr>
                  </pic:nvPicPr>
                  <pic:blipFill>
                    <a:blip r:embed="rId55"/>
                    <a:srcRect b="9334"/>
                    <a:stretch>
                      <a:fillRect/>
                    </a:stretch>
                  </pic:blipFill>
                  <pic:spPr>
                    <a:xfrm>
                      <a:off x="0" y="0"/>
                      <a:ext cx="6000750" cy="2228215"/>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rPr>
          <w:rFonts w:hint="default" w:ascii="ＭＳ ゴシック" w:hAnsi="ＭＳ ゴシック" w:eastAsia="ＭＳ ゴシック"/>
        </w:rPr>
      </w:pPr>
      <w:r>
        <w:rPr>
          <w:rFonts w:hint="default" w:ascii="ＭＳ ゴシック" w:hAnsi="ＭＳ ゴシック" w:eastAsia="ＭＳ ゴシック"/>
        </w:rPr>
        <w:br w:type="page"/>
      </w:r>
    </w:p>
    <w:p>
      <w:pPr>
        <w:pStyle w:val="246"/>
        <w:ind w:left="672"/>
        <w:rPr>
          <w:rFonts w:hint="default"/>
        </w:rPr>
      </w:pPr>
      <w:bookmarkStart w:id="311" w:name="_Toc318449581"/>
      <w:r>
        <w:rPr>
          <w:rFonts w:hint="eastAsia"/>
        </w:rPr>
        <w:t>ｳ</w:t>
      </w:r>
      <w:r>
        <w:rPr>
          <w:rFonts w:hint="default"/>
        </w:rPr>
        <w:t>)</w:t>
      </w:r>
      <w:r>
        <w:rPr>
          <w:rFonts w:hint="eastAsia"/>
        </w:rPr>
        <w:t>-</w:t>
      </w:r>
      <w:r>
        <w:rPr>
          <w:rFonts w:hint="default"/>
        </w:rPr>
        <w:t>2</w:t>
      </w:r>
      <w:r>
        <w:rPr>
          <w:rFonts w:hint="eastAsia"/>
        </w:rPr>
        <w:t>手話通訳者設置事業</w:t>
      </w:r>
      <w:bookmarkEnd w:id="311"/>
    </w:p>
    <w:p>
      <w:pPr>
        <w:pStyle w:val="251"/>
        <w:spacing w:line="240" w:lineRule="auto"/>
        <w:ind w:left="897" w:leftChars="400" w:firstLine="214"/>
        <w:rPr>
          <w:rFonts w:hint="default"/>
          <w:spacing w:val="0"/>
        </w:rPr>
      </w:pPr>
      <w:bookmarkStart w:id="312" w:name="_Toc314505327"/>
      <w:bookmarkStart w:id="313" w:name="_Toc314578879"/>
      <w:r>
        <w:rPr>
          <w:rFonts w:hint="eastAsia"/>
          <w:spacing w:val="0"/>
        </w:rPr>
        <w:t>町役場保健福祉課に聴覚障がい者等のコミュニケーションの円滑化を推進するため、手話通訳者を</w:t>
      </w:r>
      <w:r>
        <w:rPr>
          <w:rFonts w:hint="eastAsia"/>
          <w:spacing w:val="0"/>
        </w:rPr>
        <w:t>1</w:t>
      </w:r>
      <w:r>
        <w:rPr>
          <w:rFonts w:hint="eastAsia"/>
          <w:spacing w:val="0"/>
        </w:rPr>
        <w:t>人設置しています。また、設置手話通訳者は、手話通訳者派遣の際のコーディネートも行っています。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251"/>
        <w:spacing w:line="240" w:lineRule="auto"/>
        <w:ind w:left="897" w:leftChars="400" w:firstLine="214"/>
        <w:rPr>
          <w:rFonts w:hint="default"/>
          <w:spacing w:val="0"/>
        </w:rPr>
      </w:pPr>
      <w:r>
        <w:rPr>
          <w:rFonts w:hint="eastAsia"/>
          <w:spacing w:val="0"/>
        </w:rPr>
        <w:t>現行の取組体制</w:t>
      </w:r>
      <w:r>
        <w:rPr>
          <w:rFonts w:hint="default"/>
          <w:spacing w:val="0"/>
        </w:rPr>
        <w:t>(</w:t>
      </w:r>
      <w:r>
        <w:rPr>
          <w:rFonts w:hint="default"/>
          <w:spacing w:val="0"/>
        </w:rPr>
        <w:t>設置</w:t>
      </w:r>
      <w:r>
        <w:rPr>
          <w:rFonts w:hint="default"/>
          <w:spacing w:val="0"/>
        </w:rPr>
        <w:t>1</w:t>
      </w:r>
      <w:r>
        <w:rPr>
          <w:rFonts w:hint="default"/>
          <w:spacing w:val="0"/>
        </w:rPr>
        <w:t>名を</w:t>
      </w:r>
      <w:r>
        <w:rPr>
          <w:rFonts w:hint="eastAsia"/>
          <w:spacing w:val="0"/>
        </w:rPr>
        <w:t>町役場</w:t>
      </w:r>
      <w:r>
        <w:rPr>
          <w:rFonts w:hint="default"/>
          <w:spacing w:val="0"/>
        </w:rPr>
        <w:t>に配置</w:t>
      </w:r>
      <w:r>
        <w:rPr>
          <w:rFonts w:hint="default"/>
          <w:spacing w:val="0"/>
        </w:rPr>
        <w:t>)</w:t>
      </w:r>
      <w:r>
        <w:rPr>
          <w:rFonts w:hint="default"/>
          <w:spacing w:val="0"/>
        </w:rPr>
        <w:t>を継続実施</w:t>
      </w:r>
      <w:r>
        <w:rPr>
          <w:rFonts w:hint="eastAsia"/>
          <w:spacing w:val="0"/>
        </w:rPr>
        <w:t>します。</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314" w:name="手話通訳者設置事業"/>
            <w:r>
              <w:rPr>
                <w:rFonts w:hint="eastAsia"/>
              </w:rPr>
              <w:t>実施箇所数</w:t>
            </w:r>
            <w:bookmarkEnd w:id="314"/>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31" behindDoc="0" locked="0" layoutInCell="1" hidden="0" allowOverlap="1">
            <wp:simplePos x="0" y="0"/>
            <wp:positionH relativeFrom="column">
              <wp:posOffset>252095</wp:posOffset>
            </wp:positionH>
            <wp:positionV relativeFrom="paragraph">
              <wp:posOffset>85090</wp:posOffset>
            </wp:positionV>
            <wp:extent cx="5938520" cy="2232025"/>
            <wp:effectExtent l="0" t="0" r="0" b="0"/>
            <wp:wrapNone/>
            <wp:docPr id="1280" name="手話通訳者設置事業01"/>
            <a:graphic xmlns:a="http://schemas.openxmlformats.org/drawingml/2006/main">
              <a:graphicData uri="http://schemas.openxmlformats.org/drawingml/2006/picture">
                <pic:pic xmlns:pic="http://schemas.openxmlformats.org/drawingml/2006/picture">
                  <pic:nvPicPr>
                    <pic:cNvPr id="1280" name="手話通訳者設置事業01"/>
                    <pic:cNvPicPr>
                      <a:picLocks noChangeAspect="1" noChangeArrowheads="1"/>
                    </pic:cNvPicPr>
                  </pic:nvPicPr>
                  <pic:blipFill>
                    <a:blip r:embed="rId56"/>
                    <a:srcRect b="8401"/>
                    <a:stretch>
                      <a:fillRect/>
                    </a:stretch>
                  </pic:blipFill>
                  <pic:spPr>
                    <a:xfrm>
                      <a:off x="0" y="0"/>
                      <a:ext cx="5938520" cy="2232025"/>
                    </a:xfrm>
                    <a:prstGeom prst="rect">
                      <a:avLst/>
                    </a:prstGeom>
                    <a:noFill/>
                    <a:ln>
                      <a:noFill/>
                    </a:ln>
                  </pic:spPr>
                </pic:pic>
              </a:graphicData>
            </a:graphic>
          </wp:anchor>
        </w:drawing>
      </w: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46"/>
        <w:ind w:left="672"/>
        <w:rPr>
          <w:rFonts w:hint="default"/>
        </w:rPr>
      </w:pPr>
      <w:bookmarkStart w:id="315" w:name="_Toc318449582"/>
      <w:r>
        <w:rPr>
          <w:rFonts w:hint="default"/>
        </w:rPr>
        <w:br w:type="page"/>
      </w:r>
      <w:r>
        <w:rPr>
          <w:rFonts w:hint="eastAsia"/>
        </w:rPr>
        <w:t>ｴ</w:t>
      </w:r>
      <w:r>
        <w:rPr>
          <w:rFonts w:hint="eastAsia"/>
        </w:rPr>
        <w:t>)</w:t>
      </w:r>
      <w:r>
        <w:rPr>
          <w:rFonts w:hint="eastAsia"/>
        </w:rPr>
        <w:t>日常生活用具給付事業</w:t>
      </w:r>
      <w:bookmarkEnd w:id="312"/>
      <w:bookmarkEnd w:id="313"/>
      <w:bookmarkEnd w:id="315"/>
    </w:p>
    <w:p>
      <w:pPr>
        <w:pStyle w:val="251"/>
        <w:spacing w:line="240" w:lineRule="auto"/>
        <w:ind w:left="897" w:leftChars="400" w:firstLine="214"/>
        <w:rPr>
          <w:rFonts w:hint="default"/>
          <w:spacing w:val="0"/>
        </w:rPr>
      </w:pPr>
      <w:r>
        <w:rPr>
          <w:rFonts w:hint="eastAsia"/>
          <w:spacing w:val="0"/>
        </w:rPr>
        <w:t>日常生活を営む上での便宜を図るため、重度障がい者等に対し、自立生活支援用具等の給付を行います。これまで実施してきた事業を踏まえながら、サービス提供を実施します。また、障がい者の希望に対応した用具が提供できるよう、ニーズ把握に努めます。</w:t>
      </w:r>
    </w:p>
    <w:p>
      <w:pPr>
        <w:pStyle w:val="251"/>
        <w:spacing w:line="240" w:lineRule="auto"/>
        <w:ind w:left="897" w:leftChars="400" w:firstLine="214"/>
        <w:rPr>
          <w:rFonts w:hint="default"/>
          <w:spacing w:val="0"/>
        </w:rPr>
      </w:pPr>
      <w:r>
        <w:rPr>
          <w:rFonts w:hint="eastAsia"/>
          <w:spacing w:val="0"/>
        </w:rPr>
        <w:t>日常生活用具給付事業の用具の種類は、以下の６つに分類されます。</w:t>
      </w:r>
    </w:p>
    <w:p>
      <w:pPr>
        <w:pStyle w:val="251"/>
        <w:tabs>
          <w:tab w:val="left" w:leader="none" w:pos="1145"/>
        </w:tabs>
        <w:spacing w:line="0" w:lineRule="atLeast"/>
        <w:ind w:left="448" w:firstLine="164"/>
        <w:rPr>
          <w:rFonts w:hint="default"/>
          <w:spacing w:val="0"/>
          <w:sz w:val="16"/>
        </w:rPr>
      </w:pPr>
    </w:p>
    <w:tbl>
      <w:tblPr>
        <w:tblStyle w:val="11"/>
        <w:tblW w:w="8924"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4114"/>
        <w:gridCol w:w="4810"/>
      </w:tblGrid>
      <w:tr>
        <w:trPr/>
        <w:tc>
          <w:tcPr>
            <w:tcW w:w="4114" w:type="dxa"/>
            <w:vAlign w:val="top"/>
          </w:tcPr>
          <w:p>
            <w:pPr>
              <w:pStyle w:val="0"/>
              <w:jc w:val="center"/>
              <w:rPr>
                <w:rFonts w:hint="default" w:asciiTheme="minorEastAsia" w:hAnsiTheme="minorEastAsia" w:eastAsiaTheme="minorEastAsia"/>
              </w:rPr>
            </w:pPr>
            <w:r>
              <w:rPr>
                <w:rFonts w:hint="eastAsia" w:asciiTheme="minorEastAsia" w:hAnsiTheme="minorEastAsia" w:eastAsiaTheme="minorEastAsia"/>
              </w:rPr>
              <w:t>種　　類</w:t>
            </w:r>
          </w:p>
        </w:tc>
        <w:tc>
          <w:tcPr>
            <w:tcW w:w="4810" w:type="dxa"/>
            <w:vAlign w:val="top"/>
          </w:tcPr>
          <w:p>
            <w:pPr>
              <w:pStyle w:val="0"/>
              <w:jc w:val="center"/>
              <w:rPr>
                <w:rFonts w:hint="default" w:asciiTheme="minorEastAsia" w:hAnsiTheme="minorEastAsia" w:eastAsiaTheme="minorEastAsia"/>
              </w:rPr>
            </w:pPr>
            <w:r>
              <w:rPr>
                <w:rFonts w:hint="eastAsia" w:asciiTheme="minorEastAsia" w:hAnsiTheme="minorEastAsia" w:eastAsiaTheme="minorEastAsia"/>
              </w:rPr>
              <w:t>内　　容</w:t>
            </w:r>
          </w:p>
        </w:tc>
      </w:tr>
      <w:tr>
        <w:trPr/>
        <w:tc>
          <w:tcPr>
            <w:tcW w:w="4114"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①介護・訓練支援用具</w:t>
            </w:r>
          </w:p>
        </w:tc>
        <w:tc>
          <w:tcPr>
            <w:tcW w:w="4810"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特殊寝台、特殊マット、体位変換器等</w:t>
            </w:r>
          </w:p>
        </w:tc>
      </w:tr>
      <w:tr>
        <w:trPr/>
        <w:tc>
          <w:tcPr>
            <w:tcW w:w="4114"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②自立生活支援用具</w:t>
            </w:r>
          </w:p>
        </w:tc>
        <w:tc>
          <w:tcPr>
            <w:tcW w:w="4810"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入浴補助用具、聴覚障害者用屋内信号装置等</w:t>
            </w:r>
          </w:p>
        </w:tc>
      </w:tr>
      <w:tr>
        <w:trPr/>
        <w:tc>
          <w:tcPr>
            <w:tcW w:w="4114"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③在宅療養等支援用具</w:t>
            </w:r>
          </w:p>
        </w:tc>
        <w:tc>
          <w:tcPr>
            <w:tcW w:w="4810"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電気式たん吸引器、盲人用体温計等</w:t>
            </w:r>
          </w:p>
        </w:tc>
      </w:tr>
      <w:tr>
        <w:trPr/>
        <w:tc>
          <w:tcPr>
            <w:tcW w:w="4114"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④情報・意思疎通支援用具</w:t>
            </w:r>
          </w:p>
        </w:tc>
        <w:tc>
          <w:tcPr>
            <w:tcW w:w="4810"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点字器、人工喉頭等</w:t>
            </w:r>
          </w:p>
        </w:tc>
      </w:tr>
      <w:tr>
        <w:trPr/>
        <w:tc>
          <w:tcPr>
            <w:tcW w:w="4114"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⑤排泄管理支援用具</w:t>
            </w:r>
          </w:p>
        </w:tc>
        <w:tc>
          <w:tcPr>
            <w:tcW w:w="4810"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ストマ用装具、紙おむつ等</w:t>
            </w:r>
          </w:p>
        </w:tc>
      </w:tr>
      <w:tr>
        <w:trPr/>
        <w:tc>
          <w:tcPr>
            <w:tcW w:w="4114"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⑥居住生活動作補助用具</w:t>
            </w:r>
            <w:r>
              <w:rPr>
                <w:rFonts w:hint="eastAsia" w:asciiTheme="minorEastAsia" w:hAnsiTheme="minorEastAsia" w:eastAsiaTheme="minorEastAsia"/>
              </w:rPr>
              <w:t>(</w:t>
            </w:r>
            <w:r>
              <w:rPr>
                <w:rFonts w:hint="eastAsia" w:asciiTheme="minorEastAsia" w:hAnsiTheme="minorEastAsia" w:eastAsiaTheme="minorEastAsia"/>
              </w:rPr>
              <w:t>住宅改修費</w:t>
            </w:r>
            <w:r>
              <w:rPr>
                <w:rFonts w:hint="eastAsia" w:asciiTheme="minorEastAsia" w:hAnsiTheme="minorEastAsia" w:eastAsiaTheme="minorEastAsia"/>
              </w:rPr>
              <w:t>)</w:t>
            </w:r>
          </w:p>
        </w:tc>
        <w:tc>
          <w:tcPr>
            <w:tcW w:w="4810" w:type="dxa"/>
            <w:vAlign w:val="top"/>
          </w:tcPr>
          <w:p>
            <w:pPr>
              <w:pStyle w:val="0"/>
              <w:rPr>
                <w:rFonts w:hint="default" w:asciiTheme="minorEastAsia" w:hAnsiTheme="minorEastAsia" w:eastAsiaTheme="minorEastAsia"/>
              </w:rPr>
            </w:pPr>
            <w:r>
              <w:rPr>
                <w:rFonts w:hint="eastAsia" w:asciiTheme="minorEastAsia" w:hAnsiTheme="minorEastAsia" w:eastAsiaTheme="minorEastAsia"/>
              </w:rPr>
              <w:t>設置に小規模な住宅改修を伴う用具</w:t>
            </w:r>
          </w:p>
        </w:tc>
      </w:tr>
    </w:tbl>
    <w:p>
      <w:pPr>
        <w:pStyle w:val="251"/>
        <w:spacing w:line="260" w:lineRule="exact"/>
        <w:ind w:left="448" w:firstLine="210"/>
        <w:rPr>
          <w:rFonts w:hint="default"/>
        </w:rPr>
      </w:pPr>
    </w:p>
    <w:p>
      <w:pPr>
        <w:pStyle w:val="251"/>
        <w:spacing w:line="260" w:lineRule="exact"/>
        <w:ind w:left="448" w:firstLine="210"/>
        <w:rPr>
          <w:rFonts w:hint="default"/>
        </w:rPr>
      </w:pPr>
    </w:p>
    <w:p>
      <w:pPr>
        <w:pStyle w:val="0"/>
        <w:ind w:left="672" w:leftChars="300"/>
        <w:rPr>
          <w:rFonts w:hint="default" w:asciiTheme="majorEastAsia" w:hAnsiTheme="majorEastAsia" w:eastAsiaTheme="majorEastAsia"/>
        </w:rPr>
      </w:pPr>
      <w:r>
        <w:rPr>
          <w:rFonts w:hint="eastAsia" w:asciiTheme="majorEastAsia" w:hAnsiTheme="majorEastAsia" w:eastAsiaTheme="majorEastAsia"/>
        </w:rPr>
        <w:t>日常生活用具給付事業</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316" w:name="日常生活用具給付事業"/>
            <w:bookmarkStart w:id="317" w:name="日常生活用具給付等事業"/>
            <w:r>
              <w:rPr>
                <w:rFonts w:hint="eastAsia"/>
              </w:rPr>
              <w:t>実利用人数</w:t>
            </w:r>
            <w:bookmarkEnd w:id="316"/>
            <w:bookmarkEnd w:id="317"/>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542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542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542</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555</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555</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555</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587</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540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554</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45</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2</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12</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jc w:val="both"/>
              <w:rPr>
                <w:rFonts w:hint="default"/>
              </w:rPr>
            </w:pPr>
            <w:r>
              <w:rPr>
                <w:rFonts w:hint="eastAsia"/>
                <w:w w:val="95"/>
              </w:rPr>
              <w:t>※日常生活用具給付事業は、「①介護・訓練支援用具」､「②自立生活支援用具」､</w:t>
            </w:r>
            <w:r>
              <w:rPr>
                <w:rFonts w:hint="default"/>
                <w:w w:val="95"/>
              </w:rPr>
              <w:br w:type="textWrapping" w:clear="none"/>
            </w:r>
            <w:r>
              <w:rPr>
                <w:rFonts w:hint="eastAsia"/>
                <w:w w:val="95"/>
              </w:rPr>
              <w:t>　　　　　　　　　　　　　「③在宅療養等支援用具」､「④情報・意思疎通支援用具」､</w:t>
            </w:r>
            <w:r>
              <w:rPr>
                <w:rFonts w:hint="default"/>
                <w:w w:val="95"/>
              </w:rPr>
              <w:br w:type="textWrapping" w:clear="none"/>
            </w:r>
            <w:r>
              <w:rPr>
                <w:rFonts w:hint="eastAsia"/>
                <w:w w:val="95"/>
              </w:rPr>
              <w:t>　　　　　　　　　　　　　「⑤排泄管理支援用具」､「⑥居住生活動作補助用具</w:t>
            </w:r>
            <w:r>
              <w:rPr>
                <w:rFonts w:hint="default"/>
                <w:w w:val="95"/>
              </w:rPr>
              <w:t>(</w:t>
            </w:r>
            <w:r>
              <w:rPr>
                <w:rFonts w:hint="default"/>
                <w:w w:val="95"/>
              </w:rPr>
              <w:t>住宅改修費</w:t>
            </w:r>
            <w:r>
              <w:rPr>
                <w:rFonts w:hint="default"/>
                <w:w w:val="95"/>
              </w:rPr>
              <w:t>)</w:t>
            </w:r>
            <w:r>
              <w:rPr>
                <w:rFonts w:hint="eastAsia"/>
                <w:w w:val="95"/>
              </w:rPr>
              <w:t>」の合算。</w:t>
            </w:r>
          </w:p>
        </w:tc>
      </w:tr>
    </w:tbl>
    <w:p>
      <w:pPr>
        <w:pStyle w:val="251"/>
        <w:spacing w:line="240" w:lineRule="auto"/>
        <w:ind w:left="448" w:firstLine="210"/>
        <w:rPr>
          <w:rFonts w:hint="default"/>
        </w:rPr>
      </w:pPr>
    </w:p>
    <w:p>
      <w:pPr>
        <w:pStyle w:val="246"/>
        <w:ind w:left="672"/>
        <w:rPr>
          <w:rFonts w:hint="default"/>
        </w:rPr>
      </w:pPr>
      <w:r>
        <w:rPr>
          <w:rFonts w:hint="eastAsia"/>
        </w:rPr>
        <w:t>ｴ</w:t>
      </w:r>
      <w:r>
        <w:rPr>
          <w:rFonts w:hint="eastAsia"/>
        </w:rPr>
        <w:t>)-1</w:t>
      </w:r>
      <w:r>
        <w:rPr>
          <w:rFonts w:hint="eastAsia"/>
        </w:rPr>
        <w:t>介護・訓練支援用具</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318" w:name="介護・訓練支援用具"/>
            <w:r>
              <w:rPr>
                <w:rFonts w:hint="eastAsia"/>
              </w:rPr>
              <w:t>実利用人数</w:t>
            </w:r>
            <w:bookmarkEnd w:id="318"/>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4</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251"/>
        <w:spacing w:line="240" w:lineRule="auto"/>
        <w:ind w:left="448" w:firstLine="210"/>
        <w:rPr>
          <w:rFonts w:hint="default"/>
        </w:rPr>
      </w:pPr>
    </w:p>
    <w:p>
      <w:pPr>
        <w:pStyle w:val="246"/>
        <w:ind w:left="672"/>
        <w:rPr>
          <w:rFonts w:hint="default"/>
        </w:rPr>
      </w:pPr>
      <w:r>
        <w:rPr>
          <w:rFonts w:hint="eastAsia"/>
        </w:rPr>
        <w:t>ｴ</w:t>
      </w:r>
      <w:r>
        <w:rPr>
          <w:rFonts w:hint="eastAsia"/>
        </w:rPr>
        <w:t>)-2</w:t>
      </w:r>
      <w:r>
        <w:rPr>
          <w:rFonts w:hint="eastAsia"/>
        </w:rPr>
        <w:t>自立生活支援用具</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319" w:name="自立生活支援用具"/>
            <w:r>
              <w:rPr>
                <w:rFonts w:hint="eastAsia"/>
              </w:rPr>
              <w:t>実利用人数</w:t>
            </w:r>
            <w:bookmarkEnd w:id="319"/>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8</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8</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6</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6</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7</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6</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3</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2</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251"/>
        <w:spacing w:line="240" w:lineRule="auto"/>
        <w:ind w:left="448" w:firstLine="210"/>
        <w:rPr>
          <w:rFonts w:hint="default"/>
        </w:rPr>
      </w:pPr>
    </w:p>
    <w:p>
      <w:pPr>
        <w:pStyle w:val="0"/>
        <w:widowControl w:val="1"/>
        <w:jc w:val="left"/>
        <w:rPr>
          <w:rFonts w:hint="default"/>
          <w:spacing w:val="-2"/>
          <w:sz w:val="21"/>
        </w:rPr>
      </w:pPr>
      <w:r>
        <w:rPr>
          <w:rFonts w:hint="default"/>
        </w:rPr>
        <w:br w:type="page"/>
      </w:r>
    </w:p>
    <w:p>
      <w:pPr>
        <w:pStyle w:val="246"/>
        <w:ind w:left="672"/>
        <w:rPr>
          <w:rFonts w:hint="default"/>
        </w:rPr>
      </w:pPr>
      <w:r>
        <w:rPr>
          <w:rFonts w:hint="eastAsia"/>
        </w:rPr>
        <w:t>ｴ</w:t>
      </w:r>
      <w:r>
        <w:rPr>
          <w:rFonts w:hint="eastAsia"/>
        </w:rPr>
        <w:t>)-3</w:t>
      </w:r>
      <w:r>
        <w:rPr>
          <w:rFonts w:hint="eastAsia"/>
        </w:rPr>
        <w:t>在宅療養等支援用具</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320" w:name="在宅療養等支援用具"/>
            <w:r>
              <w:rPr>
                <w:rFonts w:hint="eastAsia"/>
              </w:rPr>
              <w:t>実利用人数</w:t>
            </w:r>
            <w:bookmarkEnd w:id="320"/>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8</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8</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12</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12</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14</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12</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6</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4</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251"/>
        <w:spacing w:line="240" w:lineRule="auto"/>
        <w:ind w:left="448" w:firstLine="210"/>
        <w:rPr>
          <w:rFonts w:hint="default"/>
        </w:rPr>
      </w:pPr>
    </w:p>
    <w:p>
      <w:pPr>
        <w:pStyle w:val="246"/>
        <w:ind w:left="672"/>
        <w:rPr>
          <w:rFonts w:hint="default"/>
        </w:rPr>
      </w:pPr>
      <w:r>
        <w:rPr>
          <w:rFonts w:hint="eastAsia"/>
        </w:rPr>
        <w:t>ｴ</w:t>
      </w:r>
      <w:r>
        <w:rPr>
          <w:rFonts w:hint="eastAsia"/>
        </w:rPr>
        <w:t>)-4</w:t>
      </w:r>
      <w:r>
        <w:rPr>
          <w:rFonts w:hint="eastAsia"/>
        </w:rPr>
        <w:t>情報・意思疎通支援用具</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321" w:name="情報・意志疎通支援用具"/>
            <w:r>
              <w:rPr>
                <w:rFonts w:hint="eastAsia"/>
              </w:rPr>
              <w:t>実利用人数</w:t>
            </w:r>
            <w:bookmarkEnd w:id="321"/>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14</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14</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14</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12</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12</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17</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12</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4</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2</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251"/>
        <w:spacing w:line="240" w:lineRule="auto"/>
        <w:ind w:left="448" w:firstLine="210"/>
        <w:rPr>
          <w:rFonts w:hint="default"/>
        </w:rPr>
      </w:pPr>
    </w:p>
    <w:p>
      <w:pPr>
        <w:pStyle w:val="246"/>
        <w:ind w:left="672"/>
        <w:rPr>
          <w:rFonts w:hint="default"/>
        </w:rPr>
      </w:pPr>
      <w:r>
        <w:rPr>
          <w:rFonts w:hint="eastAsia"/>
        </w:rPr>
        <w:t>ｴ</w:t>
      </w:r>
      <w:r>
        <w:rPr>
          <w:rFonts w:hint="eastAsia"/>
        </w:rPr>
        <w:t>)-5</w:t>
      </w:r>
      <w:r>
        <w:rPr>
          <w:rFonts w:hint="eastAsia"/>
        </w:rPr>
        <w:t>排泄管理支援用具</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322" w:name="排泄管理支援用具"/>
            <w:r>
              <w:rPr>
                <w:rFonts w:hint="eastAsia"/>
              </w:rPr>
              <w:t>実利用人数</w:t>
            </w:r>
            <w:bookmarkEnd w:id="322"/>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508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508</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508</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520</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520</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520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549</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507</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520</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12</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251"/>
        <w:spacing w:line="240" w:lineRule="auto"/>
        <w:ind w:left="448" w:firstLine="210"/>
        <w:rPr>
          <w:rFonts w:hint="default"/>
        </w:rPr>
      </w:pPr>
    </w:p>
    <w:p>
      <w:pPr>
        <w:pStyle w:val="246"/>
        <w:ind w:left="672"/>
        <w:rPr>
          <w:rFonts w:hint="default"/>
        </w:rPr>
      </w:pPr>
      <w:r>
        <w:rPr>
          <w:rFonts w:hint="eastAsia"/>
        </w:rPr>
        <w:t>ｴ</w:t>
      </w:r>
      <w:r>
        <w:rPr>
          <w:rFonts w:hint="eastAsia"/>
        </w:rPr>
        <w:t>)-6</w:t>
      </w:r>
      <w:r>
        <w:rPr>
          <w:rFonts w:hint="eastAsia"/>
        </w:rPr>
        <w:t>居住生活動作補助用具</w:t>
      </w:r>
      <w:r>
        <w:rPr>
          <w:rFonts w:hint="eastAsia"/>
        </w:rPr>
        <w:t>(</w:t>
      </w:r>
      <w:r>
        <w:rPr>
          <w:rFonts w:hint="eastAsia"/>
        </w:rPr>
        <w:t>住宅改修費</w:t>
      </w:r>
      <w:r>
        <w:rPr>
          <w:rFonts w:hint="eastAsia"/>
        </w:rPr>
        <w:t>)</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323" w:name="居宅生活動作補助用具（住宅改修費）"/>
            <w:r>
              <w:rPr>
                <w:rFonts w:hint="eastAsia"/>
              </w:rPr>
              <w:t>実利用人数</w:t>
            </w:r>
            <w:bookmarkEnd w:id="323"/>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default"/>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251"/>
        <w:spacing w:line="240" w:lineRule="auto"/>
        <w:ind w:left="448" w:firstLine="210"/>
        <w:rPr>
          <w:rFonts w:hint="default"/>
        </w:rPr>
      </w:pPr>
    </w:p>
    <w:p>
      <w:pPr>
        <w:pStyle w:val="251"/>
        <w:spacing w:line="240" w:lineRule="auto"/>
        <w:ind w:left="448" w:firstLine="210"/>
        <w:rPr>
          <w:rFonts w:hint="default"/>
        </w:rPr>
      </w:pPr>
      <w:r>
        <w:rPr>
          <w:rFonts w:hint="default"/>
        </w:rPr>
        <w:br w:type="page"/>
      </w:r>
    </w:p>
    <w:p>
      <w:pPr>
        <w:pStyle w:val="247"/>
        <w:ind w:left="448"/>
        <w:rPr>
          <w:rFonts w:hint="default" w:ascii="ＭＳ ゴシック" w:hAnsi="ＭＳ ゴシック"/>
        </w:rPr>
      </w:pPr>
      <w:r>
        <w:rPr>
          <w:rFonts w:hint="eastAsia" w:ascii="ＭＳ ゴシック" w:hAnsi="ＭＳ ゴシック"/>
        </w:rPr>
        <w:t xml:space="preserve"> </w:t>
      </w:r>
      <w:r>
        <w:rPr>
          <w:rFonts w:hint="eastAsia" w:ascii="ＭＳ ゴシック" w:hAnsi="ＭＳ ゴシック"/>
        </w:rPr>
        <w:t>ｴ</w:t>
      </w:r>
      <w:r>
        <w:rPr>
          <w:rFonts w:hint="eastAsia" w:ascii="ＭＳ ゴシック" w:hAnsi="ＭＳ ゴシック"/>
        </w:rPr>
        <w:t>)</w:t>
      </w:r>
      <w:r>
        <w:rPr>
          <w:rFonts w:hint="eastAsia" w:ascii="ＭＳ ゴシック" w:hAnsi="ＭＳ ゴシック"/>
        </w:rPr>
        <w:t>日常生活用具給付等事業</w:t>
      </w:r>
      <w:r>
        <w:rPr>
          <w:rFonts w:hint="eastAsia" w:ascii="ＭＳ ゴシック" w:hAnsi="ＭＳ ゴシック"/>
        </w:rPr>
        <w:t xml:space="preserve"> </w:t>
      </w:r>
    </w:p>
    <w:p>
      <w:pPr>
        <w:pStyle w:val="0"/>
        <w:ind w:left="438" w:firstLine="209"/>
        <w:rPr>
          <w:rFonts w:hint="default"/>
        </w:rPr>
      </w:pPr>
      <w:r>
        <w:rPr>
          <w:rFonts w:hint="default"/>
        </w:rPr>
        <w:drawing>
          <wp:anchor distT="0" distB="0" distL="114300" distR="114300" simplePos="0" relativeHeight="30" behindDoc="0" locked="0" layoutInCell="1" hidden="0" allowOverlap="1">
            <wp:simplePos x="0" y="0"/>
            <wp:positionH relativeFrom="column">
              <wp:posOffset>187325</wp:posOffset>
            </wp:positionH>
            <wp:positionV relativeFrom="paragraph">
              <wp:posOffset>26670</wp:posOffset>
            </wp:positionV>
            <wp:extent cx="5967095" cy="2231390"/>
            <wp:effectExtent l="0" t="0" r="0" b="0"/>
            <wp:wrapNone/>
            <wp:docPr id="1281" name="日常生活用具給付等事業02"/>
            <a:graphic xmlns:a="http://schemas.openxmlformats.org/drawingml/2006/main">
              <a:graphicData uri="http://schemas.openxmlformats.org/drawingml/2006/picture">
                <pic:pic xmlns:pic="http://schemas.openxmlformats.org/drawingml/2006/picture">
                  <pic:nvPicPr>
                    <pic:cNvPr id="1281" name="日常生活用具給付等事業02"/>
                    <pic:cNvPicPr>
                      <a:picLocks noChangeAspect="1" noChangeArrowheads="1"/>
                    </pic:cNvPicPr>
                  </pic:nvPicPr>
                  <pic:blipFill>
                    <a:blip r:embed="rId57"/>
                    <a:srcRect b="8408"/>
                    <a:stretch>
                      <a:fillRect/>
                    </a:stretch>
                  </pic:blipFill>
                  <pic:spPr>
                    <a:xfrm>
                      <a:off x="0" y="0"/>
                      <a:ext cx="5967095" cy="223139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247"/>
        <w:ind w:left="448"/>
        <w:rPr>
          <w:rFonts w:hint="default" w:ascii="ＭＳ ゴシック" w:hAnsi="ＭＳ ゴシック"/>
        </w:rPr>
      </w:pPr>
      <w:r>
        <w:rPr>
          <w:rFonts w:hint="eastAsia" w:ascii="ＭＳ ゴシック" w:hAnsi="ＭＳ ゴシック"/>
        </w:rPr>
        <w:t xml:space="preserve"> </w:t>
      </w:r>
      <w:r>
        <w:rPr>
          <w:rFonts w:hint="eastAsia" w:ascii="ＭＳ ゴシック" w:hAnsi="ＭＳ ゴシック"/>
        </w:rPr>
        <w:t>ｴ</w:t>
      </w:r>
      <w:r>
        <w:rPr>
          <w:rFonts w:hint="eastAsia" w:ascii="ＭＳ ゴシック" w:hAnsi="ＭＳ ゴシック"/>
        </w:rPr>
        <w:t>)-1</w:t>
      </w:r>
      <w:r>
        <w:rPr>
          <w:rFonts w:hint="eastAsia" w:ascii="ＭＳ ゴシック" w:hAnsi="ＭＳ ゴシック"/>
        </w:rPr>
        <w:t>介護・訓練支援用具</w:t>
      </w:r>
      <w:r>
        <w:rPr>
          <w:rFonts w:hint="eastAsia" w:ascii="ＭＳ ゴシック" w:hAnsi="ＭＳ ゴシック"/>
        </w:rPr>
        <w:t xml:space="preserve"> </w:t>
      </w:r>
    </w:p>
    <w:p>
      <w:pPr>
        <w:pStyle w:val="0"/>
        <w:ind w:left="438" w:firstLine="209"/>
        <w:rPr>
          <w:rFonts w:hint="default"/>
        </w:rPr>
      </w:pPr>
      <w:r>
        <w:rPr>
          <w:rFonts w:hint="default"/>
        </w:rPr>
        <w:drawing>
          <wp:anchor distT="0" distB="0" distL="114300" distR="114300" simplePos="0" relativeHeight="29" behindDoc="0" locked="0" layoutInCell="1" hidden="0" allowOverlap="1">
            <wp:simplePos x="0" y="0"/>
            <wp:positionH relativeFrom="column">
              <wp:posOffset>180975</wp:posOffset>
            </wp:positionH>
            <wp:positionV relativeFrom="paragraph">
              <wp:posOffset>10795</wp:posOffset>
            </wp:positionV>
            <wp:extent cx="5967095" cy="2231390"/>
            <wp:effectExtent l="0" t="0" r="0" b="0"/>
            <wp:wrapNone/>
            <wp:docPr id="1282" name="介護・訓練支援用具02"/>
            <a:graphic xmlns:a="http://schemas.openxmlformats.org/drawingml/2006/main">
              <a:graphicData uri="http://schemas.openxmlformats.org/drawingml/2006/picture">
                <pic:pic xmlns:pic="http://schemas.openxmlformats.org/drawingml/2006/picture">
                  <pic:nvPicPr>
                    <pic:cNvPr id="1282" name="介護・訓練支援用具02"/>
                    <pic:cNvPicPr>
                      <a:picLocks noChangeAspect="1" noChangeArrowheads="1"/>
                    </pic:cNvPicPr>
                  </pic:nvPicPr>
                  <pic:blipFill>
                    <a:blip r:embed="rId58"/>
                    <a:srcRect b="8408"/>
                    <a:stretch>
                      <a:fillRect/>
                    </a:stretch>
                  </pic:blipFill>
                  <pic:spPr>
                    <a:xfrm>
                      <a:off x="0" y="0"/>
                      <a:ext cx="5967095" cy="223139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widowControl w:val="1"/>
        <w:jc w:val="left"/>
        <w:rPr>
          <w:rFonts w:hint="default"/>
        </w:rPr>
      </w:pPr>
    </w:p>
    <w:p>
      <w:pPr>
        <w:pStyle w:val="247"/>
        <w:ind w:left="448"/>
        <w:rPr>
          <w:rFonts w:hint="default" w:ascii="ＭＳ ゴシック" w:hAnsi="ＭＳ ゴシック"/>
        </w:rPr>
      </w:pPr>
      <w:r>
        <w:rPr>
          <w:rFonts w:hint="default"/>
        </w:rPr>
        <w:drawing>
          <wp:anchor distT="0" distB="0" distL="114300" distR="114300" simplePos="0" relativeHeight="28" behindDoc="0" locked="0" layoutInCell="1" hidden="0" allowOverlap="1">
            <wp:simplePos x="0" y="0"/>
            <wp:positionH relativeFrom="column">
              <wp:posOffset>187325</wp:posOffset>
            </wp:positionH>
            <wp:positionV relativeFrom="paragraph">
              <wp:posOffset>233045</wp:posOffset>
            </wp:positionV>
            <wp:extent cx="5967095" cy="2231390"/>
            <wp:effectExtent l="0" t="0" r="0" b="0"/>
            <wp:wrapNone/>
            <wp:docPr id="1283" name="自立生活支援用具02"/>
            <a:graphic xmlns:a="http://schemas.openxmlformats.org/drawingml/2006/main">
              <a:graphicData uri="http://schemas.openxmlformats.org/drawingml/2006/picture">
                <pic:pic xmlns:pic="http://schemas.openxmlformats.org/drawingml/2006/picture">
                  <pic:nvPicPr>
                    <pic:cNvPr id="1283" name="自立生活支援用具02"/>
                    <pic:cNvPicPr>
                      <a:picLocks noChangeAspect="1" noChangeArrowheads="1"/>
                    </pic:cNvPicPr>
                  </pic:nvPicPr>
                  <pic:blipFill>
                    <a:blip r:embed="rId59"/>
                    <a:srcRect b="8408"/>
                    <a:stretch>
                      <a:fillRect/>
                    </a:stretch>
                  </pic:blipFill>
                  <pic:spPr>
                    <a:xfrm>
                      <a:off x="0" y="0"/>
                      <a:ext cx="5967095" cy="2231390"/>
                    </a:xfrm>
                    <a:prstGeom prst="rect">
                      <a:avLst/>
                    </a:prstGeom>
                    <a:noFill/>
                    <a:ln>
                      <a:noFill/>
                    </a:ln>
                  </pic:spPr>
                </pic:pic>
              </a:graphicData>
            </a:graphic>
          </wp:anchor>
        </w:drawing>
      </w:r>
      <w:r>
        <w:rPr>
          <w:rFonts w:hint="eastAsia" w:ascii="ＭＳ ゴシック" w:hAnsi="ＭＳ ゴシック"/>
        </w:rPr>
        <w:t xml:space="preserve"> </w:t>
      </w:r>
      <w:r>
        <w:rPr>
          <w:rFonts w:hint="eastAsia" w:ascii="ＭＳ ゴシック" w:hAnsi="ＭＳ ゴシック"/>
        </w:rPr>
        <w:t>ｴ</w:t>
      </w:r>
      <w:r>
        <w:rPr>
          <w:rFonts w:hint="eastAsia" w:ascii="ＭＳ ゴシック" w:hAnsi="ＭＳ ゴシック"/>
        </w:rPr>
        <w:t>)-2</w:t>
      </w:r>
      <w:r>
        <w:rPr>
          <w:rFonts w:hint="eastAsia" w:ascii="ＭＳ ゴシック" w:hAnsi="ＭＳ ゴシック"/>
        </w:rPr>
        <w:t>自立生活支援用具</w:t>
      </w:r>
      <w:r>
        <w:rPr>
          <w:rFonts w:hint="eastAsia" w:ascii="ＭＳ ゴシック" w:hAnsi="ＭＳ ゴシック"/>
        </w:rPr>
        <w:t xml:space="preserve"> </w:t>
      </w:r>
    </w:p>
    <w:p>
      <w:pPr>
        <w:pStyle w:val="0"/>
        <w:ind w:left="438" w:firstLine="209"/>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widowControl w:val="1"/>
        <w:jc w:val="left"/>
        <w:rPr>
          <w:rFonts w:hint="default"/>
          <w:spacing w:val="-2"/>
          <w:sz w:val="21"/>
        </w:rPr>
      </w:pPr>
      <w:r>
        <w:rPr>
          <w:rFonts w:hint="default"/>
          <w:spacing w:val="-2"/>
          <w:sz w:val="21"/>
        </w:rPr>
        <w:br w:type="page"/>
      </w:r>
    </w:p>
    <w:p>
      <w:pPr>
        <w:pStyle w:val="247"/>
        <w:ind w:left="448"/>
        <w:rPr>
          <w:rFonts w:hint="default" w:ascii="ＭＳ ゴシック" w:hAnsi="ＭＳ ゴシック"/>
        </w:rPr>
      </w:pPr>
      <w:r>
        <w:rPr>
          <w:rFonts w:hint="eastAsia" w:ascii="ＭＳ ゴシック" w:hAnsi="ＭＳ ゴシック"/>
        </w:rPr>
        <w:t xml:space="preserve"> </w:t>
      </w:r>
      <w:r>
        <w:rPr>
          <w:rFonts w:hint="eastAsia" w:ascii="ＭＳ ゴシック" w:hAnsi="ＭＳ ゴシック"/>
        </w:rPr>
        <w:t>ｴ</w:t>
      </w:r>
      <w:r>
        <w:rPr>
          <w:rFonts w:hint="eastAsia" w:ascii="ＭＳ ゴシック" w:hAnsi="ＭＳ ゴシック"/>
        </w:rPr>
        <w:t>)-3</w:t>
      </w:r>
      <w:r>
        <w:rPr>
          <w:rFonts w:hint="eastAsia" w:ascii="ＭＳ ゴシック" w:hAnsi="ＭＳ ゴシック"/>
        </w:rPr>
        <w:t>在宅療養等支援用具</w:t>
      </w:r>
      <w:r>
        <w:rPr>
          <w:rFonts w:hint="eastAsia" w:ascii="ＭＳ ゴシック" w:hAnsi="ＭＳ ゴシック"/>
        </w:rPr>
        <w:t xml:space="preserve"> </w:t>
      </w:r>
    </w:p>
    <w:p>
      <w:pPr>
        <w:pStyle w:val="0"/>
        <w:ind w:left="438" w:firstLine="209"/>
        <w:rPr>
          <w:rFonts w:hint="default"/>
        </w:rPr>
      </w:pPr>
      <w:r>
        <w:rPr>
          <w:rFonts w:hint="default"/>
        </w:rPr>
        <w:drawing>
          <wp:anchor distT="0" distB="0" distL="114300" distR="114300" simplePos="0" relativeHeight="27" behindDoc="0" locked="0" layoutInCell="1" hidden="0" allowOverlap="1">
            <wp:simplePos x="0" y="0"/>
            <wp:positionH relativeFrom="column">
              <wp:posOffset>215900</wp:posOffset>
            </wp:positionH>
            <wp:positionV relativeFrom="paragraph">
              <wp:posOffset>20955</wp:posOffset>
            </wp:positionV>
            <wp:extent cx="5967095" cy="2231390"/>
            <wp:effectExtent l="0" t="0" r="0" b="0"/>
            <wp:wrapNone/>
            <wp:docPr id="1284" name="在宅療養等支援用具02"/>
            <a:graphic xmlns:a="http://schemas.openxmlformats.org/drawingml/2006/main">
              <a:graphicData uri="http://schemas.openxmlformats.org/drawingml/2006/picture">
                <pic:pic xmlns:pic="http://schemas.openxmlformats.org/drawingml/2006/picture">
                  <pic:nvPicPr>
                    <pic:cNvPr id="1284" name="在宅療養等支援用具02"/>
                    <pic:cNvPicPr>
                      <a:picLocks noChangeAspect="1" noChangeArrowheads="1"/>
                    </pic:cNvPicPr>
                  </pic:nvPicPr>
                  <pic:blipFill>
                    <a:blip r:embed="rId60"/>
                    <a:srcRect b="8408"/>
                    <a:stretch>
                      <a:fillRect/>
                    </a:stretch>
                  </pic:blipFill>
                  <pic:spPr>
                    <a:xfrm>
                      <a:off x="0" y="0"/>
                      <a:ext cx="5967095" cy="223139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247"/>
        <w:ind w:left="448"/>
        <w:rPr>
          <w:rFonts w:hint="default" w:ascii="ＭＳ ゴシック" w:hAnsi="ＭＳ ゴシック"/>
        </w:rPr>
      </w:pPr>
      <w:r>
        <w:rPr>
          <w:rFonts w:hint="eastAsia" w:ascii="ＭＳ ゴシック" w:hAnsi="ＭＳ ゴシック"/>
        </w:rPr>
        <w:t xml:space="preserve"> </w:t>
      </w:r>
      <w:r>
        <w:rPr>
          <w:rFonts w:hint="eastAsia" w:ascii="ＭＳ ゴシック" w:hAnsi="ＭＳ ゴシック"/>
        </w:rPr>
        <w:t>ｴ</w:t>
      </w:r>
      <w:r>
        <w:rPr>
          <w:rFonts w:hint="eastAsia" w:ascii="ＭＳ ゴシック" w:hAnsi="ＭＳ ゴシック"/>
        </w:rPr>
        <w:t>)-4</w:t>
      </w:r>
      <w:r>
        <w:rPr>
          <w:rFonts w:hint="eastAsia" w:ascii="ＭＳ ゴシック" w:hAnsi="ＭＳ ゴシック"/>
        </w:rPr>
        <w:t>情報・意思疎通支援用具</w:t>
      </w:r>
      <w:r>
        <w:rPr>
          <w:rFonts w:hint="eastAsia" w:ascii="ＭＳ ゴシック" w:hAnsi="ＭＳ ゴシック"/>
        </w:rPr>
        <w:t xml:space="preserve"> </w:t>
      </w:r>
    </w:p>
    <w:p>
      <w:pPr>
        <w:pStyle w:val="0"/>
        <w:ind w:left="438" w:firstLine="209"/>
        <w:rPr>
          <w:rFonts w:hint="default"/>
        </w:rPr>
      </w:pPr>
      <w:r>
        <w:rPr>
          <w:rFonts w:hint="default"/>
        </w:rPr>
        <w:drawing>
          <wp:anchor distT="0" distB="0" distL="114300" distR="114300" simplePos="0" relativeHeight="26" behindDoc="0" locked="0" layoutInCell="1" hidden="0" allowOverlap="1">
            <wp:simplePos x="0" y="0"/>
            <wp:positionH relativeFrom="column">
              <wp:posOffset>215900</wp:posOffset>
            </wp:positionH>
            <wp:positionV relativeFrom="paragraph">
              <wp:posOffset>49530</wp:posOffset>
            </wp:positionV>
            <wp:extent cx="5967095" cy="2231390"/>
            <wp:effectExtent l="0" t="0" r="0" b="0"/>
            <wp:wrapNone/>
            <wp:docPr id="1285" name="情報・意志疎通支援用具02"/>
            <a:graphic xmlns:a="http://schemas.openxmlformats.org/drawingml/2006/main">
              <a:graphicData uri="http://schemas.openxmlformats.org/drawingml/2006/picture">
                <pic:pic xmlns:pic="http://schemas.openxmlformats.org/drawingml/2006/picture">
                  <pic:nvPicPr>
                    <pic:cNvPr id="1285" name="情報・意志疎通支援用具02"/>
                    <pic:cNvPicPr>
                      <a:picLocks noChangeAspect="1" noChangeArrowheads="1"/>
                    </pic:cNvPicPr>
                  </pic:nvPicPr>
                  <pic:blipFill>
                    <a:blip r:embed="rId61"/>
                    <a:srcRect b="8408"/>
                    <a:stretch>
                      <a:fillRect/>
                    </a:stretch>
                  </pic:blipFill>
                  <pic:spPr>
                    <a:xfrm>
                      <a:off x="0" y="0"/>
                      <a:ext cx="5967095" cy="223139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247"/>
        <w:ind w:left="448"/>
        <w:rPr>
          <w:rFonts w:hint="default" w:ascii="ＭＳ ゴシック" w:hAnsi="ＭＳ ゴシック"/>
        </w:rPr>
      </w:pPr>
      <w:r>
        <w:rPr>
          <w:rFonts w:hint="eastAsia" w:ascii="ＭＳ ゴシック" w:hAnsi="ＭＳ ゴシック"/>
        </w:rPr>
        <w:t xml:space="preserve"> </w:t>
      </w:r>
      <w:r>
        <w:rPr>
          <w:rFonts w:hint="eastAsia" w:ascii="ＭＳ ゴシック" w:hAnsi="ＭＳ ゴシック"/>
        </w:rPr>
        <w:t>ｴ</w:t>
      </w:r>
      <w:r>
        <w:rPr>
          <w:rFonts w:hint="eastAsia" w:ascii="ＭＳ ゴシック" w:hAnsi="ＭＳ ゴシック"/>
        </w:rPr>
        <w:t>)-5</w:t>
      </w:r>
      <w:r>
        <w:rPr>
          <w:rFonts w:hint="eastAsia" w:ascii="ＭＳ ゴシック" w:hAnsi="ＭＳ ゴシック"/>
        </w:rPr>
        <w:t>排泄管理支援用具</w:t>
      </w:r>
      <w:r>
        <w:rPr>
          <w:rFonts w:hint="eastAsia" w:ascii="ＭＳ ゴシック" w:hAnsi="ＭＳ ゴシック"/>
        </w:rPr>
        <w:t xml:space="preserve"> </w:t>
      </w:r>
    </w:p>
    <w:p>
      <w:pPr>
        <w:pStyle w:val="0"/>
        <w:ind w:left="438" w:firstLine="209"/>
        <w:rPr>
          <w:rFonts w:hint="default"/>
        </w:rPr>
      </w:pPr>
      <w:r>
        <w:rPr>
          <w:rFonts w:hint="default"/>
        </w:rPr>
        <w:drawing>
          <wp:anchor distT="0" distB="0" distL="114300" distR="114300" simplePos="0" relativeHeight="25" behindDoc="0" locked="0" layoutInCell="1" hidden="0" allowOverlap="1">
            <wp:simplePos x="0" y="0"/>
            <wp:positionH relativeFrom="column">
              <wp:posOffset>209550</wp:posOffset>
            </wp:positionH>
            <wp:positionV relativeFrom="paragraph">
              <wp:posOffset>33655</wp:posOffset>
            </wp:positionV>
            <wp:extent cx="5967095" cy="2231390"/>
            <wp:effectExtent l="0" t="0" r="0" b="0"/>
            <wp:wrapNone/>
            <wp:docPr id="1286" name="排泄管理支援用具02"/>
            <a:graphic xmlns:a="http://schemas.openxmlformats.org/drawingml/2006/main">
              <a:graphicData uri="http://schemas.openxmlformats.org/drawingml/2006/picture">
                <pic:pic xmlns:pic="http://schemas.openxmlformats.org/drawingml/2006/picture">
                  <pic:nvPicPr>
                    <pic:cNvPr id="1286" name="排泄管理支援用具02"/>
                    <pic:cNvPicPr>
                      <a:picLocks noChangeAspect="1" noChangeArrowheads="1"/>
                    </pic:cNvPicPr>
                  </pic:nvPicPr>
                  <pic:blipFill>
                    <a:blip r:embed="rId62"/>
                    <a:srcRect b="8408"/>
                    <a:stretch>
                      <a:fillRect/>
                    </a:stretch>
                  </pic:blipFill>
                  <pic:spPr>
                    <a:xfrm>
                      <a:off x="0" y="0"/>
                      <a:ext cx="5967095" cy="223139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rPr>
          <w:rFonts w:hint="default"/>
          <w:spacing w:val="-2"/>
          <w:sz w:val="21"/>
        </w:rPr>
      </w:pPr>
      <w:r>
        <w:rPr>
          <w:rFonts w:hint="default"/>
        </w:rPr>
        <w:br w:type="page"/>
      </w:r>
    </w:p>
    <w:p>
      <w:pPr>
        <w:pStyle w:val="247"/>
        <w:ind w:left="448"/>
        <w:rPr>
          <w:rFonts w:hint="default" w:ascii="ＭＳ ゴシック" w:hAnsi="ＭＳ ゴシック"/>
        </w:rPr>
      </w:pPr>
      <w:r>
        <w:rPr>
          <w:rFonts w:hint="eastAsia" w:ascii="ＭＳ ゴシック" w:hAnsi="ＭＳ ゴシック"/>
        </w:rPr>
        <w:t xml:space="preserve"> </w:t>
      </w:r>
      <w:r>
        <w:rPr>
          <w:rFonts w:hint="eastAsia" w:ascii="ＭＳ ゴシック" w:hAnsi="ＭＳ ゴシック"/>
        </w:rPr>
        <w:t>ｴ</w:t>
      </w:r>
      <w:r>
        <w:rPr>
          <w:rFonts w:hint="eastAsia" w:ascii="ＭＳ ゴシック" w:hAnsi="ＭＳ ゴシック"/>
        </w:rPr>
        <w:t>)-6</w:t>
      </w:r>
      <w:r>
        <w:rPr>
          <w:rFonts w:hint="eastAsia" w:ascii="ＭＳ ゴシック" w:hAnsi="ＭＳ ゴシック"/>
        </w:rPr>
        <w:t>居住生活動作補助用具（住宅改修費）</w:t>
      </w:r>
      <w:r>
        <w:rPr>
          <w:rFonts w:hint="default" w:ascii="ＭＳ ゴシック" w:hAnsi="ＭＳ ゴシック"/>
        </w:rPr>
        <w:t xml:space="preserve"> </w:t>
      </w:r>
    </w:p>
    <w:p>
      <w:pPr>
        <w:pStyle w:val="0"/>
        <w:ind w:left="438" w:firstLine="205"/>
        <w:rPr>
          <w:rFonts w:hint="default"/>
        </w:rPr>
      </w:pPr>
      <w:r>
        <w:rPr>
          <w:rFonts w:hint="default"/>
        </w:rPr>
        <w:drawing>
          <wp:anchor distT="0" distB="0" distL="114300" distR="114300" simplePos="0" relativeHeight="24" behindDoc="0" locked="0" layoutInCell="1" hidden="0" allowOverlap="1">
            <wp:simplePos x="0" y="0"/>
            <wp:positionH relativeFrom="column">
              <wp:posOffset>177800</wp:posOffset>
            </wp:positionH>
            <wp:positionV relativeFrom="paragraph">
              <wp:posOffset>55245</wp:posOffset>
            </wp:positionV>
            <wp:extent cx="5967095" cy="2231390"/>
            <wp:effectExtent l="0" t="0" r="0" b="0"/>
            <wp:wrapNone/>
            <wp:docPr id="1287" name="居宅生活動作補助用具（住宅改修費）02"/>
            <a:graphic xmlns:a="http://schemas.openxmlformats.org/drawingml/2006/main">
              <a:graphicData uri="http://schemas.openxmlformats.org/drawingml/2006/picture">
                <pic:pic xmlns:pic="http://schemas.openxmlformats.org/drawingml/2006/picture">
                  <pic:nvPicPr>
                    <pic:cNvPr id="1287" name="居宅生活動作補助用具（住宅改修費）02"/>
                    <pic:cNvPicPr>
                      <a:picLocks noChangeAspect="1" noChangeArrowheads="1"/>
                    </pic:cNvPicPr>
                  </pic:nvPicPr>
                  <pic:blipFill>
                    <a:blip r:embed="rId63"/>
                    <a:srcRect b="8408"/>
                    <a:stretch>
                      <a:fillRect/>
                    </a:stretch>
                  </pic:blipFill>
                  <pic:spPr>
                    <a:xfrm>
                      <a:off x="0" y="0"/>
                      <a:ext cx="5967095" cy="2231390"/>
                    </a:xfrm>
                    <a:prstGeom prst="rect">
                      <a:avLst/>
                    </a:prstGeom>
                    <a:noFill/>
                    <a:ln>
                      <a:noFill/>
                    </a:ln>
                  </pic:spPr>
                </pic:pic>
              </a:graphicData>
            </a:graphic>
          </wp:anchor>
        </w:drawing>
      </w:r>
    </w:p>
    <w:p>
      <w:pPr>
        <w:pStyle w:val="0"/>
        <w:ind w:left="438" w:firstLine="205"/>
        <w:rPr>
          <w:rFonts w:hint="default"/>
        </w:rPr>
      </w:pPr>
    </w:p>
    <w:p>
      <w:pPr>
        <w:pStyle w:val="0"/>
        <w:ind w:left="438" w:firstLine="209"/>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246"/>
        <w:ind w:left="672"/>
        <w:rPr>
          <w:rFonts w:hint="default"/>
        </w:rPr>
      </w:pPr>
      <w:bookmarkStart w:id="324" w:name="_Toc314505328"/>
      <w:bookmarkStart w:id="325" w:name="_Toc314578880"/>
      <w:bookmarkStart w:id="326" w:name="_Toc318449583"/>
      <w:r>
        <w:rPr>
          <w:rFonts w:hint="eastAsia"/>
        </w:rPr>
        <w:t>ｵ</w:t>
      </w:r>
      <w:r>
        <w:rPr>
          <w:rFonts w:hint="default"/>
        </w:rPr>
        <w:t>)</w:t>
      </w:r>
      <w:r>
        <w:rPr>
          <w:rFonts w:hint="eastAsia"/>
        </w:rPr>
        <w:t>手話奉仕員養成研修事業</w:t>
      </w:r>
    </w:p>
    <w:p>
      <w:pPr>
        <w:pStyle w:val="251"/>
        <w:spacing w:line="240" w:lineRule="auto"/>
        <w:ind w:left="897" w:leftChars="400" w:firstLine="214"/>
        <w:rPr>
          <w:rFonts w:hint="default"/>
          <w:spacing w:val="0"/>
        </w:rPr>
      </w:pPr>
      <w:r>
        <w:rPr>
          <w:rFonts w:hint="eastAsia"/>
          <w:spacing w:val="0"/>
        </w:rPr>
        <w:t>聴覚障がい者等の意思疎通支援による社会参加促進及び情報提供の充実を図るために、手話奉仕員としての技術と知識を有する人材を養成する手話奉仕員養成講座を近隣市町と合同で実施しています。</w:t>
      </w:r>
    </w:p>
    <w:p>
      <w:pPr>
        <w:pStyle w:val="251"/>
        <w:spacing w:before="70" w:beforeLines="20" w:beforeAutospacing="0" w:line="240" w:lineRule="auto"/>
        <w:ind w:left="784" w:leftChars="350" w:firstLine="0" w:firstLineChars="0"/>
        <w:rPr>
          <w:rFonts w:hint="default"/>
          <w:spacing w:val="0"/>
        </w:rPr>
      </w:pPr>
      <w:r>
        <w:rPr>
          <w:rFonts w:hint="default" w:ascii="ＭＳ ゴシック" w:hAnsi="ＭＳ ゴシック"/>
          <w:spacing w:val="0"/>
        </w:rPr>
        <w:t>【</w:t>
      </w:r>
      <w:r>
        <w:rPr>
          <w:rFonts w:hint="eastAsia"/>
          <w:spacing w:val="0"/>
        </w:rPr>
        <w:t>実施に関する考え方】</w:t>
      </w:r>
    </w:p>
    <w:p>
      <w:pPr>
        <w:pStyle w:val="251"/>
        <w:spacing w:line="240" w:lineRule="auto"/>
        <w:ind w:left="897" w:leftChars="400" w:firstLine="214"/>
        <w:rPr>
          <w:rFonts w:hint="default"/>
          <w:spacing w:val="0"/>
        </w:rPr>
      </w:pPr>
      <w:r>
        <w:rPr>
          <w:rFonts w:hint="eastAsia"/>
          <w:spacing w:val="0"/>
        </w:rPr>
        <w:t>手話奉仕員養成講座の期間は、令和２年度より入門編、基礎編に分けて２年間かけて実施しています。</w:t>
      </w:r>
      <w:r>
        <w:rPr>
          <w:rFonts w:hint="default"/>
          <w:spacing w:val="0"/>
        </w:rPr>
        <w:t>令和３年度は養成講座中止のため</w:t>
      </w:r>
      <w:r>
        <w:rPr>
          <w:rFonts w:hint="default"/>
          <w:spacing w:val="0"/>
        </w:rPr>
        <w:t>0</w:t>
      </w:r>
      <w:r>
        <w:rPr>
          <w:rFonts w:hint="eastAsia"/>
          <w:spacing w:val="0"/>
        </w:rPr>
        <w:t>。</w:t>
      </w:r>
      <w:r>
        <w:rPr>
          <w:rFonts w:hint="default"/>
          <w:spacing w:val="0"/>
        </w:rPr>
        <w:t>令和４</w:t>
      </w:r>
      <w:r>
        <w:rPr>
          <w:rFonts w:hint="eastAsia"/>
          <w:spacing w:val="0"/>
        </w:rPr>
        <w:t>年</w:t>
      </w:r>
      <w:r>
        <w:rPr>
          <w:rFonts w:hint="default"/>
          <w:spacing w:val="0"/>
        </w:rPr>
        <w:t>度は入門編のため</w:t>
      </w:r>
      <w:r>
        <w:rPr>
          <w:rFonts w:hint="eastAsia"/>
          <w:spacing w:val="0"/>
        </w:rPr>
        <w:t>修了者は</w:t>
      </w:r>
      <w:r>
        <w:rPr>
          <w:rFonts w:hint="default"/>
          <w:spacing w:val="0"/>
        </w:rPr>
        <w:t>0</w:t>
      </w:r>
      <w:r>
        <w:rPr>
          <w:rFonts w:hint="eastAsia"/>
          <w:spacing w:val="0"/>
        </w:rPr>
        <w:t>人</w:t>
      </w:r>
      <w:r>
        <w:rPr>
          <w:rFonts w:hint="default"/>
          <w:spacing w:val="0"/>
        </w:rPr>
        <w:t>、令和５</w:t>
      </w:r>
      <w:r>
        <w:rPr>
          <w:rFonts w:hint="eastAsia"/>
          <w:spacing w:val="0"/>
        </w:rPr>
        <w:t>年</w:t>
      </w:r>
      <w:r>
        <w:rPr>
          <w:rFonts w:hint="default"/>
          <w:spacing w:val="0"/>
        </w:rPr>
        <w:t>度は基礎編受講生の</w:t>
      </w:r>
      <w:r>
        <w:rPr>
          <w:rFonts w:hint="eastAsia"/>
          <w:spacing w:val="0"/>
        </w:rPr>
        <w:t>人</w:t>
      </w:r>
      <w:r>
        <w:rPr>
          <w:rFonts w:hint="default"/>
          <w:spacing w:val="0"/>
        </w:rPr>
        <w:t>数</w:t>
      </w:r>
      <w:r>
        <w:rPr>
          <w:rFonts w:hint="eastAsia"/>
          <w:spacing w:val="0"/>
        </w:rPr>
        <w:t>５人。令和６年</w:t>
      </w:r>
      <w:r>
        <w:rPr>
          <w:rFonts w:hint="default"/>
          <w:spacing w:val="0"/>
        </w:rPr>
        <w:t>度以降は、令和４</w:t>
      </w:r>
      <w:r>
        <w:rPr>
          <w:rFonts w:hint="eastAsia"/>
          <w:spacing w:val="0"/>
        </w:rPr>
        <w:t>年度・５年度</w:t>
      </w:r>
      <w:r>
        <w:rPr>
          <w:rFonts w:hint="default"/>
          <w:spacing w:val="0"/>
        </w:rPr>
        <w:t>の実施状況を基に</w:t>
      </w:r>
      <w:r>
        <w:rPr>
          <w:rFonts w:hint="eastAsia"/>
          <w:spacing w:val="0"/>
        </w:rPr>
        <w:t>修了者</w:t>
      </w:r>
      <w:r>
        <w:rPr>
          <w:rFonts w:hint="default"/>
          <w:spacing w:val="0"/>
        </w:rPr>
        <w:t>を見込</w:t>
      </w:r>
      <w:r>
        <w:rPr>
          <w:rFonts w:hint="eastAsia"/>
          <w:spacing w:val="0"/>
        </w:rPr>
        <w:t>みました</w:t>
      </w:r>
      <w:r>
        <w:rPr>
          <w:rFonts w:hint="default"/>
          <w:spacing w:val="0"/>
        </w:rPr>
        <w:t>。</w:t>
      </w:r>
    </w:p>
    <w:p>
      <w:pPr>
        <w:pStyle w:val="0"/>
        <w:spacing w:line="0" w:lineRule="atLeast"/>
        <w:ind w:left="438" w:firstLine="159"/>
        <w:rPr>
          <w:rFonts w:hint="default"/>
          <w:sz w:val="16"/>
        </w:rPr>
      </w:pPr>
    </w:p>
    <w:tbl>
      <w:tblPr>
        <w:tblStyle w:val="11"/>
        <w:tblW w:w="905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30"/>
        <w:gridCol w:w="1131"/>
        <w:gridCol w:w="1102"/>
        <w:gridCol w:w="29"/>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12"/>
                <w:w w:val="85"/>
              </w:rPr>
            </w:pPr>
            <w:bookmarkStart w:id="327" w:name="手話奉仕員養成研修事業"/>
            <w:r>
              <w:rPr>
                <w:rFonts w:hint="eastAsia"/>
                <w:spacing w:val="-12"/>
                <w:w w:val="85"/>
              </w:rPr>
              <w:t>修了見込み者数</w:t>
            </w:r>
            <w:bookmarkEnd w:id="327"/>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3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6</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6</w:t>
            </w:r>
          </w:p>
        </w:tc>
        <w:tc>
          <w:tcPr>
            <w:tcW w:w="113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6</w:t>
            </w:r>
          </w:p>
        </w:tc>
        <w:tc>
          <w:tcPr>
            <w:tcW w:w="1130"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31" w:type="dxa"/>
            <w:gridSpan w:val="2"/>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r>
              <w:rPr>
                <w:rFonts w:hint="default"/>
              </w:rPr>
              <w:t>6</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6</w:t>
            </w:r>
          </w:p>
        </w:tc>
        <w:tc>
          <w:tcPr>
            <w:tcW w:w="1130"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rPr>
                <w:rFonts w:hint="default"/>
                <w:w w:val="98"/>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c>
          <w:tcPr>
            <w:tcW w:w="1131" w:type="dxa"/>
            <w:gridSpan w:val="2"/>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w w:val="98"/>
              </w:rPr>
            </w:pPr>
          </w:p>
        </w:tc>
      </w:tr>
      <w:tr>
        <w:trPr>
          <w:gridAfter w:val="1"/>
          <w:wAfter w:w="29" w:type="dxa"/>
        </w:trPr>
        <w:tc>
          <w:tcPr>
            <w:tcW w:w="9030" w:type="dxa"/>
            <w:gridSpan w:val="8"/>
            <w:tcBorders>
              <w:top w:val="single" w:color="auto" w:sz="8"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r>
        <w:rPr>
          <w:rFonts w:hint="default"/>
        </w:rPr>
        <w:drawing>
          <wp:anchor distT="0" distB="0" distL="114300" distR="114300" simplePos="0" relativeHeight="23" behindDoc="0" locked="0" layoutInCell="1" hidden="0" allowOverlap="1">
            <wp:simplePos x="0" y="0"/>
            <wp:positionH relativeFrom="column">
              <wp:posOffset>274955</wp:posOffset>
            </wp:positionH>
            <wp:positionV relativeFrom="paragraph">
              <wp:posOffset>92075</wp:posOffset>
            </wp:positionV>
            <wp:extent cx="5967095" cy="2231390"/>
            <wp:effectExtent l="0" t="0" r="0" b="0"/>
            <wp:wrapNone/>
            <wp:docPr id="1288" name="手話奉仕員養成研修事業02"/>
            <a:graphic xmlns:a="http://schemas.openxmlformats.org/drawingml/2006/main">
              <a:graphicData uri="http://schemas.openxmlformats.org/drawingml/2006/picture">
                <pic:pic xmlns:pic="http://schemas.openxmlformats.org/drawingml/2006/picture">
                  <pic:nvPicPr>
                    <pic:cNvPr id="1288" name="手話奉仕員養成研修事業02"/>
                    <pic:cNvPicPr>
                      <a:picLocks noChangeAspect="1" noChangeArrowheads="1"/>
                    </pic:cNvPicPr>
                  </pic:nvPicPr>
                  <pic:blipFill>
                    <a:blip r:embed="rId64"/>
                    <a:srcRect b="8408"/>
                    <a:stretch>
                      <a:fillRect/>
                    </a:stretch>
                  </pic:blipFill>
                  <pic:spPr>
                    <a:xfrm>
                      <a:off x="0" y="0"/>
                      <a:ext cx="5967095" cy="2231390"/>
                    </a:xfrm>
                    <a:prstGeom prst="rect">
                      <a:avLst/>
                    </a:prstGeom>
                    <a:noFill/>
                    <a:ln>
                      <a:noFill/>
                    </a:ln>
                  </pic:spPr>
                </pic:pic>
              </a:graphicData>
            </a:graphic>
          </wp:anchor>
        </w:drawing>
      </w:r>
    </w:p>
    <w:p>
      <w:pPr>
        <w:pStyle w:val="0"/>
        <w:ind w:left="560" w:leftChars="250" w:firstLine="209"/>
        <w:rPr>
          <w:rFonts w:hint="default"/>
        </w:rPr>
      </w:pPr>
    </w:p>
    <w:p>
      <w:pPr>
        <w:pStyle w:val="0"/>
        <w:ind w:left="560" w:leftChars="250" w:firstLine="209"/>
        <w:rPr>
          <w:rFonts w:hint="default"/>
        </w:rPr>
      </w:pPr>
    </w:p>
    <w:p>
      <w:pPr>
        <w:pStyle w:val="0"/>
        <w:ind w:left="560" w:leftChars="250" w:firstLine="209"/>
        <w:rPr>
          <w:rFonts w:hint="default"/>
        </w:rPr>
      </w:pPr>
    </w:p>
    <w:p>
      <w:pPr>
        <w:pStyle w:val="0"/>
        <w:ind w:left="560" w:leftChars="250" w:firstLine="209"/>
        <w:rPr>
          <w:rFonts w:hint="default"/>
        </w:rPr>
      </w:pPr>
    </w:p>
    <w:p>
      <w:pPr>
        <w:pStyle w:val="0"/>
        <w:ind w:left="560" w:leftChars="250" w:firstLine="209"/>
        <w:rPr>
          <w:rFonts w:hint="default"/>
        </w:rPr>
      </w:pPr>
    </w:p>
    <w:p>
      <w:pPr>
        <w:pStyle w:val="0"/>
        <w:ind w:left="560" w:leftChars="250" w:firstLine="209"/>
        <w:rPr>
          <w:rFonts w:hint="default"/>
        </w:rPr>
      </w:pPr>
    </w:p>
    <w:p>
      <w:pPr>
        <w:pStyle w:val="0"/>
        <w:ind w:left="560" w:leftChars="250" w:firstLine="209"/>
        <w:rPr>
          <w:rFonts w:hint="default"/>
        </w:rPr>
      </w:pPr>
    </w:p>
    <w:p>
      <w:pPr>
        <w:pStyle w:val="0"/>
        <w:ind w:left="560" w:leftChars="250" w:firstLine="209"/>
        <w:rPr>
          <w:rFonts w:hint="default"/>
        </w:rPr>
      </w:pPr>
    </w:p>
    <w:p>
      <w:pPr>
        <w:pStyle w:val="251"/>
        <w:spacing w:line="240" w:lineRule="auto"/>
        <w:ind w:left="560" w:leftChars="250" w:firstLine="214"/>
        <w:rPr>
          <w:rFonts w:hint="default"/>
          <w:spacing w:val="0"/>
        </w:rPr>
      </w:pPr>
    </w:p>
    <w:p>
      <w:pPr>
        <w:pStyle w:val="246"/>
        <w:ind w:left="672"/>
        <w:rPr>
          <w:rFonts w:hint="default"/>
        </w:rPr>
      </w:pPr>
      <w:r>
        <w:rPr>
          <w:rFonts w:hint="default"/>
        </w:rPr>
        <w:br w:type="page"/>
      </w:r>
      <w:r>
        <w:rPr>
          <w:rFonts w:hint="eastAsia"/>
        </w:rPr>
        <w:t>ｶ</w:t>
      </w:r>
      <w:r>
        <w:rPr>
          <w:rFonts w:hint="default"/>
        </w:rPr>
        <w:t>)</w:t>
      </w:r>
      <w:r>
        <w:rPr>
          <w:rFonts w:hint="eastAsia"/>
        </w:rPr>
        <w:t>移動支援事業</w:t>
      </w:r>
      <w:bookmarkEnd w:id="324"/>
      <w:bookmarkEnd w:id="325"/>
      <w:bookmarkEnd w:id="326"/>
    </w:p>
    <w:p>
      <w:pPr>
        <w:pStyle w:val="251"/>
        <w:spacing w:line="240" w:lineRule="auto"/>
        <w:ind w:left="897" w:leftChars="400" w:firstLine="214"/>
        <w:rPr>
          <w:rFonts w:hint="default"/>
          <w:spacing w:val="0"/>
        </w:rPr>
      </w:pPr>
      <w:bookmarkStart w:id="328" w:name="_Toc314505329"/>
      <w:bookmarkStart w:id="329" w:name="_Toc314578881"/>
      <w:r>
        <w:rPr>
          <w:rFonts w:hint="eastAsia"/>
          <w:spacing w:val="0"/>
        </w:rPr>
        <w:t>屋外での移動が困難な障がい者の地域における社会参加を促進するため、外出の際の移動を支援する事業です。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251"/>
        <w:ind w:left="1009" w:leftChars="450" w:firstLine="214"/>
        <w:rPr>
          <w:rFonts w:hint="default"/>
          <w:spacing w:val="0"/>
        </w:rPr>
      </w:pPr>
      <w:r>
        <w:rPr>
          <w:rFonts w:hint="eastAsia"/>
          <w:spacing w:val="0"/>
        </w:rPr>
        <w:t>利用者数は</w:t>
      </w:r>
      <w:r>
        <w:rPr>
          <w:rFonts w:hint="default"/>
          <w:spacing w:val="0"/>
        </w:rPr>
        <w:t>令和２年度～令和４</w:t>
      </w:r>
      <w:r>
        <w:rPr>
          <w:rFonts w:hint="eastAsia"/>
          <w:spacing w:val="0"/>
        </w:rPr>
        <w:t>年度</w:t>
      </w:r>
      <w:r>
        <w:rPr>
          <w:rFonts w:hint="default"/>
          <w:spacing w:val="0"/>
        </w:rPr>
        <w:t>の実績平均</w:t>
      </w:r>
      <w:r>
        <w:rPr>
          <w:rFonts w:hint="eastAsia"/>
          <w:spacing w:val="0"/>
        </w:rPr>
        <w:t>から</w:t>
      </w:r>
      <w:r>
        <w:rPr>
          <w:rFonts w:hint="eastAsia"/>
          <w:spacing w:val="0"/>
        </w:rPr>
        <w:t>30</w:t>
      </w:r>
      <w:r>
        <w:rPr>
          <w:rFonts w:hint="eastAsia"/>
          <w:spacing w:val="0"/>
        </w:rPr>
        <w:t>人を見込みます。利用時間は、</w:t>
      </w:r>
      <w:r>
        <w:rPr>
          <w:rFonts w:hint="default"/>
          <w:spacing w:val="0"/>
        </w:rPr>
        <w:t>令和２</w:t>
      </w:r>
      <w:r>
        <w:rPr>
          <w:rFonts w:hint="eastAsia"/>
          <w:spacing w:val="0"/>
        </w:rPr>
        <w:t>年度</w:t>
      </w:r>
      <w:r>
        <w:rPr>
          <w:rFonts w:hint="default"/>
          <w:spacing w:val="0"/>
        </w:rPr>
        <w:t>実績から令和４</w:t>
      </w:r>
      <w:r>
        <w:rPr>
          <w:rFonts w:hint="eastAsia"/>
          <w:spacing w:val="0"/>
        </w:rPr>
        <w:t>年度</w:t>
      </w:r>
      <w:r>
        <w:rPr>
          <w:rFonts w:hint="default"/>
          <w:spacing w:val="0"/>
        </w:rPr>
        <w:t>実績の１人あたりの平均利用時間の増加率</w:t>
      </w:r>
      <w:r>
        <w:rPr>
          <w:rFonts w:hint="default"/>
          <w:spacing w:val="0"/>
        </w:rPr>
        <w:t>1.2</w:t>
      </w:r>
      <w:r>
        <w:rPr>
          <w:rFonts w:hint="default"/>
          <w:spacing w:val="0"/>
        </w:rPr>
        <w:t>を</w:t>
      </w:r>
      <w:r>
        <w:rPr>
          <w:rFonts w:hint="eastAsia"/>
          <w:spacing w:val="0"/>
        </w:rPr>
        <w:t>乗じて</w:t>
      </w:r>
      <w:r>
        <w:rPr>
          <w:rFonts w:hint="eastAsia"/>
          <w:spacing w:val="0"/>
        </w:rPr>
        <w:t>67</w:t>
      </w:r>
      <w:r>
        <w:rPr>
          <w:rFonts w:hint="eastAsia"/>
          <w:spacing w:val="0"/>
        </w:rPr>
        <w:t>時間／</w:t>
      </w:r>
      <w:r>
        <w:rPr>
          <w:rFonts w:hint="eastAsia"/>
          <w:spacing w:val="0"/>
        </w:rPr>
        <w:t>1</w:t>
      </w:r>
      <w:r>
        <w:rPr>
          <w:rFonts w:hint="eastAsia"/>
          <w:spacing w:val="0"/>
        </w:rPr>
        <w:t>人あたりとし</w:t>
      </w:r>
      <w:r>
        <w:rPr>
          <w:rFonts w:hint="eastAsia"/>
          <w:spacing w:val="0"/>
        </w:rPr>
        <w:t>2,010</w:t>
      </w:r>
      <w:r>
        <w:rPr>
          <w:rFonts w:hint="eastAsia"/>
          <w:spacing w:val="0"/>
        </w:rPr>
        <w:t>時間を見込みます。</w:t>
      </w:r>
    </w:p>
    <w:p>
      <w:pPr>
        <w:pStyle w:val="0"/>
        <w:spacing w:line="0" w:lineRule="atLeast"/>
        <w:ind w:left="438" w:firstLine="159"/>
        <w:rPr>
          <w:rFonts w:hint="default"/>
          <w:sz w:val="16"/>
        </w:rPr>
      </w:pPr>
    </w:p>
    <w:tbl>
      <w:tblPr>
        <w:tblStyle w:val="11"/>
        <w:tblW w:w="905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30"/>
        <w:gridCol w:w="1131"/>
        <w:gridCol w:w="113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bookmarkStart w:id="330" w:name="移動支援事業"/>
            <w:r>
              <w:rPr>
                <w:rFonts w:hint="eastAsia"/>
              </w:rPr>
              <w:t>実利用人数</w:t>
            </w:r>
            <w:bookmarkEnd w:id="330"/>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43</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43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43</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30</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30</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31</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29</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30</w:t>
            </w:r>
          </w:p>
        </w:tc>
        <w:tc>
          <w:tcPr>
            <w:tcW w:w="1130"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r>
              <w:rPr>
                <w:rFonts w:hint="default"/>
              </w:rPr>
              <w:t>14</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r>
              <w:rPr>
                <w:rFonts w:hint="default"/>
              </w:rPr>
              <w:t>13</w:t>
            </w:r>
          </w:p>
        </w:tc>
        <w:tc>
          <w:tcPr>
            <w:tcW w:w="1130"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spacing w:before="5" w:beforeLines="0" w:beforeAutospacing="0" w:after="5" w:afterLines="0" w:afterAutospacing="0" w:line="250" w:lineRule="exact"/>
              <w:textAlignment w:val="center"/>
              <w:rPr>
                <w:rFonts w:hint="default"/>
                <w:w w:val="98"/>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line="250" w:lineRule="exact"/>
              <w:textAlignment w:val="center"/>
              <w:rPr>
                <w:rFonts w:hint="default"/>
                <w:w w:val="98"/>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line="250" w:lineRule="exact"/>
              <w:textAlignment w:val="center"/>
              <w:rPr>
                <w:rFonts w:hint="default"/>
                <w:w w:val="98"/>
              </w:rPr>
            </w:pPr>
          </w:p>
        </w:tc>
      </w:tr>
    </w:tbl>
    <w:p>
      <w:pPr>
        <w:pStyle w:val="0"/>
        <w:spacing w:line="160" w:lineRule="exact"/>
        <w:rPr>
          <w:rFonts w:hint="default" w:ascii="ＭＳ ゴシック" w:hAnsi="ＭＳ ゴシック" w:eastAsia="ＭＳ ゴシック"/>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延利用時間</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時間</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2,344</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2,344</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2,344</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2,010</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2,010</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2,010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時間</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1,390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1,637</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2,010</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954</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707</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334</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line="250" w:lineRule="exact"/>
              <w:textAlignment w:val="center"/>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line="250" w:lineRule="exact"/>
              <w:textAlignment w:val="center"/>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top"/>
          </w:tcPr>
          <w:p>
            <w:pPr>
              <w:pStyle w:val="250"/>
              <w:spacing w:before="5" w:beforeLines="0" w:beforeAutospacing="0" w:after="5" w:afterLines="0" w:afterAutospacing="0" w:line="250" w:lineRule="exact"/>
              <w:textAlignment w:val="center"/>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jc w:val="both"/>
              <w:rPr>
                <w:rFonts w:hint="default"/>
              </w:rPr>
            </w:pPr>
            <w:r>
              <w:rPr>
                <w:rFonts w:hint="eastAsia"/>
              </w:rPr>
              <w:t>資料：保健福祉課　　・令和５年度は、見込みの数値。</w:t>
            </w:r>
          </w:p>
          <w:p>
            <w:pPr>
              <w:pStyle w:val="249"/>
              <w:spacing w:before="0" w:beforeLines="0" w:beforeAutospacing="0" w:after="0" w:afterLines="0" w:afterAutospacing="0" w:line="260" w:lineRule="exact"/>
              <w:jc w:val="both"/>
              <w:textAlignment w:val="center"/>
              <w:rPr>
                <w:rFonts w:hint="default"/>
              </w:rPr>
            </w:pPr>
            <w:r>
              <w:rPr>
                <w:rFonts w:hint="eastAsia"/>
              </w:rPr>
              <w:t>　　　※移動支援事業は「個別支援型」と「車両移送型」を実施。「グループ支援型」は実施予定なし。</w:t>
            </w:r>
          </w:p>
        </w:tc>
      </w:tr>
    </w:tbl>
    <w:p>
      <w:pPr>
        <w:pStyle w:val="0"/>
        <w:ind w:left="438" w:firstLine="209"/>
        <w:rPr>
          <w:rFonts w:hint="default"/>
        </w:rPr>
      </w:pPr>
      <w:r>
        <w:rPr>
          <w:rFonts w:hint="default"/>
        </w:rPr>
        <w:drawing>
          <wp:anchor distT="0" distB="0" distL="114300" distR="114300" simplePos="0" relativeHeight="22" behindDoc="0" locked="0" layoutInCell="1" hidden="0" allowOverlap="1">
            <wp:simplePos x="0" y="0"/>
            <wp:positionH relativeFrom="column">
              <wp:posOffset>294005</wp:posOffset>
            </wp:positionH>
            <wp:positionV relativeFrom="paragraph">
              <wp:posOffset>54610</wp:posOffset>
            </wp:positionV>
            <wp:extent cx="5967095" cy="2231390"/>
            <wp:effectExtent l="0" t="0" r="0" b="0"/>
            <wp:wrapNone/>
            <wp:docPr id="1289" name="移動支援事業02"/>
            <a:graphic xmlns:a="http://schemas.openxmlformats.org/drawingml/2006/main">
              <a:graphicData uri="http://schemas.openxmlformats.org/drawingml/2006/picture">
                <pic:pic xmlns:pic="http://schemas.openxmlformats.org/drawingml/2006/picture">
                  <pic:nvPicPr>
                    <pic:cNvPr id="1289" name="移動支援事業02"/>
                    <pic:cNvPicPr>
                      <a:picLocks noChangeAspect="1" noChangeArrowheads="1"/>
                    </pic:cNvPicPr>
                  </pic:nvPicPr>
                  <pic:blipFill>
                    <a:blip r:embed="rId65"/>
                    <a:srcRect b="8408"/>
                    <a:stretch>
                      <a:fillRect/>
                    </a:stretch>
                  </pic:blipFill>
                  <pic:spPr>
                    <a:xfrm>
                      <a:off x="0" y="0"/>
                      <a:ext cx="5967095" cy="223139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r>
        <w:rPr>
          <w:rFonts w:hint="default"/>
        </w:rPr>
        <w:drawing>
          <wp:anchor distT="0" distB="0" distL="114300" distR="114300" simplePos="0" relativeHeight="21" behindDoc="0" locked="0" layoutInCell="1" hidden="0" allowOverlap="1">
            <wp:simplePos x="0" y="0"/>
            <wp:positionH relativeFrom="column">
              <wp:posOffset>302895</wp:posOffset>
            </wp:positionH>
            <wp:positionV relativeFrom="paragraph">
              <wp:posOffset>113665</wp:posOffset>
            </wp:positionV>
            <wp:extent cx="5938520" cy="2231390"/>
            <wp:effectExtent l="0" t="0" r="0" b="0"/>
            <wp:wrapNone/>
            <wp:docPr id="1290" name="移動支援事業03"/>
            <a:graphic xmlns:a="http://schemas.openxmlformats.org/drawingml/2006/main">
              <a:graphicData uri="http://schemas.openxmlformats.org/drawingml/2006/picture">
                <pic:pic xmlns:pic="http://schemas.openxmlformats.org/drawingml/2006/picture">
                  <pic:nvPicPr>
                    <pic:cNvPr id="1290" name="移動支援事業03"/>
                    <pic:cNvPicPr>
                      <a:picLocks noChangeAspect="1" noChangeArrowheads="1"/>
                    </pic:cNvPicPr>
                  </pic:nvPicPr>
                  <pic:blipFill>
                    <a:blip r:embed="rId66"/>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rPr>
      </w:pPr>
    </w:p>
    <w:p>
      <w:pPr>
        <w:pStyle w:val="0"/>
        <w:ind w:left="438" w:firstLine="209"/>
        <w:rPr>
          <w:rFonts w:hint="default"/>
        </w:rPr>
      </w:pPr>
    </w:p>
    <w:p>
      <w:pPr>
        <w:pStyle w:val="0"/>
        <w:ind w:left="438" w:firstLine="205"/>
        <w:rPr>
          <w:rFonts w:hint="default"/>
        </w:rPr>
      </w:pPr>
    </w:p>
    <w:p>
      <w:pPr>
        <w:pStyle w:val="0"/>
        <w:ind w:left="438" w:firstLine="205"/>
        <w:rPr>
          <w:rFonts w:hint="default"/>
        </w:rPr>
      </w:pPr>
    </w:p>
    <w:p>
      <w:pPr>
        <w:pStyle w:val="251"/>
        <w:ind w:left="448" w:firstLine="210"/>
        <w:rPr>
          <w:rFonts w:hint="default"/>
        </w:rPr>
      </w:pPr>
    </w:p>
    <w:p>
      <w:pPr>
        <w:pStyle w:val="246"/>
        <w:ind w:left="672"/>
        <w:rPr>
          <w:rFonts w:hint="default"/>
        </w:rPr>
      </w:pPr>
      <w:r>
        <w:rPr>
          <w:rFonts w:hint="default"/>
        </w:rPr>
        <w:br w:type="page"/>
      </w:r>
      <w:bookmarkStart w:id="331" w:name="_Toc318449584"/>
      <w:r>
        <w:rPr>
          <w:rFonts w:hint="eastAsia"/>
        </w:rPr>
        <w:t>ｷ</w:t>
      </w:r>
      <w:r>
        <w:rPr>
          <w:rFonts w:hint="default"/>
        </w:rPr>
        <w:t>)</w:t>
      </w:r>
      <w:r>
        <w:rPr>
          <w:rFonts w:hint="eastAsia"/>
        </w:rPr>
        <w:t>地域活動支援センター</w:t>
      </w:r>
      <w:bookmarkEnd w:id="328"/>
      <w:bookmarkEnd w:id="329"/>
      <w:bookmarkEnd w:id="331"/>
    </w:p>
    <w:p>
      <w:pPr>
        <w:pStyle w:val="251"/>
        <w:spacing w:line="240" w:lineRule="auto"/>
        <w:ind w:left="897" w:leftChars="400" w:firstLine="214"/>
        <w:rPr>
          <w:rFonts w:hint="default"/>
          <w:spacing w:val="0"/>
        </w:rPr>
      </w:pPr>
      <w:r>
        <w:rPr>
          <w:rFonts w:hint="eastAsia"/>
          <w:spacing w:val="0"/>
        </w:rPr>
        <w:t>地域活動支援センターは、障がい者が地域で日中活動できる場</w:t>
      </w:r>
      <w:r>
        <w:rPr>
          <w:rFonts w:hint="eastAsia"/>
          <w:spacing w:val="0"/>
        </w:rPr>
        <w:t>(</w:t>
      </w:r>
      <w:r>
        <w:rPr>
          <w:rFonts w:hint="eastAsia"/>
          <w:spacing w:val="0"/>
        </w:rPr>
        <w:t>居場所</w:t>
      </w:r>
      <w:r>
        <w:rPr>
          <w:rFonts w:hint="eastAsia"/>
          <w:spacing w:val="0"/>
        </w:rPr>
        <w:t>)</w:t>
      </w:r>
      <w:r>
        <w:rPr>
          <w:rFonts w:hint="eastAsia"/>
          <w:spacing w:val="0"/>
        </w:rPr>
        <w:t>を作るために、創作活動又は生産活動の機会を提供し、社会との交流を促進する事業です。</w:t>
      </w:r>
    </w:p>
    <w:p>
      <w:pPr>
        <w:pStyle w:val="251"/>
        <w:ind w:left="448" w:firstLine="210"/>
        <w:rPr>
          <w:rFonts w:hint="default"/>
        </w:rPr>
      </w:pPr>
    </w:p>
    <w:tbl>
      <w:tblPr>
        <w:tblStyle w:val="11"/>
        <w:tblW w:w="8782" w:type="dxa"/>
        <w:tblInd w:w="8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701"/>
        <w:gridCol w:w="495"/>
        <w:gridCol w:w="6586"/>
      </w:tblGrid>
      <w:tr>
        <w:trPr/>
        <w:tc>
          <w:tcPr>
            <w:tcW w:w="1701" w:type="dxa"/>
            <w:vMerge w:val="restart"/>
            <w:shd w:val="clear" w:color="auto" w:fill="auto"/>
            <w:tcMar>
              <w:top w:w="57" w:type="dxa"/>
              <w:bottom w:w="57" w:type="dxa"/>
            </w:tcMar>
            <w:vAlign w:val="center"/>
          </w:tcPr>
          <w:p>
            <w:pPr>
              <w:pStyle w:val="0"/>
              <w:spacing w:line="0" w:lineRule="atLeast"/>
              <w:jc w:val="center"/>
              <w:rPr>
                <w:rFonts w:hint="default" w:asciiTheme="minorEastAsia" w:hAnsiTheme="minorEastAsia" w:eastAsiaTheme="minorEastAsia"/>
                <w:w w:val="90"/>
                <w:sz w:val="21"/>
              </w:rPr>
            </w:pPr>
            <w:r>
              <w:rPr>
                <w:rFonts w:hint="eastAsia" w:asciiTheme="minorEastAsia" w:hAnsiTheme="minorEastAsia" w:eastAsiaTheme="minorEastAsia"/>
                <w:w w:val="90"/>
                <w:sz w:val="21"/>
              </w:rPr>
              <w:t>【基礎的事業】</w:t>
            </w:r>
          </w:p>
          <w:p>
            <w:pPr>
              <w:pStyle w:val="0"/>
              <w:spacing w:line="0" w:lineRule="atLeast"/>
              <w:rPr>
                <w:rFonts w:hint="default" w:asciiTheme="minorEastAsia" w:hAnsiTheme="minorEastAsia" w:eastAsiaTheme="minorEastAsia"/>
                <w:sz w:val="21"/>
              </w:rPr>
            </w:pPr>
            <w:r>
              <w:rPr>
                <w:rFonts w:hint="eastAsia" w:asciiTheme="minorEastAsia" w:hAnsiTheme="minorEastAsia" w:eastAsiaTheme="minorEastAsia"/>
                <w:sz w:val="21"/>
              </w:rPr>
              <w:t>創作活動、生産活動、社会との交流促進等を実施する。</w:t>
            </w:r>
          </w:p>
        </w:tc>
        <w:tc>
          <w:tcPr>
            <w:tcW w:w="495" w:type="dxa"/>
            <w:vMerge w:val="restart"/>
            <w:tcBorders>
              <w:top w:val="nil"/>
              <w:left w:val="none" w:color="auto" w:sz="0" w:space="0"/>
              <w:bottom w:val="nil"/>
              <w:right w:val="none" w:color="auto" w:sz="0" w:space="0"/>
              <w:tl2br w:val="none" w:color="auto" w:sz="0" w:space="0"/>
              <w:tr2bl w:val="none" w:color="auto" w:sz="0" w:space="0"/>
            </w:tcBorders>
            <w:shd w:val="clear" w:color="auto" w:fill="auto"/>
            <w:tcMar>
              <w:top w:w="57" w:type="dxa"/>
              <w:bottom w:w="57" w:type="dxa"/>
            </w:tcMar>
            <w:vAlign w:val="center"/>
          </w:tcPr>
          <w:p>
            <w:pPr>
              <w:pStyle w:val="0"/>
              <w:spacing w:line="0" w:lineRule="atLeast"/>
              <w:jc w:val="center"/>
              <w:rPr>
                <w:rFonts w:hint="default" w:asciiTheme="minorEastAsia" w:hAnsiTheme="minorEastAsia" w:eastAsiaTheme="minorEastAsia"/>
                <w:sz w:val="21"/>
              </w:rPr>
            </w:pPr>
            <w:r>
              <w:rPr>
                <w:rFonts w:hint="eastAsia" w:asciiTheme="minorEastAsia" w:hAnsiTheme="minorEastAsia" w:eastAsiaTheme="minorEastAsia"/>
                <w:sz w:val="21"/>
              </w:rPr>
              <w:t>＋</w:t>
            </w:r>
          </w:p>
        </w:tc>
        <w:tc>
          <w:tcPr>
            <w:tcW w:w="658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spacing w:line="0" w:lineRule="atLeast"/>
              <w:rPr>
                <w:rFonts w:hint="default" w:asciiTheme="minorEastAsia" w:hAnsiTheme="minorEastAsia" w:eastAsiaTheme="minorEastAsia"/>
                <w:sz w:val="21"/>
              </w:rPr>
            </w:pPr>
            <w:r>
              <w:rPr>
                <w:rFonts w:hint="eastAsia" w:asciiTheme="minorEastAsia" w:hAnsiTheme="minorEastAsia" w:eastAsiaTheme="minorEastAsia"/>
                <w:sz w:val="21"/>
              </w:rPr>
              <w:t>【機能強化事業】</w:t>
            </w:r>
          </w:p>
          <w:p>
            <w:pPr>
              <w:pStyle w:val="0"/>
              <w:spacing w:line="0" w:lineRule="atLeast"/>
              <w:ind w:left="112" w:leftChars="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地域活動支援センターの機能を強化する事業として次の３種類の事業があります。</w:t>
            </w:r>
          </w:p>
        </w:tc>
      </w:tr>
      <w:tr>
        <w:trPr/>
        <w:tc>
          <w:tcPr>
            <w:tcW w:w="1701" w:type="dxa"/>
            <w:vMerge w:val="continue"/>
            <w:shd w:val="clear" w:color="auto" w:fill="auto"/>
            <w:tcMar>
              <w:top w:w="57" w:type="dxa"/>
              <w:bottom w:w="57" w:type="dxa"/>
            </w:tcMar>
            <w:vAlign w:val="center"/>
          </w:tcPr>
          <w:p>
            <w:pPr>
              <w:pStyle w:val="0"/>
              <w:spacing w:line="0" w:lineRule="atLeast"/>
              <w:rPr>
                <w:rFonts w:hint="default" w:asciiTheme="minorEastAsia" w:hAnsiTheme="minorEastAsia" w:eastAsiaTheme="minorEastAsia"/>
                <w:sz w:val="21"/>
              </w:rPr>
            </w:pPr>
          </w:p>
        </w:tc>
        <w:tc>
          <w:tcPr>
            <w:tcW w:w="495" w:type="dxa"/>
            <w:vMerge w:val="continue"/>
            <w:tcBorders>
              <w:top w:val="none" w:color="auto" w:sz="0" w:space="0"/>
              <w:left w:val="none" w:color="auto" w:sz="0" w:space="0"/>
              <w:bottom w:val="nil"/>
              <w:right w:val="none" w:color="auto" w:sz="0" w:space="0"/>
              <w:tl2br w:val="none" w:color="auto" w:sz="0" w:space="0"/>
              <w:tr2bl w:val="none" w:color="auto" w:sz="0" w:space="0"/>
            </w:tcBorders>
            <w:shd w:val="clear" w:color="auto" w:fill="auto"/>
            <w:tcMar>
              <w:top w:w="57" w:type="dxa"/>
              <w:bottom w:w="57" w:type="dxa"/>
            </w:tcMar>
            <w:vAlign w:val="center"/>
          </w:tcPr>
          <w:p>
            <w:pPr>
              <w:pStyle w:val="0"/>
              <w:spacing w:line="0" w:lineRule="atLeast"/>
              <w:jc w:val="center"/>
              <w:rPr>
                <w:rFonts w:hint="default" w:asciiTheme="minorEastAsia" w:hAnsiTheme="minorEastAsia" w:eastAsiaTheme="minorEastAsia"/>
                <w:sz w:val="21"/>
              </w:rPr>
            </w:pPr>
          </w:p>
        </w:tc>
        <w:tc>
          <w:tcPr>
            <w:tcW w:w="6586" w:type="dxa"/>
            <w:tcBorders>
              <w:top w:val="none" w:color="auto" w:sz="0" w:space="0"/>
              <w:left w:val="none" w:color="auto" w:sz="0" w:space="0"/>
              <w:bottom w:val="dashed"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spacing w:line="0" w:lineRule="atLeast"/>
              <w:rPr>
                <w:rFonts w:hint="default" w:asciiTheme="minorEastAsia" w:hAnsiTheme="minorEastAsia" w:eastAsiaTheme="minorEastAsia"/>
                <w:sz w:val="21"/>
              </w:rPr>
            </w:pPr>
            <w:r>
              <w:rPr>
                <w:rFonts w:hint="eastAsia" w:asciiTheme="minorEastAsia" w:hAnsiTheme="minorEastAsia" w:eastAsiaTheme="minorEastAsia"/>
                <w:sz w:val="21"/>
              </w:rPr>
              <w:t>〔機能強化事業Ⅰ型〕</w:t>
            </w:r>
          </w:p>
          <w:p>
            <w:pPr>
              <w:pStyle w:val="0"/>
              <w:spacing w:line="0" w:lineRule="atLeast"/>
              <w:ind w:left="112" w:leftChars="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専門職員</w:t>
            </w:r>
            <w:r>
              <w:rPr>
                <w:rFonts w:hint="default" w:asciiTheme="minorEastAsia" w:hAnsiTheme="minorEastAsia" w:eastAsiaTheme="minorEastAsia"/>
                <w:sz w:val="21"/>
              </w:rPr>
              <w:t>(</w:t>
            </w:r>
            <w:r>
              <w:rPr>
                <w:rFonts w:hint="default" w:asciiTheme="minorEastAsia" w:hAnsiTheme="minorEastAsia" w:eastAsiaTheme="minorEastAsia"/>
                <w:sz w:val="21"/>
              </w:rPr>
              <w:t>精神保健福祉士等</w:t>
            </w:r>
            <w:r>
              <w:rPr>
                <w:rFonts w:hint="default" w:asciiTheme="minorEastAsia" w:hAnsiTheme="minorEastAsia" w:eastAsiaTheme="minorEastAsia"/>
                <w:sz w:val="21"/>
              </w:rPr>
              <w:t>)</w:t>
            </w:r>
            <w:r>
              <w:rPr>
                <w:rFonts w:hint="eastAsia" w:asciiTheme="minorEastAsia" w:hAnsiTheme="minorEastAsia" w:eastAsiaTheme="minorEastAsia"/>
                <w:sz w:val="21"/>
              </w:rPr>
              <w:t>を配置し、医療・福祉及び地域の社会基盤との連携強化のための調整、地域住民ボランティア育成、障がいに対する理解促進を図るための普及啓発等の事業を実施します。なお、相談支援事業を併せて実施又は委託を受けていることを要件とします。</w:t>
            </w:r>
          </w:p>
        </w:tc>
      </w:tr>
      <w:tr>
        <w:trPr/>
        <w:tc>
          <w:tcPr>
            <w:tcW w:w="1701" w:type="dxa"/>
            <w:vMerge w:val="continue"/>
            <w:shd w:val="clear" w:color="auto" w:fill="auto"/>
            <w:tcMar>
              <w:top w:w="57" w:type="dxa"/>
              <w:bottom w:w="57" w:type="dxa"/>
            </w:tcMar>
            <w:vAlign w:val="center"/>
          </w:tcPr>
          <w:p>
            <w:pPr>
              <w:pStyle w:val="251"/>
              <w:widowControl w:val="0"/>
              <w:ind w:left="0" w:leftChars="0" w:firstLine="0" w:firstLineChars="0"/>
              <w:rPr>
                <w:rFonts w:hint="default" w:asciiTheme="minorEastAsia" w:hAnsiTheme="minorEastAsia" w:eastAsiaTheme="minorEastAsia"/>
              </w:rPr>
            </w:pPr>
          </w:p>
        </w:tc>
        <w:tc>
          <w:tcPr>
            <w:tcW w:w="495" w:type="dxa"/>
            <w:vMerge w:val="continue"/>
            <w:tcBorders>
              <w:top w:val="none" w:color="auto" w:sz="0" w:space="0"/>
              <w:left w:val="none" w:color="auto" w:sz="0" w:space="0"/>
              <w:bottom w:val="nil"/>
              <w:right w:val="none" w:color="auto" w:sz="0" w:space="0"/>
              <w:tl2br w:val="none" w:color="auto" w:sz="0" w:space="0"/>
              <w:tr2bl w:val="none" w:color="auto" w:sz="0" w:space="0"/>
            </w:tcBorders>
            <w:shd w:val="clear" w:color="auto" w:fill="auto"/>
            <w:tcMar>
              <w:top w:w="57" w:type="dxa"/>
              <w:bottom w:w="57" w:type="dxa"/>
            </w:tcMar>
            <w:vAlign w:val="center"/>
          </w:tcPr>
          <w:p>
            <w:pPr>
              <w:pStyle w:val="251"/>
              <w:widowControl w:val="0"/>
              <w:ind w:left="0" w:leftChars="0" w:firstLine="0" w:firstLineChars="0"/>
              <w:rPr>
                <w:rFonts w:hint="default" w:asciiTheme="minorEastAsia" w:hAnsiTheme="minorEastAsia" w:eastAsiaTheme="minorEastAsia"/>
              </w:rPr>
            </w:pPr>
          </w:p>
        </w:tc>
        <w:tc>
          <w:tcPr>
            <w:tcW w:w="6586" w:type="dxa"/>
            <w:tcBorders>
              <w:top w:val="dashed" w:color="auto" w:sz="4" w:space="0"/>
              <w:left w:val="none" w:color="auto" w:sz="0" w:space="0"/>
              <w:bottom w:val="dashed" w:color="auto" w:sz="4" w:space="0"/>
              <w:right w:val="none" w:color="auto" w:sz="0" w:space="0"/>
              <w:tl2br w:val="none" w:color="auto" w:sz="0" w:space="0"/>
              <w:tr2bl w:val="none" w:color="auto" w:sz="0" w:space="0"/>
            </w:tcBorders>
            <w:shd w:val="clear" w:color="auto" w:fill="auto"/>
            <w:tcMar>
              <w:top w:w="57" w:type="dxa"/>
              <w:bottom w:w="57" w:type="dxa"/>
            </w:tcMar>
            <w:vAlign w:val="center"/>
          </w:tcPr>
          <w:p>
            <w:pPr>
              <w:pStyle w:val="0"/>
              <w:spacing w:line="0" w:lineRule="atLeast"/>
              <w:rPr>
                <w:rFonts w:hint="default" w:asciiTheme="minorEastAsia" w:hAnsiTheme="minorEastAsia" w:eastAsiaTheme="minorEastAsia"/>
                <w:sz w:val="21"/>
              </w:rPr>
            </w:pPr>
            <w:r>
              <w:rPr>
                <w:rFonts w:hint="eastAsia" w:asciiTheme="minorEastAsia" w:hAnsiTheme="minorEastAsia" w:eastAsiaTheme="minorEastAsia"/>
                <w:sz w:val="21"/>
              </w:rPr>
              <w:t>〔機能強化事業Ⅱ型〕</w:t>
            </w:r>
          </w:p>
          <w:p>
            <w:pPr>
              <w:pStyle w:val="0"/>
              <w:spacing w:line="0" w:lineRule="atLeast"/>
              <w:ind w:left="112" w:leftChars="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地域において雇用・就労が困難な在宅障がい者に対し、機能訓練、社会適応訓練、入浴等のサービスを実施します。</w:t>
            </w:r>
          </w:p>
        </w:tc>
      </w:tr>
      <w:tr>
        <w:trPr/>
        <w:tc>
          <w:tcPr>
            <w:tcW w:w="1701" w:type="dxa"/>
            <w:vMerge w:val="continue"/>
            <w:shd w:val="clear" w:color="auto" w:fill="auto"/>
            <w:tcMar>
              <w:top w:w="57" w:type="dxa"/>
              <w:bottom w:w="57" w:type="dxa"/>
            </w:tcMar>
            <w:vAlign w:val="center"/>
          </w:tcPr>
          <w:p>
            <w:pPr>
              <w:pStyle w:val="251"/>
              <w:widowControl w:val="0"/>
              <w:ind w:left="0" w:leftChars="0" w:firstLine="0" w:firstLineChars="0"/>
              <w:rPr>
                <w:rFonts w:hint="default" w:asciiTheme="minorEastAsia" w:hAnsiTheme="minorEastAsia" w:eastAsiaTheme="minorEastAsia"/>
              </w:rPr>
            </w:pPr>
          </w:p>
        </w:tc>
        <w:tc>
          <w:tcPr>
            <w:tcW w:w="495" w:type="dxa"/>
            <w:vMerge w:val="continue"/>
            <w:tcBorders>
              <w:top w:val="none" w:color="auto" w:sz="0" w:space="0"/>
              <w:left w:val="none" w:color="auto" w:sz="0" w:space="0"/>
              <w:bottom w:val="nil"/>
              <w:right w:val="none" w:color="auto" w:sz="0" w:space="0"/>
              <w:tl2br w:val="none" w:color="auto" w:sz="0" w:space="0"/>
              <w:tr2bl w:val="none" w:color="auto" w:sz="0" w:space="0"/>
            </w:tcBorders>
            <w:shd w:val="clear" w:color="auto" w:fill="auto"/>
            <w:tcMar>
              <w:top w:w="57" w:type="dxa"/>
              <w:bottom w:w="57" w:type="dxa"/>
            </w:tcMar>
            <w:vAlign w:val="center"/>
          </w:tcPr>
          <w:p>
            <w:pPr>
              <w:pStyle w:val="251"/>
              <w:widowControl w:val="0"/>
              <w:ind w:left="0" w:leftChars="0" w:firstLine="0" w:firstLineChars="0"/>
              <w:rPr>
                <w:rFonts w:hint="default" w:asciiTheme="minorEastAsia" w:hAnsiTheme="minorEastAsia" w:eastAsiaTheme="minorEastAsia"/>
              </w:rPr>
            </w:pPr>
          </w:p>
        </w:tc>
        <w:tc>
          <w:tcPr>
            <w:tcW w:w="6586" w:type="dxa"/>
            <w:tcBorders>
              <w:top w:val="dashed"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top w:w="57" w:type="dxa"/>
              <w:bottom w:w="57" w:type="dxa"/>
            </w:tcMar>
            <w:vAlign w:val="center"/>
          </w:tcPr>
          <w:p>
            <w:pPr>
              <w:pStyle w:val="0"/>
              <w:spacing w:line="0" w:lineRule="atLeast"/>
              <w:rPr>
                <w:rFonts w:hint="default" w:asciiTheme="minorEastAsia" w:hAnsiTheme="minorEastAsia" w:eastAsiaTheme="minorEastAsia"/>
                <w:sz w:val="21"/>
              </w:rPr>
            </w:pPr>
            <w:r>
              <w:rPr>
                <w:rFonts w:hint="eastAsia" w:asciiTheme="minorEastAsia" w:hAnsiTheme="minorEastAsia" w:eastAsiaTheme="minorEastAsia"/>
                <w:sz w:val="21"/>
              </w:rPr>
              <w:t>〔機能強化事業Ⅲ型〕</w:t>
            </w:r>
          </w:p>
          <w:p>
            <w:pPr>
              <w:pStyle w:val="0"/>
              <w:spacing w:line="0" w:lineRule="atLeast"/>
              <w:ind w:left="326" w:leftChars="50" w:hanging="214" w:hangingChars="100"/>
              <w:rPr>
                <w:rFonts w:hint="default" w:asciiTheme="minorEastAsia" w:hAnsiTheme="minorEastAsia" w:eastAsiaTheme="minorEastAsia"/>
                <w:sz w:val="21"/>
              </w:rPr>
            </w:pPr>
            <w:r>
              <w:rPr>
                <w:rFonts w:hint="eastAsia" w:asciiTheme="minorEastAsia" w:hAnsiTheme="minorEastAsia" w:eastAsiaTheme="minorEastAsia"/>
                <w:sz w:val="21"/>
              </w:rPr>
              <w:t>①地域の障がい者のための援護対策として地域の障がい者団体等が実施する通所による「小規模作業所」の実績を概ね５年以上有し、安定的な運営が図られている。</w:t>
            </w:r>
          </w:p>
          <w:p>
            <w:pPr>
              <w:pStyle w:val="0"/>
              <w:spacing w:line="0" w:lineRule="atLeast"/>
              <w:ind w:left="326" w:leftChars="50" w:hanging="214" w:hangingChars="100"/>
              <w:rPr>
                <w:rFonts w:hint="default" w:asciiTheme="minorEastAsia" w:hAnsiTheme="minorEastAsia" w:eastAsiaTheme="minorEastAsia"/>
                <w:sz w:val="21"/>
              </w:rPr>
            </w:pPr>
            <w:r>
              <w:rPr>
                <w:rFonts w:hint="eastAsia" w:asciiTheme="minorEastAsia" w:hAnsiTheme="minorEastAsia" w:eastAsiaTheme="minorEastAsia"/>
                <w:sz w:val="21"/>
              </w:rPr>
              <w:t>②このほか、自立支援給付に基づく事業所に併設して実施することも可能。</w:t>
            </w:r>
          </w:p>
        </w:tc>
      </w:tr>
    </w:tbl>
    <w:p>
      <w:pPr>
        <w:pStyle w:val="251"/>
        <w:ind w:left="448" w:firstLine="210"/>
        <w:rPr>
          <w:rFonts w:hint="default"/>
        </w:rPr>
      </w:pPr>
    </w:p>
    <w:p>
      <w:pPr>
        <w:pStyle w:val="0"/>
        <w:rPr>
          <w:rFonts w:hint="default"/>
          <w:sz w:val="21"/>
        </w:rPr>
      </w:pPr>
      <w:r>
        <w:rPr>
          <w:rFonts w:hint="default"/>
        </w:rPr>
        <w:br w:type="page"/>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251"/>
        <w:spacing w:line="240" w:lineRule="auto"/>
        <w:ind w:left="1009" w:leftChars="450" w:firstLine="214"/>
        <w:rPr>
          <w:rFonts w:hint="default"/>
          <w:spacing w:val="0"/>
        </w:rPr>
      </w:pPr>
      <w:r>
        <w:rPr>
          <w:rFonts w:hint="eastAsia"/>
          <w:spacing w:val="0"/>
        </w:rPr>
        <w:t>今後も事業を継続し、障がい者の日中活動の場を提供します。</w:t>
      </w:r>
    </w:p>
    <w:p>
      <w:pPr>
        <w:pStyle w:val="251"/>
        <w:spacing w:line="240" w:lineRule="auto"/>
        <w:ind w:left="1009" w:leftChars="450" w:firstLine="214"/>
        <w:rPr>
          <w:rFonts w:hint="default"/>
          <w:spacing w:val="0"/>
        </w:rPr>
      </w:pPr>
      <w:r>
        <w:rPr>
          <w:rFonts w:hint="eastAsia"/>
          <w:spacing w:val="0"/>
        </w:rPr>
        <w:t>利用者数は、令和２年度、令和３年度はコロナ禍で利用者が減少しましたが、令和６年度以降は利用者もコロナ禍前の状態に戻ることを見込み令和５年度実績と同人数としました。</w:t>
      </w:r>
    </w:p>
    <w:p>
      <w:pPr>
        <w:pStyle w:val="0"/>
        <w:spacing w:line="0" w:lineRule="atLeast"/>
        <w:ind w:left="438" w:firstLine="159"/>
        <w:rPr>
          <w:rFonts w:hint="default"/>
          <w:sz w:val="16"/>
        </w:rPr>
      </w:pPr>
    </w:p>
    <w:tbl>
      <w:tblPr>
        <w:tblStyle w:val="11"/>
        <w:tblW w:w="905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30"/>
        <w:gridCol w:w="1131"/>
        <w:gridCol w:w="113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bookmarkStart w:id="332" w:name="地域活動支援センター"/>
            <w:r>
              <w:rPr>
                <w:rFonts w:hint="eastAsia"/>
              </w:rPr>
              <w:t>実施箇所数</w:t>
            </w:r>
            <w:bookmarkEnd w:id="332"/>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30"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30"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r>
    </w:tbl>
    <w:p>
      <w:pPr>
        <w:pStyle w:val="0"/>
        <w:spacing w:line="160" w:lineRule="exact"/>
        <w:rPr>
          <w:rFonts w:hint="default" w:ascii="ＭＳ ゴシック" w:hAnsi="ＭＳ ゴシック" w:eastAsia="ＭＳ ゴシック"/>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実利用人数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15</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15</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15</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12</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12</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5</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12</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5</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3</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r>
        <w:rPr>
          <w:rFonts w:hint="default"/>
        </w:rPr>
        <w:drawing>
          <wp:anchor distT="0" distB="0" distL="114300" distR="114300" simplePos="0" relativeHeight="20" behindDoc="0" locked="0" layoutInCell="1" hidden="0" allowOverlap="1">
            <wp:simplePos x="0" y="0"/>
            <wp:positionH relativeFrom="column">
              <wp:posOffset>240665</wp:posOffset>
            </wp:positionH>
            <wp:positionV relativeFrom="paragraph">
              <wp:posOffset>71755</wp:posOffset>
            </wp:positionV>
            <wp:extent cx="5938520" cy="2232025"/>
            <wp:effectExtent l="0" t="0" r="0" b="0"/>
            <wp:wrapNone/>
            <wp:docPr id="1291" name="地域活動支援センター01"/>
            <a:graphic xmlns:a="http://schemas.openxmlformats.org/drawingml/2006/main">
              <a:graphicData uri="http://schemas.openxmlformats.org/drawingml/2006/picture">
                <pic:pic xmlns:pic="http://schemas.openxmlformats.org/drawingml/2006/picture">
                  <pic:nvPicPr>
                    <pic:cNvPr id="1291" name="地域活動支援センター01"/>
                    <pic:cNvPicPr>
                      <a:picLocks noChangeAspect="1" noChangeArrowheads="1"/>
                    </pic:cNvPicPr>
                  </pic:nvPicPr>
                  <pic:blipFill>
                    <a:blip r:embed="rId67"/>
                    <a:srcRect b="8401"/>
                    <a:stretch>
                      <a:fillRect/>
                    </a:stretch>
                  </pic:blipFill>
                  <pic:spPr>
                    <a:xfrm>
                      <a:off x="0" y="0"/>
                      <a:ext cx="5938520" cy="2232025"/>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9"/>
        <w:rPr>
          <w:rFonts w:hint="default"/>
        </w:rPr>
      </w:pPr>
      <w:r>
        <w:rPr>
          <w:rFonts w:hint="default"/>
        </w:rPr>
        <w:drawing>
          <wp:anchor distT="0" distB="0" distL="114300" distR="114300" simplePos="0" relativeHeight="19" behindDoc="0" locked="0" layoutInCell="1" hidden="0" allowOverlap="1">
            <wp:simplePos x="0" y="0"/>
            <wp:positionH relativeFrom="column">
              <wp:posOffset>240665</wp:posOffset>
            </wp:positionH>
            <wp:positionV relativeFrom="paragraph">
              <wp:posOffset>81280</wp:posOffset>
            </wp:positionV>
            <wp:extent cx="5938520" cy="2232025"/>
            <wp:effectExtent l="0" t="0" r="0" b="0"/>
            <wp:wrapNone/>
            <wp:docPr id="1292" name="地域活動支援センター02"/>
            <a:graphic xmlns:a="http://schemas.openxmlformats.org/drawingml/2006/main">
              <a:graphicData uri="http://schemas.openxmlformats.org/drawingml/2006/picture">
                <pic:pic xmlns:pic="http://schemas.openxmlformats.org/drawingml/2006/picture">
                  <pic:nvPicPr>
                    <pic:cNvPr id="1292" name="地域活動支援センター02"/>
                    <pic:cNvPicPr>
                      <a:picLocks noChangeAspect="1" noChangeArrowheads="1"/>
                    </pic:cNvPicPr>
                  </pic:nvPicPr>
                  <pic:blipFill>
                    <a:blip r:embed="rId68"/>
                    <a:srcRect b="8401"/>
                    <a:stretch>
                      <a:fillRect/>
                    </a:stretch>
                  </pic:blipFill>
                  <pic:spPr>
                    <a:xfrm>
                      <a:off x="0" y="0"/>
                      <a:ext cx="5938520" cy="2232025"/>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rPr>
          <w:rFonts w:hint="default"/>
          <w:spacing w:val="-2"/>
          <w:sz w:val="21"/>
        </w:rPr>
      </w:pPr>
      <w:r>
        <w:rPr>
          <w:rFonts w:hint="default"/>
        </w:rPr>
        <w:br w:type="page"/>
      </w:r>
    </w:p>
    <w:p>
      <w:pPr>
        <w:pStyle w:val="243"/>
        <w:ind w:left="784" w:hanging="336"/>
        <w:rPr>
          <w:rFonts w:hint="default"/>
        </w:rPr>
      </w:pPr>
      <w:bookmarkStart w:id="333" w:name="_Toc59549976"/>
      <w:r>
        <w:rPr>
          <w:rFonts w:hint="eastAsia"/>
        </w:rPr>
        <w:t>②任意事業</w:t>
      </w:r>
      <w:bookmarkEnd w:id="333"/>
    </w:p>
    <w:p>
      <w:pPr>
        <w:pStyle w:val="246"/>
        <w:ind w:left="672"/>
        <w:rPr>
          <w:rFonts w:hint="default"/>
        </w:rPr>
      </w:pPr>
      <w:r>
        <w:rPr>
          <w:rFonts w:hint="eastAsia"/>
        </w:rPr>
        <w:t>ｱ</w:t>
      </w:r>
      <w:r>
        <w:rPr>
          <w:rFonts w:hint="eastAsia"/>
        </w:rPr>
        <w:t>)</w:t>
      </w:r>
      <w:r>
        <w:rPr>
          <w:rFonts w:hint="eastAsia"/>
        </w:rPr>
        <w:t>日中一時支援事業</w:t>
      </w:r>
    </w:p>
    <w:p>
      <w:pPr>
        <w:pStyle w:val="251"/>
        <w:spacing w:line="240" w:lineRule="auto"/>
        <w:ind w:left="897" w:leftChars="400" w:firstLine="214"/>
        <w:rPr>
          <w:rFonts w:hint="default"/>
          <w:spacing w:val="0"/>
        </w:rPr>
      </w:pPr>
      <w:r>
        <w:rPr>
          <w:rFonts w:hint="eastAsia"/>
          <w:spacing w:val="0"/>
        </w:rPr>
        <w:t>障がい者の日中における活動の場を確保し、日常介護している家族の一時的な負担軽減を図ります。本事業は、事業所への委託により実施しています。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251"/>
        <w:ind w:left="1009" w:leftChars="450" w:firstLine="214"/>
        <w:rPr>
          <w:rFonts w:hint="default"/>
          <w:spacing w:val="0"/>
        </w:rPr>
      </w:pPr>
      <w:r>
        <w:rPr>
          <w:rFonts w:hint="eastAsia"/>
          <w:spacing w:val="0"/>
        </w:rPr>
        <w:t>実施箇所数（登録事業者数）は、令和６年度以降もこれまでと同じ</w:t>
      </w:r>
      <w:r>
        <w:rPr>
          <w:rFonts w:hint="eastAsia"/>
          <w:spacing w:val="0"/>
        </w:rPr>
        <w:t>17</w:t>
      </w:r>
      <w:r>
        <w:rPr>
          <w:rFonts w:hint="eastAsia"/>
          <w:spacing w:val="0"/>
        </w:rPr>
        <w:t>箇所を見込みます。利用者数は、</w:t>
      </w:r>
      <w:r>
        <w:rPr>
          <w:rFonts w:hint="default"/>
          <w:spacing w:val="0"/>
        </w:rPr>
        <w:t>令和２</w:t>
      </w:r>
      <w:r>
        <w:rPr>
          <w:rFonts w:hint="eastAsia"/>
          <w:spacing w:val="0"/>
        </w:rPr>
        <w:t>年度</w:t>
      </w:r>
      <w:r>
        <w:rPr>
          <w:rFonts w:hint="default"/>
          <w:spacing w:val="0"/>
        </w:rPr>
        <w:t>～令和４</w:t>
      </w:r>
      <w:r>
        <w:rPr>
          <w:rFonts w:hint="eastAsia"/>
          <w:spacing w:val="0"/>
        </w:rPr>
        <w:t>年度</w:t>
      </w:r>
      <w:r>
        <w:rPr>
          <w:rFonts w:hint="default"/>
          <w:spacing w:val="0"/>
        </w:rPr>
        <w:t>の実績と</w:t>
      </w:r>
      <w:r>
        <w:rPr>
          <w:rFonts w:hint="eastAsia"/>
          <w:spacing w:val="0"/>
        </w:rPr>
        <w:t>同人数を</w:t>
      </w:r>
      <w:r>
        <w:rPr>
          <w:rFonts w:hint="default"/>
          <w:spacing w:val="0"/>
        </w:rPr>
        <w:t>見込</w:t>
      </w:r>
      <w:r>
        <w:rPr>
          <w:rFonts w:hint="eastAsia"/>
          <w:spacing w:val="0"/>
        </w:rPr>
        <w:t>みます。</w:t>
      </w:r>
    </w:p>
    <w:p>
      <w:pPr>
        <w:pStyle w:val="0"/>
        <w:spacing w:line="0" w:lineRule="atLeast"/>
        <w:ind w:left="438" w:firstLine="159"/>
        <w:rPr>
          <w:rFonts w:hint="default"/>
          <w:sz w:val="16"/>
        </w:rPr>
      </w:pPr>
    </w:p>
    <w:tbl>
      <w:tblPr>
        <w:tblStyle w:val="11"/>
        <w:tblW w:w="905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30"/>
        <w:gridCol w:w="1131"/>
        <w:gridCol w:w="113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実施箇所数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17</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17</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17</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17</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17</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17</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17</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17</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17</w:t>
            </w:r>
          </w:p>
        </w:tc>
        <w:tc>
          <w:tcPr>
            <w:tcW w:w="1130"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30"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r>
    </w:tbl>
    <w:p>
      <w:pPr>
        <w:pStyle w:val="0"/>
        <w:spacing w:line="160" w:lineRule="exact"/>
        <w:rPr>
          <w:rFonts w:hint="default" w:ascii="ＭＳ ゴシック" w:hAnsi="ＭＳ ゴシック" w:eastAsia="ＭＳ ゴシック"/>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実利用人数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32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34</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36</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18</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18</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18</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18</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18</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18</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14</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16</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18</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r>
        <w:rPr>
          <w:rFonts w:hint="default"/>
        </w:rPr>
        <w:drawing>
          <wp:anchor distT="0" distB="0" distL="114300" distR="114300" simplePos="0" relativeHeight="18" behindDoc="0" locked="0" layoutInCell="1" hidden="0" allowOverlap="1">
            <wp:simplePos x="0" y="0"/>
            <wp:positionH relativeFrom="column">
              <wp:posOffset>288925</wp:posOffset>
            </wp:positionH>
            <wp:positionV relativeFrom="paragraph">
              <wp:posOffset>93980</wp:posOffset>
            </wp:positionV>
            <wp:extent cx="5954395" cy="2219960"/>
            <wp:effectExtent l="0" t="0" r="0" b="0"/>
            <wp:wrapNone/>
            <wp:docPr id="1293" name="日中一時支援事業01"/>
            <a:graphic xmlns:a="http://schemas.openxmlformats.org/drawingml/2006/main">
              <a:graphicData uri="http://schemas.openxmlformats.org/drawingml/2006/picture">
                <pic:pic xmlns:pic="http://schemas.openxmlformats.org/drawingml/2006/picture">
                  <pic:nvPicPr>
                    <pic:cNvPr id="1293" name="日中一時支援事業01"/>
                    <pic:cNvPicPr>
                      <a:picLocks noChangeAspect="1" noChangeArrowheads="1"/>
                    </pic:cNvPicPr>
                  </pic:nvPicPr>
                  <pic:blipFill>
                    <a:blip r:embed="rId69"/>
                    <a:srcRect b="9334"/>
                    <a:stretch>
                      <a:fillRect/>
                    </a:stretch>
                  </pic:blipFill>
                  <pic:spPr>
                    <a:xfrm>
                      <a:off x="0" y="0"/>
                      <a:ext cx="5954395" cy="221996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r>
        <w:rPr>
          <w:rFonts w:hint="default"/>
        </w:rPr>
        <w:drawing>
          <wp:anchor distT="0" distB="0" distL="114300" distR="114300" simplePos="0" relativeHeight="17" behindDoc="0" locked="0" layoutInCell="1" hidden="0" allowOverlap="1">
            <wp:simplePos x="0" y="0"/>
            <wp:positionH relativeFrom="column">
              <wp:posOffset>288925</wp:posOffset>
            </wp:positionH>
            <wp:positionV relativeFrom="paragraph">
              <wp:posOffset>46355</wp:posOffset>
            </wp:positionV>
            <wp:extent cx="5954395" cy="2219960"/>
            <wp:effectExtent l="0" t="0" r="0" b="0"/>
            <wp:wrapNone/>
            <wp:docPr id="1294" name="日中一時支援事業02"/>
            <a:graphic xmlns:a="http://schemas.openxmlformats.org/drawingml/2006/main">
              <a:graphicData uri="http://schemas.openxmlformats.org/drawingml/2006/picture">
                <pic:pic xmlns:pic="http://schemas.openxmlformats.org/drawingml/2006/picture">
                  <pic:nvPicPr>
                    <pic:cNvPr id="1294" name="日中一時支援事業02"/>
                    <pic:cNvPicPr>
                      <a:picLocks noChangeAspect="1" noChangeArrowheads="1"/>
                    </pic:cNvPicPr>
                  </pic:nvPicPr>
                  <pic:blipFill>
                    <a:blip r:embed="rId70"/>
                    <a:srcRect b="9334"/>
                    <a:stretch>
                      <a:fillRect/>
                    </a:stretch>
                  </pic:blipFill>
                  <pic:spPr>
                    <a:xfrm>
                      <a:off x="0" y="0"/>
                      <a:ext cx="5954395" cy="221996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rPr>
          <w:rFonts w:hint="default"/>
          <w:spacing w:val="-2"/>
          <w:sz w:val="21"/>
        </w:rPr>
      </w:pPr>
      <w:r>
        <w:rPr>
          <w:rFonts w:hint="default"/>
        </w:rPr>
        <w:br w:type="page"/>
      </w:r>
    </w:p>
    <w:p>
      <w:pPr>
        <w:pStyle w:val="246"/>
        <w:ind w:left="672"/>
        <w:rPr>
          <w:rFonts w:hint="default"/>
        </w:rPr>
      </w:pPr>
      <w:r>
        <w:rPr>
          <w:rFonts w:hint="eastAsia"/>
        </w:rPr>
        <w:t>ｲ</w:t>
      </w:r>
      <w:r>
        <w:rPr>
          <w:rFonts w:hint="eastAsia"/>
        </w:rPr>
        <w:t>)</w:t>
      </w:r>
      <w:r>
        <w:rPr>
          <w:rFonts w:hint="eastAsia"/>
        </w:rPr>
        <w:t>レクリエーション活動等支援事業</w:t>
      </w:r>
    </w:p>
    <w:p>
      <w:pPr>
        <w:pStyle w:val="251"/>
        <w:spacing w:line="240" w:lineRule="auto"/>
        <w:ind w:left="897" w:leftChars="400" w:firstLine="214"/>
        <w:rPr>
          <w:rFonts w:hint="default"/>
          <w:spacing w:val="0"/>
        </w:rPr>
      </w:pPr>
      <w:r>
        <w:rPr>
          <w:rFonts w:hint="eastAsia"/>
          <w:spacing w:val="0"/>
        </w:rPr>
        <w:t>スポーツ・レクリエーション活動を通じて、障がい者の体力増強、交流、余暇等に資するため、また障がい者スポーツを普及するため、各種スポーツ・レクリエーション教室や障がい者スポーツ大会を開催し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251"/>
        <w:ind w:left="1009" w:leftChars="450" w:firstLine="214"/>
        <w:rPr>
          <w:rFonts w:hint="default"/>
          <w:spacing w:val="0"/>
        </w:rPr>
      </w:pPr>
      <w:r>
        <w:rPr>
          <w:rFonts w:hint="eastAsia"/>
          <w:spacing w:val="0"/>
        </w:rPr>
        <w:t>今後も事業を継続します。利用者数は、</w:t>
      </w:r>
      <w:r>
        <w:rPr>
          <w:rFonts w:hint="default"/>
          <w:spacing w:val="0"/>
        </w:rPr>
        <w:t>令和</w:t>
      </w:r>
      <w:r>
        <w:rPr>
          <w:rFonts w:hint="eastAsia"/>
          <w:spacing w:val="0"/>
        </w:rPr>
        <w:t>５年度</w:t>
      </w:r>
      <w:r>
        <w:rPr>
          <w:rFonts w:hint="default"/>
          <w:spacing w:val="0"/>
        </w:rPr>
        <w:t>の実績</w:t>
      </w:r>
      <w:r>
        <w:rPr>
          <w:rFonts w:hint="eastAsia"/>
          <w:spacing w:val="0"/>
        </w:rPr>
        <w:t>人数が令和６年度以降も推移することを</w:t>
      </w:r>
      <w:r>
        <w:rPr>
          <w:rFonts w:hint="default"/>
          <w:spacing w:val="0"/>
        </w:rPr>
        <w:t>見込</w:t>
      </w:r>
      <w:r>
        <w:rPr>
          <w:rFonts w:hint="eastAsia"/>
          <w:spacing w:val="0"/>
        </w:rPr>
        <w:t>みます。</w:t>
      </w:r>
    </w:p>
    <w:p>
      <w:pPr>
        <w:pStyle w:val="0"/>
        <w:spacing w:line="0" w:lineRule="atLeast"/>
        <w:ind w:left="438" w:firstLine="159"/>
        <w:rPr>
          <w:rFonts w:hint="default"/>
          <w:sz w:val="16"/>
        </w:rPr>
      </w:pPr>
    </w:p>
    <w:tbl>
      <w:tblPr>
        <w:tblStyle w:val="11"/>
        <w:tblW w:w="905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30"/>
        <w:gridCol w:w="1131"/>
        <w:gridCol w:w="113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実施箇所数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30"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30"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r>
    </w:tbl>
    <w:p>
      <w:pPr>
        <w:pStyle w:val="0"/>
        <w:spacing w:line="160" w:lineRule="exact"/>
        <w:rPr>
          <w:rFonts w:hint="default" w:ascii="ＭＳ ゴシック" w:hAnsi="ＭＳ ゴシック" w:eastAsia="ＭＳ ゴシック"/>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実利用人数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14</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10</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10</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10</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9</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9</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10</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3</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4</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r>
        <w:rPr>
          <w:rFonts w:hint="default"/>
        </w:rPr>
        <w:drawing>
          <wp:anchor distT="0" distB="0" distL="114300" distR="114300" simplePos="0" relativeHeight="16" behindDoc="0" locked="0" layoutInCell="1" hidden="0" allowOverlap="1">
            <wp:simplePos x="0" y="0"/>
            <wp:positionH relativeFrom="column">
              <wp:posOffset>303530</wp:posOffset>
            </wp:positionH>
            <wp:positionV relativeFrom="paragraph">
              <wp:posOffset>55880</wp:posOffset>
            </wp:positionV>
            <wp:extent cx="5954395" cy="2219960"/>
            <wp:effectExtent l="0" t="0" r="0" b="0"/>
            <wp:wrapNone/>
            <wp:docPr id="1295" name="レクリエーション活動等支援事業01"/>
            <a:graphic xmlns:a="http://schemas.openxmlformats.org/drawingml/2006/main">
              <a:graphicData uri="http://schemas.openxmlformats.org/drawingml/2006/picture">
                <pic:pic xmlns:pic="http://schemas.openxmlformats.org/drawingml/2006/picture">
                  <pic:nvPicPr>
                    <pic:cNvPr id="1295" name="レクリエーション活動等支援事業01"/>
                    <pic:cNvPicPr>
                      <a:picLocks noChangeAspect="1" noChangeArrowheads="1"/>
                    </pic:cNvPicPr>
                  </pic:nvPicPr>
                  <pic:blipFill>
                    <a:blip r:embed="rId71"/>
                    <a:srcRect b="9334"/>
                    <a:stretch>
                      <a:fillRect/>
                    </a:stretch>
                  </pic:blipFill>
                  <pic:spPr>
                    <a:xfrm>
                      <a:off x="0" y="0"/>
                      <a:ext cx="5954395" cy="221996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r>
        <w:rPr>
          <w:rFonts w:hint="default"/>
        </w:rPr>
        <w:drawing>
          <wp:anchor distT="0" distB="0" distL="114300" distR="114300" simplePos="0" relativeHeight="15" behindDoc="0" locked="0" layoutInCell="1" hidden="0" allowOverlap="1">
            <wp:simplePos x="0" y="0"/>
            <wp:positionH relativeFrom="column">
              <wp:posOffset>294640</wp:posOffset>
            </wp:positionH>
            <wp:positionV relativeFrom="paragraph">
              <wp:posOffset>36830</wp:posOffset>
            </wp:positionV>
            <wp:extent cx="5954395" cy="2219960"/>
            <wp:effectExtent l="0" t="0" r="0" b="0"/>
            <wp:wrapNone/>
            <wp:docPr id="1296" name="レクリエーション活動等支援事業02"/>
            <a:graphic xmlns:a="http://schemas.openxmlformats.org/drawingml/2006/main">
              <a:graphicData uri="http://schemas.openxmlformats.org/drawingml/2006/picture">
                <pic:pic xmlns:pic="http://schemas.openxmlformats.org/drawingml/2006/picture">
                  <pic:nvPicPr>
                    <pic:cNvPr id="1296" name="レクリエーション活動等支援事業02"/>
                    <pic:cNvPicPr>
                      <a:picLocks noChangeAspect="1" noChangeArrowheads="1"/>
                    </pic:cNvPicPr>
                  </pic:nvPicPr>
                  <pic:blipFill>
                    <a:blip r:embed="rId72"/>
                    <a:srcRect b="9334"/>
                    <a:stretch>
                      <a:fillRect/>
                    </a:stretch>
                  </pic:blipFill>
                  <pic:spPr>
                    <a:xfrm>
                      <a:off x="0" y="0"/>
                      <a:ext cx="5954395" cy="221996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rPr>
          <w:rFonts w:hint="default"/>
          <w:spacing w:val="-2"/>
          <w:sz w:val="21"/>
        </w:rPr>
      </w:pPr>
      <w:r>
        <w:rPr>
          <w:rFonts w:hint="default"/>
          <w:spacing w:val="-2"/>
          <w:sz w:val="21"/>
        </w:rPr>
        <w:br w:type="page"/>
      </w:r>
    </w:p>
    <w:p>
      <w:pPr>
        <w:pStyle w:val="246"/>
        <w:ind w:left="672"/>
        <w:rPr>
          <w:rFonts w:hint="default"/>
        </w:rPr>
      </w:pPr>
      <w:r>
        <w:rPr>
          <w:rFonts w:hint="eastAsia"/>
        </w:rPr>
        <w:t>ｳ</w:t>
      </w:r>
      <w:r>
        <w:rPr>
          <w:rFonts w:hint="eastAsia"/>
        </w:rPr>
        <w:t>)</w:t>
      </w:r>
      <w:r>
        <w:rPr>
          <w:rFonts w:hint="eastAsia"/>
        </w:rPr>
        <w:t>点字・声の広報事業</w:t>
      </w:r>
    </w:p>
    <w:p>
      <w:pPr>
        <w:pStyle w:val="251"/>
        <w:spacing w:line="240" w:lineRule="auto"/>
        <w:ind w:left="897" w:leftChars="400" w:firstLine="214"/>
        <w:rPr>
          <w:rFonts w:hint="default"/>
          <w:spacing w:val="0"/>
        </w:rPr>
      </w:pPr>
      <w:r>
        <w:rPr>
          <w:rFonts w:hint="eastAsia"/>
          <w:spacing w:val="0"/>
        </w:rPr>
        <w:t>文字による情報入手が困難な障がい者のために、点訳、音声訳等の方法により、事業の紹介、生活情報などの情報提供を定期的に行います。本事業は町社会福祉協議会への委託で実施します。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251"/>
        <w:ind w:left="1009" w:leftChars="450" w:firstLine="214"/>
        <w:rPr>
          <w:rFonts w:hint="default"/>
          <w:spacing w:val="0"/>
        </w:rPr>
      </w:pPr>
      <w:r>
        <w:rPr>
          <w:rFonts w:hint="eastAsia"/>
          <w:spacing w:val="0"/>
        </w:rPr>
        <w:t>今後も事業を継続します。利用者数は、令和３年度以降増減がないため、令和６年度以降も同じ利用者数を見込みます。</w:t>
      </w:r>
    </w:p>
    <w:p>
      <w:pPr>
        <w:pStyle w:val="0"/>
        <w:spacing w:line="0" w:lineRule="atLeast"/>
        <w:ind w:left="438" w:firstLine="159"/>
        <w:rPr>
          <w:rFonts w:hint="default"/>
          <w:sz w:val="16"/>
        </w:rPr>
      </w:pPr>
    </w:p>
    <w:tbl>
      <w:tblPr>
        <w:tblStyle w:val="11"/>
        <w:tblW w:w="905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30"/>
        <w:gridCol w:w="1131"/>
        <w:gridCol w:w="113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実施箇所数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30"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30"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r>
    </w:tbl>
    <w:p>
      <w:pPr>
        <w:pStyle w:val="0"/>
        <w:spacing w:line="160" w:lineRule="exact"/>
        <w:rPr>
          <w:rFonts w:hint="default" w:ascii="ＭＳ ゴシック" w:hAnsi="ＭＳ ゴシック" w:eastAsia="ＭＳ ゴシック"/>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実利用人数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16</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16</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16</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16</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16</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16</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16</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16</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5"/>
        <w:rPr>
          <w:rFonts w:hint="default"/>
        </w:rPr>
      </w:pPr>
      <w:r>
        <w:rPr>
          <w:rFonts w:hint="default"/>
        </w:rPr>
        <w:drawing>
          <wp:anchor distT="0" distB="0" distL="114300" distR="114300" simplePos="0" relativeHeight="14" behindDoc="0" locked="0" layoutInCell="1" hidden="0" allowOverlap="1">
            <wp:simplePos x="0" y="0"/>
            <wp:positionH relativeFrom="column">
              <wp:posOffset>298450</wp:posOffset>
            </wp:positionH>
            <wp:positionV relativeFrom="paragraph">
              <wp:posOffset>103505</wp:posOffset>
            </wp:positionV>
            <wp:extent cx="5954395" cy="2219960"/>
            <wp:effectExtent l="0" t="0" r="0" b="0"/>
            <wp:wrapNone/>
            <wp:docPr id="1297" name="点字・声の広報事業01"/>
            <a:graphic xmlns:a="http://schemas.openxmlformats.org/drawingml/2006/main">
              <a:graphicData uri="http://schemas.openxmlformats.org/drawingml/2006/picture">
                <pic:pic xmlns:pic="http://schemas.openxmlformats.org/drawingml/2006/picture">
                  <pic:nvPicPr>
                    <pic:cNvPr id="1297" name="点字・声の広報事業01"/>
                    <pic:cNvPicPr>
                      <a:picLocks noChangeAspect="1" noChangeArrowheads="1"/>
                    </pic:cNvPicPr>
                  </pic:nvPicPr>
                  <pic:blipFill>
                    <a:blip r:embed="rId73"/>
                    <a:srcRect b="9334"/>
                    <a:stretch>
                      <a:fillRect/>
                    </a:stretch>
                  </pic:blipFill>
                  <pic:spPr>
                    <a:xfrm>
                      <a:off x="0" y="0"/>
                      <a:ext cx="5954395" cy="221996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r>
        <w:rPr>
          <w:rFonts w:hint="default"/>
        </w:rPr>
        <w:drawing>
          <wp:anchor distT="0" distB="0" distL="114300" distR="114300" simplePos="0" relativeHeight="13" behindDoc="0" locked="0" layoutInCell="1" hidden="0" allowOverlap="1">
            <wp:simplePos x="0" y="0"/>
            <wp:positionH relativeFrom="column">
              <wp:posOffset>298450</wp:posOffset>
            </wp:positionH>
            <wp:positionV relativeFrom="paragraph">
              <wp:posOffset>180340</wp:posOffset>
            </wp:positionV>
            <wp:extent cx="5954395" cy="2219960"/>
            <wp:effectExtent l="0" t="0" r="0" b="0"/>
            <wp:wrapNone/>
            <wp:docPr id="1298" name="点字・声の広報事業02"/>
            <a:graphic xmlns:a="http://schemas.openxmlformats.org/drawingml/2006/main">
              <a:graphicData uri="http://schemas.openxmlformats.org/drawingml/2006/picture">
                <pic:pic xmlns:pic="http://schemas.openxmlformats.org/drawingml/2006/picture">
                  <pic:nvPicPr>
                    <pic:cNvPr id="1298" name="点字・声の広報事業02"/>
                    <pic:cNvPicPr>
                      <a:picLocks noChangeAspect="1" noChangeArrowheads="1"/>
                    </pic:cNvPicPr>
                  </pic:nvPicPr>
                  <pic:blipFill>
                    <a:blip r:embed="rId74"/>
                    <a:srcRect b="9334"/>
                    <a:stretch>
                      <a:fillRect/>
                    </a:stretch>
                  </pic:blipFill>
                  <pic:spPr>
                    <a:xfrm>
                      <a:off x="0" y="0"/>
                      <a:ext cx="5954395" cy="221996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rPr>
          <w:rFonts w:hint="default"/>
          <w:spacing w:val="-2"/>
          <w:sz w:val="21"/>
        </w:rPr>
      </w:pPr>
      <w:r>
        <w:rPr>
          <w:rFonts w:hint="default"/>
        </w:rPr>
        <w:br w:type="page"/>
      </w:r>
    </w:p>
    <w:p>
      <w:pPr>
        <w:pStyle w:val="242"/>
        <w:spacing w:after="37" w:afterLines="0" w:afterAutospacing="0"/>
        <w:ind w:left="224"/>
        <w:rPr>
          <w:rFonts w:hint="default"/>
        </w:rPr>
      </w:pPr>
      <w:bookmarkStart w:id="334" w:name="_Toc158300433"/>
      <w:bookmarkStart w:id="335" w:name="_Toc59549977"/>
      <w:bookmarkStart w:id="336" w:name="_Toc67040251"/>
      <w:r>
        <w:rPr>
          <w:rFonts w:hint="default"/>
        </w:rPr>
        <w:t>(</w:t>
      </w:r>
      <w:r>
        <w:rPr>
          <w:rFonts w:hint="eastAsia"/>
        </w:rPr>
        <w:t>３</w:t>
      </w:r>
      <w:r>
        <w:rPr>
          <w:rFonts w:hint="default"/>
        </w:rPr>
        <w:t>)</w:t>
      </w:r>
      <w:r>
        <w:rPr>
          <w:rFonts w:hint="eastAsia"/>
        </w:rPr>
        <w:t>地域生活支援促進事業（市町村事業）</w:t>
      </w:r>
      <w:bookmarkEnd w:id="334"/>
      <w:bookmarkEnd w:id="335"/>
      <w:bookmarkEnd w:id="336"/>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地域生活支援事業に含まれる事業等のうち、より促進すべき事項として国が定めた事業です。</w:t>
      </w:r>
    </w:p>
    <w:p>
      <w:pPr>
        <w:pStyle w:val="0"/>
        <w:ind w:left="560" w:leftChars="250" w:firstLine="214" w:firstLineChars="100"/>
        <w:rPr>
          <w:rFonts w:hint="default"/>
          <w:sz w:val="21"/>
        </w:rPr>
      </w:pPr>
    </w:p>
    <w:p>
      <w:pPr>
        <w:pStyle w:val="246"/>
        <w:ind w:left="672"/>
        <w:rPr>
          <w:rFonts w:hint="default"/>
        </w:rPr>
      </w:pPr>
      <w:r>
        <w:rPr>
          <w:rFonts w:hint="eastAsia"/>
        </w:rPr>
        <w:t>ｱ</w:t>
      </w:r>
      <w:r>
        <w:rPr>
          <w:rFonts w:hint="eastAsia"/>
        </w:rPr>
        <w:t>)</w:t>
      </w:r>
      <w:r>
        <w:rPr>
          <w:rFonts w:hint="eastAsia"/>
        </w:rPr>
        <w:t>障害者虐待防止対策支援事業</w:t>
      </w:r>
    </w:p>
    <w:p>
      <w:pPr>
        <w:pStyle w:val="246"/>
        <w:ind w:left="672"/>
        <w:rPr>
          <w:rFonts w:hint="default"/>
        </w:rPr>
      </w:pPr>
      <w:r>
        <w:rPr>
          <w:rFonts w:hint="eastAsia"/>
        </w:rPr>
        <w:t>ｱ</w:t>
      </w:r>
      <w:r>
        <w:rPr>
          <w:rFonts w:hint="eastAsia"/>
        </w:rPr>
        <w:t>)-1</w:t>
      </w:r>
      <w:r>
        <w:rPr>
          <w:rFonts w:hint="eastAsia"/>
        </w:rPr>
        <w:t>障害者虐待防止及び権利擁護に関する普及・啓発事業</w:t>
      </w:r>
    </w:p>
    <w:p>
      <w:pPr>
        <w:pStyle w:val="251"/>
        <w:spacing w:line="240" w:lineRule="auto"/>
        <w:ind w:left="897" w:leftChars="400" w:firstLine="214"/>
        <w:rPr>
          <w:rFonts w:hint="default"/>
          <w:spacing w:val="0"/>
        </w:rPr>
      </w:pP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251"/>
        <w:spacing w:line="240" w:lineRule="auto"/>
        <w:ind w:left="1009" w:leftChars="450" w:firstLine="214"/>
        <w:rPr>
          <w:rFonts w:hint="default"/>
          <w:spacing w:val="0"/>
        </w:rPr>
      </w:pPr>
      <w:r>
        <w:rPr>
          <w:rFonts w:hint="eastAsia"/>
          <w:spacing w:val="0"/>
        </w:rPr>
        <w:t>年に</w:t>
      </w:r>
      <w:r>
        <w:rPr>
          <w:rFonts w:hint="default"/>
          <w:spacing w:val="0"/>
        </w:rPr>
        <w:t>1</w:t>
      </w:r>
      <w:r>
        <w:rPr>
          <w:rFonts w:hint="default"/>
          <w:spacing w:val="0"/>
        </w:rPr>
        <w:t>回開催</w:t>
      </w:r>
      <w:r>
        <w:rPr>
          <w:rFonts w:hint="eastAsia"/>
          <w:spacing w:val="0"/>
        </w:rPr>
        <w:t>することを</w:t>
      </w:r>
      <w:r>
        <w:rPr>
          <w:rFonts w:hint="default"/>
          <w:spacing w:val="0"/>
        </w:rPr>
        <w:t>見込</w:t>
      </w:r>
      <w:r>
        <w:rPr>
          <w:rFonts w:hint="eastAsia"/>
          <w:spacing w:val="0"/>
        </w:rPr>
        <w:t>みます。</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bookmarkStart w:id="337" w:name="障害者虐待防止及び権利擁護に関する普及・啓発事業"/>
            <w:r>
              <w:rPr>
                <w:rFonts w:hint="eastAsia"/>
              </w:rPr>
              <w:t>実施箇所数</w:t>
            </w:r>
            <w:bookmarkEnd w:id="337"/>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r>
        <w:rPr>
          <w:rFonts w:hint="default"/>
        </w:rPr>
        <w:drawing>
          <wp:anchor distT="0" distB="0" distL="114300" distR="114300" simplePos="0" relativeHeight="12" behindDoc="0" locked="0" layoutInCell="1" hidden="0" allowOverlap="1">
            <wp:simplePos x="0" y="0"/>
            <wp:positionH relativeFrom="column">
              <wp:posOffset>212090</wp:posOffset>
            </wp:positionH>
            <wp:positionV relativeFrom="paragraph">
              <wp:posOffset>78105</wp:posOffset>
            </wp:positionV>
            <wp:extent cx="5938520" cy="2232025"/>
            <wp:effectExtent l="0" t="0" r="0" b="0"/>
            <wp:wrapNone/>
            <wp:docPr id="1299" name="障害者虐待防止及び権利擁護に関する普及・啓発事業01"/>
            <a:graphic xmlns:a="http://schemas.openxmlformats.org/drawingml/2006/main">
              <a:graphicData uri="http://schemas.openxmlformats.org/drawingml/2006/picture">
                <pic:pic xmlns:pic="http://schemas.openxmlformats.org/drawingml/2006/picture">
                  <pic:nvPicPr>
                    <pic:cNvPr id="1299" name="障害者虐待防止及び権利擁護に関する普及・啓発事業01"/>
                    <pic:cNvPicPr>
                      <a:picLocks noChangeAspect="1" noChangeArrowheads="1"/>
                    </pic:cNvPicPr>
                  </pic:nvPicPr>
                  <pic:blipFill>
                    <a:blip r:embed="rId75"/>
                    <a:srcRect b="8401"/>
                    <a:stretch>
                      <a:fillRect/>
                    </a:stretch>
                  </pic:blipFill>
                  <pic:spPr>
                    <a:xfrm>
                      <a:off x="0" y="0"/>
                      <a:ext cx="5938520" cy="2232025"/>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9"/>
        <w:rPr>
          <w:rFonts w:hint="default"/>
        </w:rPr>
      </w:pPr>
    </w:p>
    <w:p>
      <w:pPr>
        <w:pStyle w:val="0"/>
        <w:ind w:left="438" w:firstLine="209"/>
        <w:rPr>
          <w:rFonts w:hint="default"/>
        </w:rPr>
      </w:pPr>
    </w:p>
    <w:p>
      <w:pPr>
        <w:pStyle w:val="0"/>
        <w:ind w:left="438" w:firstLine="209"/>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rPr>
          <w:rFonts w:hint="default"/>
          <w:spacing w:val="-2"/>
          <w:sz w:val="21"/>
        </w:rPr>
      </w:pPr>
      <w:r>
        <w:rPr>
          <w:rFonts w:hint="default"/>
        </w:rPr>
        <w:br w:type="page"/>
      </w:r>
    </w:p>
    <w:p>
      <w:pPr>
        <w:pStyle w:val="246"/>
        <w:ind w:left="672"/>
        <w:rPr>
          <w:rFonts w:hint="default"/>
        </w:rPr>
      </w:pPr>
      <w:r>
        <w:rPr>
          <w:rFonts w:hint="eastAsia"/>
        </w:rPr>
        <w:t>ｲ</w:t>
      </w:r>
      <w:r>
        <w:rPr>
          <w:rFonts w:hint="eastAsia"/>
        </w:rPr>
        <w:t>)</w:t>
      </w:r>
      <w:r>
        <w:rPr>
          <w:rFonts w:hint="eastAsia"/>
        </w:rPr>
        <w:t>成年後見制度普及啓発事業</w:t>
      </w:r>
    </w:p>
    <w:p>
      <w:pPr>
        <w:pStyle w:val="251"/>
        <w:spacing w:line="240" w:lineRule="auto"/>
        <w:ind w:left="897" w:leftChars="400" w:firstLine="214"/>
        <w:rPr>
          <w:rFonts w:hint="default"/>
          <w:spacing w:val="0"/>
        </w:rPr>
      </w:pP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251"/>
        <w:spacing w:line="240" w:lineRule="auto"/>
        <w:ind w:left="1009" w:leftChars="450" w:firstLine="214"/>
        <w:rPr>
          <w:rFonts w:hint="default"/>
          <w:spacing w:val="0"/>
        </w:rPr>
      </w:pPr>
      <w:r>
        <w:rPr>
          <w:rFonts w:hint="eastAsia"/>
          <w:spacing w:val="0"/>
        </w:rPr>
        <w:t>年に</w:t>
      </w:r>
      <w:r>
        <w:rPr>
          <w:rFonts w:hint="default"/>
          <w:spacing w:val="0"/>
        </w:rPr>
        <w:t>1</w:t>
      </w:r>
      <w:r>
        <w:rPr>
          <w:rFonts w:hint="default"/>
          <w:spacing w:val="0"/>
        </w:rPr>
        <w:t>回開催</w:t>
      </w:r>
      <w:r>
        <w:rPr>
          <w:rFonts w:hint="eastAsia"/>
          <w:spacing w:val="0"/>
        </w:rPr>
        <w:t>すること</w:t>
      </w:r>
      <w:r>
        <w:rPr>
          <w:rFonts w:hint="default"/>
          <w:spacing w:val="0"/>
        </w:rPr>
        <w:t>を見込</w:t>
      </w:r>
      <w:r>
        <w:rPr>
          <w:rFonts w:hint="eastAsia"/>
          <w:spacing w:val="0"/>
        </w:rPr>
        <w:t>みます。</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実施箇所数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箇所</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0</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0</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r>
        <w:rPr>
          <w:rFonts w:hint="default"/>
        </w:rPr>
        <w:drawing>
          <wp:anchor distT="0" distB="0" distL="114300" distR="114300" simplePos="0" relativeHeight="7" behindDoc="0" locked="0" layoutInCell="1" hidden="0" allowOverlap="1">
            <wp:simplePos x="0" y="0"/>
            <wp:positionH relativeFrom="column">
              <wp:posOffset>292735</wp:posOffset>
            </wp:positionH>
            <wp:positionV relativeFrom="paragraph">
              <wp:posOffset>189230</wp:posOffset>
            </wp:positionV>
            <wp:extent cx="5953760" cy="2219960"/>
            <wp:effectExtent l="0" t="0" r="0" b="0"/>
            <wp:wrapNone/>
            <wp:docPr id="1300" name="成年後見制度普及啓発事業01"/>
            <a:graphic xmlns:a="http://schemas.openxmlformats.org/drawingml/2006/main">
              <a:graphicData uri="http://schemas.openxmlformats.org/drawingml/2006/picture">
                <pic:pic xmlns:pic="http://schemas.openxmlformats.org/drawingml/2006/picture">
                  <pic:nvPicPr>
                    <pic:cNvPr id="1300" name="成年後見制度普及啓発事業01"/>
                    <pic:cNvPicPr>
                      <a:picLocks noChangeAspect="1" noChangeArrowheads="1"/>
                    </pic:cNvPicPr>
                  </pic:nvPicPr>
                  <pic:blipFill>
                    <a:blip r:embed="rId76"/>
                    <a:srcRect b="9334"/>
                    <a:stretch>
                      <a:fillRect/>
                    </a:stretch>
                  </pic:blipFill>
                  <pic:spPr>
                    <a:xfrm>
                      <a:off x="0" y="0"/>
                      <a:ext cx="5953760" cy="221996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rPr>
          <w:rFonts w:hint="default"/>
          <w:spacing w:val="-2"/>
          <w:sz w:val="21"/>
        </w:rPr>
      </w:pPr>
      <w:r>
        <w:rPr>
          <w:rFonts w:hint="default"/>
        </w:rPr>
        <w:br w:type="page"/>
      </w:r>
    </w:p>
    <w:p>
      <w:pPr>
        <w:pStyle w:val="246"/>
        <w:ind w:left="672"/>
        <w:rPr>
          <w:rFonts w:hint="default"/>
        </w:rPr>
      </w:pPr>
      <w:bookmarkStart w:id="338" w:name="_Toc59549978"/>
      <w:r>
        <w:rPr>
          <w:rFonts w:hint="eastAsia"/>
        </w:rPr>
        <w:t>ｳ</w:t>
      </w:r>
      <w:r>
        <w:rPr>
          <w:rFonts w:hint="eastAsia"/>
        </w:rPr>
        <w:t>)</w:t>
      </w:r>
      <w:r>
        <w:rPr>
          <w:rFonts w:hint="eastAsia"/>
        </w:rPr>
        <w:t>医療的ケア児等総合支援事業</w:t>
      </w:r>
    </w:p>
    <w:p>
      <w:pPr>
        <w:pStyle w:val="246"/>
        <w:ind w:left="672"/>
        <w:rPr>
          <w:rFonts w:hint="default"/>
        </w:rPr>
      </w:pPr>
      <w:r>
        <w:rPr>
          <w:rFonts w:hint="eastAsia"/>
        </w:rPr>
        <w:t>ｳ</w:t>
      </w:r>
      <w:r>
        <w:rPr>
          <w:rFonts w:hint="eastAsia"/>
        </w:rPr>
        <w:t>)-1</w:t>
      </w:r>
      <w:r>
        <w:rPr>
          <w:rFonts w:hint="eastAsia"/>
        </w:rPr>
        <w:t>医療的ケア児等の協議の場の設置</w:t>
      </w:r>
    </w:p>
    <w:p>
      <w:pPr>
        <w:pStyle w:val="251"/>
        <w:spacing w:line="240" w:lineRule="auto"/>
        <w:ind w:left="897" w:leftChars="400" w:firstLine="214"/>
        <w:rPr>
          <w:rFonts w:hint="default"/>
          <w:spacing w:val="0"/>
        </w:rPr>
      </w:pP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251"/>
        <w:spacing w:line="240" w:lineRule="auto"/>
        <w:ind w:left="1009" w:leftChars="450" w:firstLine="214"/>
        <w:rPr>
          <w:rFonts w:hint="default"/>
          <w:spacing w:val="0"/>
        </w:rPr>
      </w:pPr>
      <w:r>
        <w:rPr>
          <w:rFonts w:hint="eastAsia"/>
          <w:spacing w:val="0"/>
        </w:rPr>
        <w:t>年に</w:t>
      </w:r>
      <w:r>
        <w:rPr>
          <w:rFonts w:hint="default"/>
          <w:spacing w:val="0"/>
        </w:rPr>
        <w:t>1</w:t>
      </w:r>
      <w:r>
        <w:rPr>
          <w:rFonts w:hint="default"/>
          <w:spacing w:val="0"/>
        </w:rPr>
        <w:t>回開催</w:t>
      </w:r>
      <w:r>
        <w:rPr>
          <w:rFonts w:hint="eastAsia"/>
          <w:spacing w:val="0"/>
        </w:rPr>
        <w:t>すること</w:t>
      </w:r>
      <w:r>
        <w:rPr>
          <w:rFonts w:hint="default"/>
          <w:spacing w:val="0"/>
        </w:rPr>
        <w:t>を見込</w:t>
      </w:r>
      <w:r>
        <w:rPr>
          <w:rFonts w:hint="eastAsia"/>
          <w:spacing w:val="0"/>
        </w:rPr>
        <w:t>みます。</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研修開催数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回数</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回数</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r>
        <w:rPr>
          <w:rFonts w:hint="default"/>
        </w:rPr>
        <w:drawing>
          <wp:anchor distT="0" distB="0" distL="114300" distR="114300" simplePos="0" relativeHeight="11" behindDoc="0" locked="0" layoutInCell="1" hidden="0" allowOverlap="1">
            <wp:simplePos x="0" y="0"/>
            <wp:positionH relativeFrom="column">
              <wp:posOffset>314960</wp:posOffset>
            </wp:positionH>
            <wp:positionV relativeFrom="paragraph">
              <wp:posOffset>138430</wp:posOffset>
            </wp:positionV>
            <wp:extent cx="5953760" cy="2219960"/>
            <wp:effectExtent l="0" t="0" r="0" b="0"/>
            <wp:wrapNone/>
            <wp:docPr id="1301" name="医療的ケア児等の協議の場の設置01"/>
            <a:graphic xmlns:a="http://schemas.openxmlformats.org/drawingml/2006/main">
              <a:graphicData uri="http://schemas.openxmlformats.org/drawingml/2006/picture">
                <pic:pic xmlns:pic="http://schemas.openxmlformats.org/drawingml/2006/picture">
                  <pic:nvPicPr>
                    <pic:cNvPr id="1301" name="医療的ケア児等の協議の場の設置01"/>
                    <pic:cNvPicPr>
                      <a:picLocks noChangeAspect="1" noChangeArrowheads="1"/>
                    </pic:cNvPicPr>
                  </pic:nvPicPr>
                  <pic:blipFill>
                    <a:blip r:embed="rId77"/>
                    <a:srcRect b="9334"/>
                    <a:stretch>
                      <a:fillRect/>
                    </a:stretch>
                  </pic:blipFill>
                  <pic:spPr>
                    <a:xfrm>
                      <a:off x="0" y="0"/>
                      <a:ext cx="5953760" cy="221996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rPr>
          <w:rFonts w:hint="default"/>
        </w:rPr>
      </w:pPr>
      <w:r>
        <w:rPr>
          <w:rFonts w:hint="default"/>
        </w:rPr>
        <w:br w:type="page"/>
      </w:r>
    </w:p>
    <w:p>
      <w:pPr>
        <w:pStyle w:val="246"/>
        <w:ind w:left="672"/>
        <w:rPr>
          <w:rFonts w:hint="default"/>
        </w:rPr>
      </w:pPr>
      <w:r>
        <w:rPr>
          <w:rFonts w:hint="eastAsia"/>
        </w:rPr>
        <w:t>ｳ</w:t>
      </w:r>
      <w:r>
        <w:rPr>
          <w:rFonts w:hint="eastAsia"/>
        </w:rPr>
        <w:t>)-2</w:t>
      </w:r>
      <w:r>
        <w:rPr>
          <w:rFonts w:hint="eastAsia"/>
        </w:rPr>
        <w:t>医療的ケア児等コーディネーターの配置</w:t>
      </w:r>
    </w:p>
    <w:p>
      <w:pPr>
        <w:pStyle w:val="251"/>
        <w:spacing w:line="240" w:lineRule="auto"/>
        <w:ind w:left="897" w:leftChars="400" w:firstLine="214"/>
        <w:rPr>
          <w:rFonts w:hint="default"/>
          <w:spacing w:val="0"/>
        </w:rPr>
      </w:pP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251"/>
        <w:spacing w:line="240" w:lineRule="auto"/>
        <w:ind w:left="1009" w:leftChars="450" w:firstLine="214"/>
        <w:rPr>
          <w:rFonts w:hint="default"/>
          <w:spacing w:val="0"/>
        </w:rPr>
      </w:pPr>
      <w:r>
        <w:rPr>
          <w:rFonts w:hint="eastAsia"/>
          <w:spacing w:val="0"/>
        </w:rPr>
        <w:t>令和６年度配置を見込みます。</w:t>
      </w:r>
    </w:p>
    <w:p>
      <w:pPr>
        <w:pStyle w:val="0"/>
        <w:spacing w:line="0" w:lineRule="atLeast"/>
        <w:ind w:left="438" w:firstLine="159"/>
        <w:rPr>
          <w:rFonts w:hint="default"/>
          <w:sz w:val="16"/>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配置数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人</w:t>
            </w:r>
            <w:r>
              <w:rPr>
                <w:rFonts w:hint="default"/>
              </w:rPr>
              <w:t>/</w:t>
            </w:r>
            <w:r>
              <w:rPr>
                <w:rFonts w:hint="default"/>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人</w:t>
            </w:r>
            <w:r>
              <w:rPr>
                <w:rFonts w:hint="default"/>
              </w:rPr>
              <w:t>/</w:t>
            </w:r>
            <w:r>
              <w:rPr>
                <w:rFonts w:hint="default"/>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r>
        <w:rPr>
          <w:rFonts w:hint="default"/>
        </w:rPr>
        <w:drawing>
          <wp:anchor distT="0" distB="0" distL="114300" distR="114300" simplePos="0" relativeHeight="6" behindDoc="0" locked="0" layoutInCell="1" hidden="0" allowOverlap="1">
            <wp:simplePos x="0" y="0"/>
            <wp:positionH relativeFrom="column">
              <wp:posOffset>263525</wp:posOffset>
            </wp:positionH>
            <wp:positionV relativeFrom="paragraph">
              <wp:posOffset>125730</wp:posOffset>
            </wp:positionV>
            <wp:extent cx="5953760" cy="2219960"/>
            <wp:effectExtent l="0" t="0" r="0" b="0"/>
            <wp:wrapNone/>
            <wp:docPr id="1302" name="医療的ケア児等コーディネーターの配置02"/>
            <a:graphic xmlns:a="http://schemas.openxmlformats.org/drawingml/2006/main">
              <a:graphicData uri="http://schemas.openxmlformats.org/drawingml/2006/picture">
                <pic:pic xmlns:pic="http://schemas.openxmlformats.org/drawingml/2006/picture">
                  <pic:nvPicPr>
                    <pic:cNvPr id="1302" name="医療的ケア児等コーディネーターの配置02"/>
                    <pic:cNvPicPr>
                      <a:picLocks noChangeAspect="1" noChangeArrowheads="1"/>
                    </pic:cNvPicPr>
                  </pic:nvPicPr>
                  <pic:blipFill>
                    <a:blip r:embed="rId78"/>
                    <a:srcRect b="9334"/>
                    <a:stretch>
                      <a:fillRect/>
                    </a:stretch>
                  </pic:blipFill>
                  <pic:spPr>
                    <a:xfrm>
                      <a:off x="0" y="0"/>
                      <a:ext cx="5953760" cy="221996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rPr>
          <w:rFonts w:hint="default"/>
        </w:rPr>
      </w:pPr>
      <w:r>
        <w:rPr>
          <w:rFonts w:hint="default"/>
        </w:rPr>
        <w:br w:type="page"/>
      </w:r>
    </w:p>
    <w:p>
      <w:pPr>
        <w:pStyle w:val="246"/>
        <w:ind w:left="672"/>
        <w:rPr>
          <w:rFonts w:hint="default"/>
        </w:rPr>
      </w:pPr>
      <w:r>
        <w:rPr>
          <w:rFonts w:hint="eastAsia"/>
        </w:rPr>
        <w:t>ｴ</w:t>
      </w:r>
      <w:r>
        <w:rPr>
          <w:rFonts w:hint="eastAsia"/>
        </w:rPr>
        <w:t>)</w:t>
      </w:r>
      <w:r>
        <w:rPr>
          <w:rFonts w:hint="eastAsia"/>
        </w:rPr>
        <w:t>発達障害児者及び家族等支援事業</w:t>
      </w:r>
    </w:p>
    <w:p>
      <w:pPr>
        <w:pStyle w:val="246"/>
        <w:ind w:left="672"/>
        <w:rPr>
          <w:rFonts w:hint="default"/>
        </w:rPr>
      </w:pPr>
      <w:r>
        <w:rPr>
          <w:rFonts w:hint="eastAsia"/>
        </w:rPr>
        <w:t>ｴ</w:t>
      </w:r>
      <w:r>
        <w:rPr>
          <w:rFonts w:hint="eastAsia"/>
        </w:rPr>
        <w:t>)-1</w:t>
      </w:r>
      <w:r>
        <w:rPr>
          <w:rFonts w:hint="eastAsia"/>
        </w:rPr>
        <w:t>家族のスキル向上支援事業</w:t>
      </w:r>
    </w:p>
    <w:p>
      <w:pPr>
        <w:pStyle w:val="251"/>
        <w:spacing w:line="240" w:lineRule="auto"/>
        <w:ind w:left="897" w:leftChars="400" w:firstLine="214"/>
        <w:rPr>
          <w:rFonts w:hint="default"/>
          <w:spacing w:val="0"/>
        </w:rPr>
      </w:pPr>
      <w:r>
        <w:rPr>
          <w:rFonts w:hint="eastAsia"/>
          <w:spacing w:val="0"/>
        </w:rPr>
        <w:t>・ペアレントプログラムやペアレントプログラム等の支援プログラム</w:t>
      </w:r>
    </w:p>
    <w:p>
      <w:pPr>
        <w:pStyle w:val="251"/>
        <w:spacing w:line="240" w:lineRule="auto"/>
        <w:ind w:left="897" w:leftChars="400" w:firstLine="214"/>
        <w:rPr>
          <w:rFonts w:hint="default"/>
          <w:spacing w:val="0"/>
        </w:rPr>
      </w:pP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実施に関する考え方】</w:t>
      </w:r>
    </w:p>
    <w:p>
      <w:pPr>
        <w:pStyle w:val="251"/>
        <w:ind w:left="1009" w:leftChars="450" w:firstLine="214"/>
        <w:rPr>
          <w:rFonts w:hint="default"/>
          <w:spacing w:val="0"/>
        </w:rPr>
      </w:pPr>
      <w:r>
        <w:rPr>
          <w:rFonts w:hint="eastAsia"/>
          <w:spacing w:val="0"/>
        </w:rPr>
        <w:t>年に２回開催し、１</w:t>
      </w:r>
      <w:r>
        <w:rPr>
          <w:rFonts w:hint="default"/>
          <w:spacing w:val="0"/>
        </w:rPr>
        <w:t>回あたり</w:t>
      </w:r>
      <w:r>
        <w:rPr>
          <w:rFonts w:hint="default"/>
          <w:spacing w:val="0"/>
        </w:rPr>
        <w:t>6</w:t>
      </w:r>
      <w:r>
        <w:rPr>
          <w:rFonts w:hint="default"/>
          <w:spacing w:val="0"/>
        </w:rPr>
        <w:t>人受講すると見込みます。</w:t>
      </w:r>
    </w:p>
    <w:p>
      <w:pPr>
        <w:pStyle w:val="0"/>
        <w:spacing w:line="0" w:lineRule="atLeast"/>
        <w:ind w:left="438" w:firstLine="159"/>
        <w:rPr>
          <w:rFonts w:hint="default"/>
          <w:sz w:val="16"/>
        </w:rPr>
      </w:pPr>
    </w:p>
    <w:tbl>
      <w:tblPr>
        <w:tblStyle w:val="11"/>
        <w:tblW w:w="905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30"/>
        <w:gridCol w:w="1131"/>
        <w:gridCol w:w="113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開催数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回数</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w:t>
            </w:r>
          </w:p>
        </w:tc>
        <w:tc>
          <w:tcPr>
            <w:tcW w:w="1130"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w:t>
            </w:r>
          </w:p>
        </w:tc>
        <w:tc>
          <w:tcPr>
            <w:tcW w:w="113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回数</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w:t>
            </w:r>
          </w:p>
        </w:tc>
        <w:tc>
          <w:tcPr>
            <w:tcW w:w="1130"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3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0</w:t>
            </w:r>
          </w:p>
        </w:tc>
        <w:tc>
          <w:tcPr>
            <w:tcW w:w="1130"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3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r>
    </w:tbl>
    <w:p>
      <w:pPr>
        <w:pStyle w:val="0"/>
        <w:spacing w:line="160" w:lineRule="exact"/>
        <w:rPr>
          <w:rFonts w:hint="default" w:ascii="ＭＳ ゴシック" w:hAnsi="ＭＳ ゴシック" w:eastAsia="ＭＳ ゴシック"/>
        </w:rPr>
      </w:pPr>
    </w:p>
    <w:tbl>
      <w:tblPr>
        <w:tblStyle w:val="11"/>
        <w:tblW w:w="9030"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21"/>
        <w:gridCol w:w="1121"/>
        <w:gridCol w:w="1121"/>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実利用人数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令和５年度</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令和６年度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令和７年度</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10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20</w:t>
            </w:r>
          </w:p>
        </w:tc>
        <w:tc>
          <w:tcPr>
            <w:tcW w:w="112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12</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12</w:t>
            </w:r>
          </w:p>
        </w:tc>
        <w:tc>
          <w:tcPr>
            <w:tcW w:w="112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line="250" w:lineRule="exact"/>
              <w:textAlignment w:val="center"/>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年</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default"/>
              </w:rPr>
              <w:t>6</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14</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default"/>
              </w:rPr>
              <w:t>10</w:t>
            </w:r>
          </w:p>
        </w:tc>
        <w:tc>
          <w:tcPr>
            <w:tcW w:w="1121"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c>
          <w:tcPr>
            <w:tcW w:w="1121"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line="250" w:lineRule="exact"/>
              <w:textAlignment w:val="center"/>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4</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6</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rPr>
                <w:rFonts w:hint="default"/>
              </w:rPr>
            </w:pPr>
            <w:r>
              <w:rPr>
                <w:rFonts w:hint="eastAsia"/>
              </w:rPr>
              <w:t>△</w:t>
            </w:r>
            <w:r>
              <w:rPr>
                <w:rFonts w:hint="default"/>
              </w:rPr>
              <w:t>10</w:t>
            </w:r>
          </w:p>
        </w:tc>
        <w:tc>
          <w:tcPr>
            <w:tcW w:w="1121"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c>
          <w:tcPr>
            <w:tcW w:w="1121"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rPr>
                <w:rFonts w:hint="default"/>
              </w:rPr>
            </w:pPr>
          </w:p>
        </w:tc>
      </w:tr>
      <w:tr>
        <w:trPr/>
        <w:tc>
          <w:tcPr>
            <w:tcW w:w="9030"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5"/>
        <w:rPr>
          <w:rFonts w:hint="default"/>
        </w:rPr>
      </w:pPr>
      <w:r>
        <w:rPr>
          <w:rFonts w:hint="default"/>
        </w:rPr>
        <w:drawing>
          <wp:anchor distT="0" distB="0" distL="114300" distR="114300" simplePos="0" relativeHeight="10" behindDoc="0" locked="0" layoutInCell="1" hidden="0" allowOverlap="1">
            <wp:simplePos x="0" y="0"/>
            <wp:positionH relativeFrom="column">
              <wp:posOffset>276225</wp:posOffset>
            </wp:positionH>
            <wp:positionV relativeFrom="paragraph">
              <wp:posOffset>52705</wp:posOffset>
            </wp:positionV>
            <wp:extent cx="5954395" cy="2219960"/>
            <wp:effectExtent l="0" t="0" r="0" b="0"/>
            <wp:wrapNone/>
            <wp:docPr id="1303" name="ペアレントプログラム等の支援プログラム01"/>
            <a:graphic xmlns:a="http://schemas.openxmlformats.org/drawingml/2006/main">
              <a:graphicData uri="http://schemas.openxmlformats.org/drawingml/2006/picture">
                <pic:pic xmlns:pic="http://schemas.openxmlformats.org/drawingml/2006/picture">
                  <pic:nvPicPr>
                    <pic:cNvPr id="1303" name="ペアレントプログラム等の支援プログラム01"/>
                    <pic:cNvPicPr>
                      <a:picLocks noChangeAspect="1" noChangeArrowheads="1"/>
                    </pic:cNvPicPr>
                  </pic:nvPicPr>
                  <pic:blipFill>
                    <a:blip r:embed="rId79"/>
                    <a:srcRect b="9334"/>
                    <a:stretch>
                      <a:fillRect/>
                    </a:stretch>
                  </pic:blipFill>
                  <pic:spPr>
                    <a:xfrm>
                      <a:off x="0" y="0"/>
                      <a:ext cx="5954395" cy="221996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r>
        <w:rPr>
          <w:rFonts w:hint="default"/>
        </w:rPr>
        <w:drawing>
          <wp:anchor distT="0" distB="0" distL="114300" distR="114300" simplePos="0" relativeHeight="9" behindDoc="0" locked="0" layoutInCell="1" hidden="0" allowOverlap="1">
            <wp:simplePos x="0" y="0"/>
            <wp:positionH relativeFrom="column">
              <wp:posOffset>277495</wp:posOffset>
            </wp:positionH>
            <wp:positionV relativeFrom="paragraph">
              <wp:posOffset>109855</wp:posOffset>
            </wp:positionV>
            <wp:extent cx="5954395" cy="2219960"/>
            <wp:effectExtent l="0" t="0" r="0" b="0"/>
            <wp:wrapNone/>
            <wp:docPr id="1304" name="ペアレントプログラム等の支援プログラム02"/>
            <a:graphic xmlns:a="http://schemas.openxmlformats.org/drawingml/2006/main">
              <a:graphicData uri="http://schemas.openxmlformats.org/drawingml/2006/picture">
                <pic:pic xmlns:pic="http://schemas.openxmlformats.org/drawingml/2006/picture">
                  <pic:nvPicPr>
                    <pic:cNvPr id="1304" name="ペアレントプログラム等の支援プログラム02"/>
                    <pic:cNvPicPr>
                      <a:picLocks noChangeAspect="1" noChangeArrowheads="1"/>
                    </pic:cNvPicPr>
                  </pic:nvPicPr>
                  <pic:blipFill>
                    <a:blip r:embed="rId80"/>
                    <a:srcRect b="9334"/>
                    <a:stretch>
                      <a:fillRect/>
                    </a:stretch>
                  </pic:blipFill>
                  <pic:spPr>
                    <a:xfrm>
                      <a:off x="0" y="0"/>
                      <a:ext cx="5954395" cy="221996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rPr>
          <w:rFonts w:hint="default"/>
          <w:spacing w:val="-2"/>
          <w:sz w:val="21"/>
        </w:rPr>
      </w:pPr>
      <w:r>
        <w:rPr>
          <w:rFonts w:hint="default"/>
        </w:rPr>
        <w:br w:type="page"/>
      </w:r>
    </w:p>
    <w:p>
      <w:pPr>
        <w:pStyle w:val="251"/>
        <w:spacing w:line="240" w:lineRule="auto"/>
        <w:ind w:left="448" w:firstLine="0" w:firstLineChars="0"/>
        <w:rPr>
          <w:rFonts w:hint="default" w:asciiTheme="majorEastAsia" w:hAnsiTheme="majorEastAsia" w:eastAsiaTheme="majorEastAsia"/>
          <w:spacing w:val="0"/>
        </w:rPr>
      </w:pPr>
      <w:bookmarkEnd w:id="338"/>
      <w:r>
        <w:rPr>
          <w:rFonts w:hint="eastAsia" w:asciiTheme="majorEastAsia" w:hAnsiTheme="majorEastAsia" w:eastAsiaTheme="majorEastAsia"/>
          <w:spacing w:val="0"/>
        </w:rPr>
        <w:t>【地域生活支援事業</w:t>
      </w:r>
      <w:r>
        <w:rPr>
          <w:rFonts w:hint="default" w:asciiTheme="majorEastAsia" w:hAnsiTheme="majorEastAsia" w:eastAsiaTheme="majorEastAsia"/>
          <w:spacing w:val="0"/>
        </w:rPr>
        <w:t>(</w:t>
      </w:r>
      <w:r>
        <w:rPr>
          <w:rFonts w:hint="eastAsia" w:asciiTheme="majorEastAsia" w:hAnsiTheme="majorEastAsia" w:eastAsiaTheme="majorEastAsia"/>
          <w:spacing w:val="0"/>
        </w:rPr>
        <w:t>必須事業</w:t>
      </w:r>
      <w:r>
        <w:rPr>
          <w:rFonts w:hint="default" w:asciiTheme="majorEastAsia" w:hAnsiTheme="majorEastAsia" w:eastAsiaTheme="majorEastAsia"/>
          <w:spacing w:val="0"/>
        </w:rPr>
        <w:t>)</w:t>
      </w:r>
      <w:r>
        <w:rPr>
          <w:rFonts w:hint="eastAsia" w:asciiTheme="majorEastAsia" w:hAnsiTheme="majorEastAsia" w:eastAsiaTheme="majorEastAsia"/>
          <w:spacing w:val="0"/>
        </w:rPr>
        <w:t>の実績及び見込み一覧】</w:t>
      </w:r>
    </w:p>
    <w:tbl>
      <w:tblPr>
        <w:tblStyle w:val="11"/>
        <w:tblW w:w="9072" w:type="dxa"/>
        <w:tblInd w:w="562" w:type="dxa"/>
        <w:tblLayout w:type="fixed"/>
        <w:tblCellMar>
          <w:left w:w="99" w:type="dxa"/>
          <w:right w:w="99" w:type="dxa"/>
        </w:tblCellMar>
        <w:tblLook w:firstRow="1" w:lastRow="0" w:firstColumn="1" w:lastColumn="0" w:noHBand="0" w:noVBand="1" w:val="04A0"/>
      </w:tblPr>
      <w:tblGrid>
        <w:gridCol w:w="218"/>
        <w:gridCol w:w="1973"/>
        <w:gridCol w:w="1211"/>
        <w:gridCol w:w="763"/>
        <w:gridCol w:w="817"/>
        <w:gridCol w:w="818"/>
        <w:gridCol w:w="818"/>
        <w:gridCol w:w="818"/>
        <w:gridCol w:w="818"/>
        <w:gridCol w:w="818"/>
      </w:tblGrid>
      <w:tr>
        <w:trPr/>
        <w:tc>
          <w:tcPr>
            <w:tcW w:w="2191" w:type="dxa"/>
            <w:gridSpan w:val="2"/>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211"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763"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単位</w:t>
            </w:r>
          </w:p>
        </w:tc>
        <w:tc>
          <w:tcPr>
            <w:tcW w:w="2453"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実績値</w:t>
            </w:r>
          </w:p>
        </w:tc>
        <w:tc>
          <w:tcPr>
            <w:tcW w:w="2454"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計画値</w:t>
            </w:r>
          </w:p>
        </w:tc>
      </w:tr>
      <w:tr>
        <w:trPr/>
        <w:tc>
          <w:tcPr>
            <w:tcW w:w="2191" w:type="dxa"/>
            <w:gridSpan w:val="2"/>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211"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763"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pacing w:val="-6"/>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３年度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４年度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５年度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６</w:t>
            </w:r>
            <w:r>
              <w:rPr>
                <w:rFonts w:hint="default" w:asciiTheme="minorEastAsia" w:hAnsiTheme="minorEastAsia" w:eastAsiaTheme="minorEastAsia"/>
                <w:sz w:val="20"/>
              </w:rPr>
              <w:t>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７</w:t>
            </w:r>
            <w:r>
              <w:rPr>
                <w:rFonts w:hint="default" w:asciiTheme="minorEastAsia" w:hAnsiTheme="minorEastAsia" w:eastAsiaTheme="minorEastAsia"/>
                <w:sz w:val="20"/>
              </w:rPr>
              <w:t>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８</w:t>
            </w:r>
            <w:r>
              <w:rPr>
                <w:rFonts w:hint="default" w:asciiTheme="minorEastAsia" w:hAnsiTheme="minorEastAsia" w:eastAsiaTheme="minorEastAsia"/>
                <w:sz w:val="20"/>
              </w:rPr>
              <w:t>年度</w:t>
            </w:r>
          </w:p>
        </w:tc>
      </w:tr>
      <w:tr>
        <w:trPr>
          <w:trHeight w:val="240" w:hRule="atLeast"/>
        </w:trPr>
        <w:tc>
          <w:tcPr>
            <w:tcW w:w="2191" w:type="dxa"/>
            <w:gridSpan w:val="2"/>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相談支援事業</w:t>
            </w:r>
          </w:p>
        </w:tc>
        <w:tc>
          <w:tcPr>
            <w:tcW w:w="1211"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763"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r>
      <w:tr>
        <w:trPr>
          <w:trHeight w:val="240" w:hRule="atLeast"/>
        </w:trPr>
        <w:tc>
          <w:tcPr>
            <w:tcW w:w="218" w:type="dxa"/>
            <w:tcBorders>
              <w:top w:val="nil"/>
              <w:left w:val="single" w:color="auto" w:sz="4" w:space="0"/>
              <w:bottom w:val="none" w:color="auto" w:sz="0" w:space="0"/>
              <w:right w:val="nil"/>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障害者相談支援事業</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実施箇所数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箇所</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rHeight w:val="384" w:hRule="atLeast"/>
        </w:trPr>
        <w:tc>
          <w:tcPr>
            <w:tcW w:w="218" w:type="dxa"/>
            <w:tcBorders>
              <w:top w:val="nil"/>
              <w:left w:val="single" w:color="auto" w:sz="4" w:space="0"/>
              <w:bottom w:val="none" w:color="auto" w:sz="0" w:space="0"/>
              <w:right w:val="nil"/>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基幹相談支援センター等機能強化事業</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実施箇所数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箇所</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rHeight w:val="384" w:hRule="atLeast"/>
        </w:trPr>
        <w:tc>
          <w:tcPr>
            <w:tcW w:w="218" w:type="dxa"/>
            <w:tcBorders>
              <w:top w:val="nil"/>
              <w:left w:val="single" w:color="auto" w:sz="4" w:space="0"/>
              <w:bottom w:val="single" w:color="auto" w:sz="4" w:space="0"/>
              <w:right w:val="nil"/>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21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209</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197</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203</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203</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203</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203</w:t>
            </w:r>
          </w:p>
        </w:tc>
      </w:tr>
      <w:tr>
        <w:trPr>
          <w:trHeight w:val="240" w:hRule="atLeast"/>
        </w:trPr>
        <w:tc>
          <w:tcPr>
            <w:tcW w:w="219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8"/>
                <w:w w:val="88"/>
                <w:sz w:val="20"/>
              </w:rPr>
            </w:pPr>
            <w:r>
              <w:rPr>
                <w:rFonts w:hint="eastAsia" w:asciiTheme="minorEastAsia" w:hAnsiTheme="minorEastAsia" w:eastAsiaTheme="minorEastAsia"/>
                <w:spacing w:val="-8"/>
                <w:w w:val="88"/>
                <w:sz w:val="20"/>
              </w:rPr>
              <w:t>成年後見制度利用支援事業</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r>
      <w:tr>
        <w:trPr>
          <w:trHeight w:val="240" w:hRule="atLeast"/>
        </w:trPr>
        <w:tc>
          <w:tcPr>
            <w:tcW w:w="2191" w:type="dxa"/>
            <w:gridSpan w:val="2"/>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意思疎通支援事業</w:t>
            </w:r>
          </w:p>
        </w:tc>
        <w:tc>
          <w:tcPr>
            <w:tcW w:w="1211"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763"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8"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r>
      <w:tr>
        <w:trPr>
          <w:trHeight w:val="240" w:hRule="atLeast"/>
        </w:trPr>
        <w:tc>
          <w:tcPr>
            <w:tcW w:w="218" w:type="dxa"/>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手話通訳者・要約筆記者派遣事業</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実利用件数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件</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9</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11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11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11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11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11</w:t>
            </w:r>
          </w:p>
        </w:tc>
      </w:tr>
      <w:tr>
        <w:trPr>
          <w:trHeight w:val="240" w:hRule="atLeast"/>
        </w:trPr>
        <w:tc>
          <w:tcPr>
            <w:tcW w:w="2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手話通訳者設置事業</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実施箇所数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箇所</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rHeight w:val="240" w:hRule="atLeast"/>
        </w:trPr>
        <w:tc>
          <w:tcPr>
            <w:tcW w:w="2191" w:type="dxa"/>
            <w:gridSpan w:val="2"/>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5"/>
                <w:sz w:val="20"/>
              </w:rPr>
              <w:t>日常生活用具給付等事業</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587</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540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554</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555</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555</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555</w:t>
            </w:r>
          </w:p>
        </w:tc>
      </w:tr>
      <w:tr>
        <w:trPr>
          <w:trHeight w:val="240" w:hRule="atLeast"/>
        </w:trPr>
        <w:tc>
          <w:tcPr>
            <w:tcW w:w="218" w:type="dxa"/>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介護・訓練支援用具</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r>
      <w:tr>
        <w:trPr>
          <w:trHeight w:val="240" w:hRule="atLeast"/>
        </w:trPr>
        <w:tc>
          <w:tcPr>
            <w:tcW w:w="218" w:type="dxa"/>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自立生活支援用具</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r>
      <w:tr>
        <w:trPr>
          <w:trHeight w:val="240" w:hRule="atLeast"/>
        </w:trPr>
        <w:tc>
          <w:tcPr>
            <w:tcW w:w="218" w:type="dxa"/>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在宅療養等支援用具</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14</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r>
      <w:tr>
        <w:trPr>
          <w:trHeight w:val="240" w:hRule="atLeast"/>
        </w:trPr>
        <w:tc>
          <w:tcPr>
            <w:tcW w:w="218" w:type="dxa"/>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8"/>
                <w:w w:val="88"/>
                <w:sz w:val="20"/>
              </w:rPr>
            </w:pPr>
            <w:r>
              <w:rPr>
                <w:rFonts w:hint="eastAsia" w:asciiTheme="minorEastAsia" w:hAnsiTheme="minorEastAsia" w:eastAsiaTheme="minorEastAsia"/>
                <w:spacing w:val="-8"/>
                <w:w w:val="88"/>
                <w:sz w:val="20"/>
              </w:rPr>
              <w:t>情報・意志疎通支援用具</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r>
      <w:tr>
        <w:trPr>
          <w:trHeight w:val="240" w:hRule="atLeast"/>
        </w:trPr>
        <w:tc>
          <w:tcPr>
            <w:tcW w:w="218" w:type="dxa"/>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排泄管理支援用具</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549</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507</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520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520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520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520</w:t>
            </w:r>
          </w:p>
        </w:tc>
      </w:tr>
      <w:tr>
        <w:trPr>
          <w:trHeight w:val="240" w:hRule="atLeast"/>
        </w:trPr>
        <w:tc>
          <w:tcPr>
            <w:tcW w:w="2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97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居宅生活動作補助用具（住宅改修費）</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rHeight w:val="240" w:hRule="atLeast"/>
        </w:trPr>
        <w:tc>
          <w:tcPr>
            <w:tcW w:w="2191"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8"/>
                <w:w w:val="96"/>
                <w:sz w:val="20"/>
              </w:rPr>
            </w:pPr>
            <w:r>
              <w:rPr>
                <w:rFonts w:hint="eastAsia" w:asciiTheme="minorEastAsia" w:hAnsiTheme="minorEastAsia" w:eastAsiaTheme="minorEastAsia"/>
                <w:spacing w:val="-8"/>
                <w:w w:val="96"/>
                <w:sz w:val="20"/>
              </w:rPr>
              <w:t>手話奉仕員養成研修事業</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8"/>
                <w:w w:val="78"/>
                <w:sz w:val="20"/>
              </w:rPr>
            </w:pPr>
            <w:r>
              <w:rPr>
                <w:rFonts w:hint="default" w:asciiTheme="minorEastAsia" w:hAnsiTheme="minorEastAsia" w:eastAsiaTheme="minorEastAsia"/>
                <w:spacing w:val="-8"/>
                <w:w w:val="78"/>
                <w:sz w:val="20"/>
              </w:rPr>
              <w:t>修了見込み者数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r>
      <w:tr>
        <w:trPr>
          <w:trHeight w:val="240" w:hRule="atLeast"/>
        </w:trPr>
        <w:tc>
          <w:tcPr>
            <w:tcW w:w="2191" w:type="dxa"/>
            <w:gridSpan w:val="2"/>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移動支援事業</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29</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30</w:t>
            </w:r>
          </w:p>
        </w:tc>
      </w:tr>
      <w:tr>
        <w:trPr>
          <w:trHeight w:val="240" w:hRule="atLeast"/>
        </w:trPr>
        <w:tc>
          <w:tcPr>
            <w:tcW w:w="2191" w:type="dxa"/>
            <w:gridSpan w:val="2"/>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延利用時間</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10"/>
                <w:w w:val="88"/>
                <w:sz w:val="20"/>
              </w:rPr>
            </w:pPr>
            <w:r>
              <w:rPr>
                <w:rFonts w:hint="default" w:asciiTheme="minorEastAsia" w:hAnsiTheme="minorEastAsia" w:eastAsiaTheme="minorEastAsia"/>
                <w:spacing w:val="-10"/>
                <w:w w:val="88"/>
                <w:sz w:val="20"/>
              </w:rPr>
              <w:t>時間</w:t>
            </w:r>
            <w:r>
              <w:rPr>
                <w:rFonts w:hint="default" w:asciiTheme="minorEastAsia" w:hAnsiTheme="minorEastAsia" w:eastAsiaTheme="minorEastAsia"/>
                <w:spacing w:val="-10"/>
                <w:w w:val="88"/>
                <w:sz w:val="20"/>
              </w:rPr>
              <w:t>/</w:t>
            </w:r>
            <w:r>
              <w:rPr>
                <w:rFonts w:hint="default" w:asciiTheme="minorEastAsia" w:hAnsiTheme="minorEastAsia" w:eastAsiaTheme="minorEastAsia"/>
                <w:spacing w:val="-10"/>
                <w:w w:val="88"/>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1,390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1,637</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2,010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2,010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2,010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2,010</w:t>
            </w:r>
          </w:p>
        </w:tc>
      </w:tr>
      <w:tr>
        <w:trPr>
          <w:trHeight w:val="240" w:hRule="atLeast"/>
        </w:trPr>
        <w:tc>
          <w:tcPr>
            <w:tcW w:w="2191" w:type="dxa"/>
            <w:gridSpan w:val="2"/>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4"/>
                <w:sz w:val="20"/>
              </w:rPr>
            </w:pPr>
            <w:r>
              <w:rPr>
                <w:rFonts w:hint="eastAsia" w:asciiTheme="minorEastAsia" w:hAnsiTheme="minorEastAsia" w:eastAsiaTheme="minorEastAsia"/>
                <w:spacing w:val="-4"/>
                <w:sz w:val="20"/>
              </w:rPr>
              <w:t>地域活動支援センター</w:t>
            </w: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実施箇所数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箇所</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rHeight w:val="240" w:hRule="atLeast"/>
        </w:trPr>
        <w:tc>
          <w:tcPr>
            <w:tcW w:w="2191" w:type="dxa"/>
            <w:gridSpan w:val="2"/>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12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実利用人数</w:t>
            </w:r>
          </w:p>
        </w:tc>
        <w:tc>
          <w:tcPr>
            <w:tcW w:w="76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r>
    </w:tbl>
    <w:p>
      <w:pPr>
        <w:pStyle w:val="251"/>
        <w:spacing w:line="240" w:lineRule="auto"/>
        <w:ind w:left="560" w:leftChars="250" w:firstLine="0" w:firstLineChars="0"/>
        <w:rPr>
          <w:rFonts w:hint="default"/>
        </w:rPr>
      </w:pPr>
      <w:r>
        <w:rPr>
          <w:rFonts w:hint="eastAsia"/>
        </w:rPr>
        <w:t>※令和５年度は、見込みの数値。</w:t>
      </w:r>
    </w:p>
    <w:p>
      <w:pPr>
        <w:pStyle w:val="251"/>
        <w:spacing w:line="240" w:lineRule="auto"/>
        <w:ind w:left="662" w:hanging="214" w:hangingChars="100"/>
        <w:rPr>
          <w:rFonts w:hint="default"/>
          <w:spacing w:val="0"/>
        </w:rPr>
      </w:pPr>
    </w:p>
    <w:p>
      <w:pPr>
        <w:pStyle w:val="0"/>
        <w:rPr>
          <w:rFonts w:hint="default"/>
          <w:sz w:val="21"/>
        </w:rPr>
      </w:pPr>
      <w:r>
        <w:rPr>
          <w:rFonts w:hint="default"/>
        </w:rPr>
        <w:br w:type="page"/>
      </w:r>
    </w:p>
    <w:p>
      <w:pPr>
        <w:pStyle w:val="251"/>
        <w:spacing w:line="240" w:lineRule="auto"/>
        <w:ind w:left="448" w:firstLine="0" w:firstLineChars="0"/>
        <w:rPr>
          <w:rFonts w:hint="default" w:asciiTheme="majorEastAsia" w:hAnsiTheme="majorEastAsia" w:eastAsiaTheme="majorEastAsia"/>
          <w:spacing w:val="0"/>
        </w:rPr>
      </w:pPr>
      <w:r>
        <w:rPr>
          <w:rFonts w:hint="eastAsia" w:asciiTheme="majorEastAsia" w:hAnsiTheme="majorEastAsia" w:eastAsiaTheme="majorEastAsia"/>
          <w:spacing w:val="0"/>
        </w:rPr>
        <w:t>【地域生活支援事業</w:t>
      </w:r>
      <w:r>
        <w:rPr>
          <w:rFonts w:hint="default" w:asciiTheme="majorEastAsia" w:hAnsiTheme="majorEastAsia" w:eastAsiaTheme="majorEastAsia"/>
          <w:spacing w:val="0"/>
        </w:rPr>
        <w:t>(</w:t>
      </w:r>
      <w:r>
        <w:rPr>
          <w:rFonts w:hint="eastAsia" w:asciiTheme="majorEastAsia" w:hAnsiTheme="majorEastAsia" w:eastAsiaTheme="majorEastAsia"/>
          <w:spacing w:val="0"/>
        </w:rPr>
        <w:t>任意事業</w:t>
      </w:r>
      <w:r>
        <w:rPr>
          <w:rFonts w:hint="default" w:asciiTheme="majorEastAsia" w:hAnsiTheme="majorEastAsia" w:eastAsiaTheme="majorEastAsia"/>
          <w:spacing w:val="0"/>
        </w:rPr>
        <w:t>)</w:t>
      </w:r>
      <w:r>
        <w:rPr>
          <w:rFonts w:hint="eastAsia" w:asciiTheme="majorEastAsia" w:hAnsiTheme="majorEastAsia" w:eastAsiaTheme="majorEastAsia"/>
          <w:spacing w:val="0"/>
        </w:rPr>
        <w:t>の実績及び見込み一覧】</w:t>
      </w:r>
    </w:p>
    <w:tbl>
      <w:tblPr>
        <w:tblStyle w:val="11"/>
        <w:tblW w:w="9077" w:type="dxa"/>
        <w:tblInd w:w="562" w:type="dxa"/>
        <w:tblLayout w:type="fixed"/>
        <w:tblCellMar>
          <w:left w:w="99" w:type="dxa"/>
          <w:right w:w="99" w:type="dxa"/>
        </w:tblCellMar>
        <w:tblLook w:firstRow="1" w:lastRow="0" w:firstColumn="1" w:lastColumn="0" w:noHBand="0" w:noVBand="1" w:val="04A0"/>
      </w:tblPr>
      <w:tblGrid>
        <w:gridCol w:w="2193"/>
        <w:gridCol w:w="1213"/>
        <w:gridCol w:w="764"/>
        <w:gridCol w:w="817"/>
        <w:gridCol w:w="818"/>
        <w:gridCol w:w="818"/>
        <w:gridCol w:w="818"/>
        <w:gridCol w:w="818"/>
        <w:gridCol w:w="818"/>
      </w:tblGrid>
      <w:tr>
        <w:trPr/>
        <w:tc>
          <w:tcPr>
            <w:tcW w:w="2193"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213"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764"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単位</w:t>
            </w:r>
          </w:p>
        </w:tc>
        <w:tc>
          <w:tcPr>
            <w:tcW w:w="2453"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実績値</w:t>
            </w:r>
          </w:p>
        </w:tc>
        <w:tc>
          <w:tcPr>
            <w:tcW w:w="2454"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計画値</w:t>
            </w:r>
          </w:p>
        </w:tc>
      </w:tr>
      <w:tr>
        <w:trPr/>
        <w:tc>
          <w:tcPr>
            <w:tcW w:w="2193"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213"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764"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pacing w:val="-6"/>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３年度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４年度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５年度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６</w:t>
            </w:r>
            <w:r>
              <w:rPr>
                <w:rFonts w:hint="default" w:asciiTheme="minorEastAsia" w:hAnsiTheme="minorEastAsia" w:eastAsiaTheme="minorEastAsia"/>
                <w:sz w:val="20"/>
              </w:rPr>
              <w:t>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７</w:t>
            </w:r>
            <w:r>
              <w:rPr>
                <w:rFonts w:hint="default" w:asciiTheme="minorEastAsia" w:hAnsiTheme="minorEastAsia" w:eastAsiaTheme="minorEastAsia"/>
                <w:sz w:val="20"/>
              </w:rPr>
              <w:t>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８</w:t>
            </w:r>
            <w:r>
              <w:rPr>
                <w:rFonts w:hint="default" w:asciiTheme="minorEastAsia" w:hAnsiTheme="minorEastAsia" w:eastAsiaTheme="minorEastAsia"/>
                <w:sz w:val="20"/>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2193" w:type="dxa"/>
            <w:vMerge w:val="restart"/>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日中一時支援事業</w:t>
            </w:r>
          </w:p>
        </w:tc>
        <w:tc>
          <w:tcPr>
            <w:tcW w:w="121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実施箇所数</w:t>
            </w:r>
          </w:p>
        </w:tc>
        <w:tc>
          <w:tcPr>
            <w:tcW w:w="76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箇所</w:t>
            </w:r>
          </w:p>
        </w:tc>
        <w:tc>
          <w:tcPr>
            <w:tcW w:w="8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2193" w:type="dxa"/>
            <w:vMerge w:val="continue"/>
            <w:shd w:val="clear" w:color="auto" w:fill="auto"/>
            <w:vAlign w:val="center"/>
          </w:tcPr>
          <w:p>
            <w:pPr>
              <w:pStyle w:val="0"/>
              <w:spacing w:line="0" w:lineRule="atLeast"/>
              <w:rPr>
                <w:rFonts w:hint="default" w:asciiTheme="minorEastAsia" w:hAnsiTheme="minorEastAsia" w:eastAsiaTheme="minorEastAsia"/>
                <w:sz w:val="20"/>
              </w:rPr>
            </w:pPr>
          </w:p>
        </w:tc>
        <w:tc>
          <w:tcPr>
            <w:tcW w:w="121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実利用人数</w:t>
            </w:r>
          </w:p>
        </w:tc>
        <w:tc>
          <w:tcPr>
            <w:tcW w:w="76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18</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18</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18</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18</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18</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2193" w:type="dxa"/>
            <w:vMerge w:val="restart"/>
            <w:shd w:val="clear" w:color="auto" w:fill="auto"/>
            <w:vAlign w:val="center"/>
          </w:tcPr>
          <w:p>
            <w:pPr>
              <w:pStyle w:val="0"/>
              <w:spacing w:line="0" w:lineRule="atLeast"/>
              <w:rPr>
                <w:rFonts w:hint="default" w:asciiTheme="minorEastAsia" w:hAnsiTheme="minorEastAsia" w:eastAsiaTheme="minorEastAsia"/>
                <w:spacing w:val="-8"/>
                <w:w w:val="85"/>
                <w:sz w:val="20"/>
              </w:rPr>
            </w:pPr>
            <w:r>
              <w:rPr>
                <w:rFonts w:hint="eastAsia" w:asciiTheme="minorEastAsia" w:hAnsiTheme="minorEastAsia" w:eastAsiaTheme="minorEastAsia"/>
                <w:sz w:val="20"/>
              </w:rPr>
              <w:t>レクリエーション活動等支援事業</w:t>
            </w:r>
          </w:p>
        </w:tc>
        <w:tc>
          <w:tcPr>
            <w:tcW w:w="121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実施箇所数</w:t>
            </w:r>
          </w:p>
        </w:tc>
        <w:tc>
          <w:tcPr>
            <w:tcW w:w="76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箇所</w:t>
            </w:r>
          </w:p>
        </w:tc>
        <w:tc>
          <w:tcPr>
            <w:tcW w:w="8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2193" w:type="dxa"/>
            <w:vMerge w:val="continue"/>
            <w:shd w:val="clear" w:color="auto" w:fill="auto"/>
            <w:vAlign w:val="center"/>
          </w:tcPr>
          <w:p>
            <w:pPr>
              <w:pStyle w:val="0"/>
              <w:spacing w:line="0" w:lineRule="atLeast"/>
              <w:rPr>
                <w:rFonts w:hint="default" w:asciiTheme="minorEastAsia" w:hAnsiTheme="minorEastAsia" w:eastAsiaTheme="minorEastAsia"/>
                <w:sz w:val="20"/>
              </w:rPr>
            </w:pPr>
          </w:p>
        </w:tc>
        <w:tc>
          <w:tcPr>
            <w:tcW w:w="121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実利用人数</w:t>
            </w:r>
          </w:p>
        </w:tc>
        <w:tc>
          <w:tcPr>
            <w:tcW w:w="76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2193" w:type="dxa"/>
            <w:vMerge w:val="restart"/>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点字・声の広報事業</w:t>
            </w:r>
          </w:p>
        </w:tc>
        <w:tc>
          <w:tcPr>
            <w:tcW w:w="1213"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実施箇所数</w:t>
            </w:r>
          </w:p>
        </w:tc>
        <w:tc>
          <w:tcPr>
            <w:tcW w:w="764"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箇所</w:t>
            </w:r>
          </w:p>
        </w:tc>
        <w:tc>
          <w:tcPr>
            <w:tcW w:w="817"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2193" w:type="dxa"/>
            <w:vMerge w:val="continue"/>
            <w:shd w:val="clear" w:color="auto" w:fill="auto"/>
            <w:vAlign w:val="center"/>
          </w:tcPr>
          <w:p>
            <w:pPr>
              <w:pStyle w:val="0"/>
              <w:spacing w:line="0" w:lineRule="atLeast"/>
              <w:rPr>
                <w:rFonts w:hint="default" w:asciiTheme="minorEastAsia" w:hAnsiTheme="minorEastAsia" w:eastAsiaTheme="minorEastAsia"/>
                <w:sz w:val="20"/>
              </w:rPr>
            </w:pPr>
          </w:p>
        </w:tc>
        <w:tc>
          <w:tcPr>
            <w:tcW w:w="1213" w:type="dxa"/>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実利用人数</w:t>
            </w:r>
          </w:p>
        </w:tc>
        <w:tc>
          <w:tcPr>
            <w:tcW w:w="764" w:type="dxa"/>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7" w:type="dxa"/>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w:t>
            </w:r>
          </w:p>
        </w:tc>
        <w:tc>
          <w:tcPr>
            <w:tcW w:w="818" w:type="dxa"/>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w:t>
            </w:r>
          </w:p>
        </w:tc>
        <w:tc>
          <w:tcPr>
            <w:tcW w:w="818" w:type="dxa"/>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w:t>
            </w:r>
          </w:p>
        </w:tc>
        <w:tc>
          <w:tcPr>
            <w:tcW w:w="818" w:type="dxa"/>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w:t>
            </w:r>
          </w:p>
        </w:tc>
        <w:tc>
          <w:tcPr>
            <w:tcW w:w="818" w:type="dxa"/>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w:t>
            </w:r>
          </w:p>
        </w:tc>
        <w:tc>
          <w:tcPr>
            <w:tcW w:w="818" w:type="dxa"/>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w:t>
            </w:r>
          </w:p>
        </w:tc>
      </w:tr>
    </w:tbl>
    <w:p>
      <w:pPr>
        <w:pStyle w:val="251"/>
        <w:spacing w:line="240" w:lineRule="auto"/>
        <w:ind w:left="560" w:leftChars="250" w:firstLine="0" w:firstLineChars="0"/>
        <w:rPr>
          <w:rFonts w:hint="default"/>
        </w:rPr>
      </w:pPr>
      <w:r>
        <w:rPr>
          <w:rFonts w:hint="eastAsia"/>
        </w:rPr>
        <w:t>※令和５年度は、見込みの数値。</w:t>
      </w:r>
    </w:p>
    <w:p>
      <w:pPr>
        <w:pStyle w:val="251"/>
        <w:spacing w:line="240" w:lineRule="auto"/>
        <w:ind w:left="662" w:hanging="214" w:hangingChars="100"/>
        <w:rPr>
          <w:rFonts w:hint="default"/>
          <w:spacing w:val="0"/>
        </w:rPr>
      </w:pPr>
    </w:p>
    <w:p>
      <w:pPr>
        <w:pStyle w:val="251"/>
        <w:spacing w:line="240" w:lineRule="auto"/>
        <w:ind w:left="448" w:firstLine="0" w:firstLineChars="0"/>
        <w:rPr>
          <w:rFonts w:hint="default" w:asciiTheme="majorEastAsia" w:hAnsiTheme="majorEastAsia" w:eastAsiaTheme="majorEastAsia"/>
          <w:spacing w:val="0"/>
        </w:rPr>
      </w:pPr>
      <w:r>
        <w:rPr>
          <w:rFonts w:hint="eastAsia" w:asciiTheme="majorEastAsia" w:hAnsiTheme="majorEastAsia" w:eastAsiaTheme="majorEastAsia"/>
          <w:spacing w:val="0"/>
        </w:rPr>
        <w:t>【地域生活支援促進事業</w:t>
      </w:r>
      <w:r>
        <w:rPr>
          <w:rFonts w:hint="default" w:asciiTheme="majorEastAsia" w:hAnsiTheme="majorEastAsia" w:eastAsiaTheme="majorEastAsia"/>
          <w:spacing w:val="0"/>
        </w:rPr>
        <w:t>(</w:t>
      </w:r>
      <w:r>
        <w:rPr>
          <w:rFonts w:hint="default" w:asciiTheme="majorEastAsia" w:hAnsiTheme="majorEastAsia" w:eastAsiaTheme="majorEastAsia"/>
          <w:spacing w:val="0"/>
        </w:rPr>
        <w:t>市町村事業</w:t>
      </w:r>
      <w:r>
        <w:rPr>
          <w:rFonts w:hint="default" w:asciiTheme="majorEastAsia" w:hAnsiTheme="majorEastAsia" w:eastAsiaTheme="majorEastAsia"/>
          <w:spacing w:val="0"/>
        </w:rPr>
        <w:t>)</w:t>
      </w:r>
      <w:r>
        <w:rPr>
          <w:rFonts w:hint="eastAsia" w:asciiTheme="majorEastAsia" w:hAnsiTheme="majorEastAsia" w:eastAsiaTheme="majorEastAsia"/>
          <w:spacing w:val="0"/>
        </w:rPr>
        <w:t>の実績及び見込み一覧】</w:t>
      </w:r>
    </w:p>
    <w:tbl>
      <w:tblPr>
        <w:tblStyle w:val="11"/>
        <w:tblW w:w="9077" w:type="dxa"/>
        <w:tblInd w:w="562" w:type="dxa"/>
        <w:tblLayout w:type="fixed"/>
        <w:tblCellMar>
          <w:left w:w="99" w:type="dxa"/>
          <w:right w:w="99" w:type="dxa"/>
        </w:tblCellMar>
        <w:tblLook w:firstRow="1" w:lastRow="0" w:firstColumn="1" w:lastColumn="0" w:noHBand="0" w:noVBand="1" w:val="04A0"/>
      </w:tblPr>
      <w:tblGrid>
        <w:gridCol w:w="278"/>
        <w:gridCol w:w="1910"/>
        <w:gridCol w:w="1216"/>
        <w:gridCol w:w="763"/>
        <w:gridCol w:w="816"/>
        <w:gridCol w:w="817"/>
        <w:gridCol w:w="817"/>
        <w:gridCol w:w="817"/>
        <w:gridCol w:w="817"/>
        <w:gridCol w:w="815"/>
        <w:gridCol w:w="11"/>
      </w:tblGrid>
      <w:tr>
        <w:trPr/>
        <w:tc>
          <w:tcPr>
            <w:tcW w:w="2188" w:type="dxa"/>
            <w:gridSpan w:val="2"/>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216"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763"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単位</w:t>
            </w:r>
          </w:p>
        </w:tc>
        <w:tc>
          <w:tcPr>
            <w:tcW w:w="2450"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実績値</w:t>
            </w:r>
          </w:p>
        </w:tc>
        <w:tc>
          <w:tcPr>
            <w:tcW w:w="2460" w:type="dxa"/>
            <w:gridSpan w:val="4"/>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計画値</w:t>
            </w:r>
          </w:p>
        </w:tc>
      </w:tr>
      <w:tr>
        <w:trPr/>
        <w:tc>
          <w:tcPr>
            <w:tcW w:w="2188" w:type="dxa"/>
            <w:gridSpan w:val="2"/>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216"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763"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pacing w:val="-6"/>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３年度</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４年度</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５年度</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６</w:t>
            </w:r>
            <w:r>
              <w:rPr>
                <w:rFonts w:hint="default" w:asciiTheme="minorEastAsia" w:hAnsiTheme="minorEastAsia" w:eastAsiaTheme="minorEastAsia"/>
                <w:sz w:val="20"/>
              </w:rPr>
              <w:t>年度</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７</w:t>
            </w:r>
            <w:r>
              <w:rPr>
                <w:rFonts w:hint="default" w:asciiTheme="minorEastAsia" w:hAnsiTheme="minorEastAsia" w:eastAsiaTheme="minorEastAsia"/>
                <w:sz w:val="20"/>
              </w:rPr>
              <w:t>年度</w:t>
            </w:r>
          </w:p>
        </w:tc>
        <w:tc>
          <w:tcPr>
            <w:tcW w:w="82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８</w:t>
            </w:r>
            <w:r>
              <w:rPr>
                <w:rFonts w:hint="default" w:asciiTheme="minorEastAsia" w:hAnsiTheme="minorEastAsia" w:eastAsiaTheme="minorEastAsia"/>
                <w:sz w:val="20"/>
              </w:rPr>
              <w:t>年度</w:t>
            </w:r>
          </w:p>
        </w:tc>
      </w:tr>
      <w:tr>
        <w:trPr>
          <w:gridAfter w:val="1"/>
          <w:wAfter w:w="11" w:type="dxa"/>
          <w:trHeight w:val="240" w:hRule="atLeast"/>
        </w:trPr>
        <w:tc>
          <w:tcPr>
            <w:tcW w:w="4167" w:type="dxa"/>
            <w:gridSpan w:val="4"/>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障害者虐待防止対策支援事業</w:t>
            </w:r>
          </w:p>
        </w:tc>
        <w:tc>
          <w:tcPr>
            <w:tcW w:w="816"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5" w:type="dxa"/>
            <w:tcBorders>
              <w:top w:val="nil"/>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r>
      <w:tr>
        <w:trPr>
          <w:gridAfter w:val="1"/>
          <w:wAfter w:w="11" w:type="dxa"/>
          <w:trHeight w:val="240" w:hRule="atLeast"/>
        </w:trPr>
        <w:tc>
          <w:tcPr>
            <w:tcW w:w="278"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bottom"/>
          </w:tcPr>
          <w:p>
            <w:pPr>
              <w:pStyle w:val="0"/>
              <w:spacing w:line="0" w:lineRule="atLeast"/>
              <w:rPr>
                <w:rFonts w:hint="default" w:asciiTheme="minorEastAsia" w:hAnsiTheme="minorEastAsia" w:eastAsiaTheme="minorEastAsia"/>
                <w:sz w:val="20"/>
              </w:rPr>
            </w:pPr>
          </w:p>
        </w:tc>
        <w:tc>
          <w:tcPr>
            <w:tcW w:w="19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w w:val="80"/>
                <w:sz w:val="20"/>
              </w:rPr>
            </w:pPr>
            <w:r>
              <w:rPr>
                <w:rFonts w:hint="eastAsia" w:asciiTheme="minorEastAsia" w:hAnsiTheme="minorEastAsia" w:eastAsiaTheme="minorEastAsia"/>
                <w:spacing w:val="-11"/>
                <w:w w:val="80"/>
                <w:sz w:val="20"/>
              </w:rPr>
              <w:t>障害者虐待防止及び権利擁護に関する普及・啓発事業</w:t>
            </w:r>
          </w:p>
        </w:tc>
        <w:tc>
          <w:tcPr>
            <w:tcW w:w="12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実施箇所数</w:t>
            </w:r>
          </w:p>
        </w:tc>
        <w:tc>
          <w:tcPr>
            <w:tcW w:w="76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箇所</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gridAfter w:val="1"/>
          <w:wAfter w:w="11" w:type="dxa"/>
          <w:trHeight w:val="240" w:hRule="atLeast"/>
        </w:trPr>
        <w:tc>
          <w:tcPr>
            <w:tcW w:w="218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成年後見制度普及啓発事業</w:t>
            </w:r>
          </w:p>
        </w:tc>
        <w:tc>
          <w:tcPr>
            <w:tcW w:w="12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実施箇所数</w:t>
            </w:r>
          </w:p>
        </w:tc>
        <w:tc>
          <w:tcPr>
            <w:tcW w:w="76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箇所</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gridAfter w:val="1"/>
          <w:wAfter w:w="11" w:type="dxa"/>
          <w:trHeight w:val="240" w:hRule="atLeast"/>
        </w:trPr>
        <w:tc>
          <w:tcPr>
            <w:tcW w:w="4167" w:type="dxa"/>
            <w:gridSpan w:val="4"/>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医療的ケア児等総合支援事業</w:t>
            </w:r>
          </w:p>
        </w:tc>
        <w:tc>
          <w:tcPr>
            <w:tcW w:w="816"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5" w:type="dxa"/>
            <w:tcBorders>
              <w:top w:val="nil"/>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r>
      <w:tr>
        <w:trPr>
          <w:gridAfter w:val="1"/>
          <w:wAfter w:w="11" w:type="dxa"/>
          <w:trHeight w:val="240" w:hRule="atLeast"/>
        </w:trPr>
        <w:tc>
          <w:tcPr>
            <w:tcW w:w="278"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bottom"/>
          </w:tcPr>
          <w:p>
            <w:pPr>
              <w:pStyle w:val="0"/>
              <w:spacing w:line="0" w:lineRule="atLeast"/>
              <w:rPr>
                <w:rFonts w:hint="default" w:asciiTheme="minorEastAsia" w:hAnsiTheme="minorEastAsia" w:eastAsiaTheme="minorEastAsia"/>
                <w:sz w:val="20"/>
              </w:rPr>
            </w:pPr>
          </w:p>
        </w:tc>
        <w:tc>
          <w:tcPr>
            <w:tcW w:w="19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医療的ケア児等の協議の場の設置</w:t>
            </w:r>
          </w:p>
        </w:tc>
        <w:tc>
          <w:tcPr>
            <w:tcW w:w="12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協議の場</w:t>
            </w:r>
          </w:p>
        </w:tc>
        <w:tc>
          <w:tcPr>
            <w:tcW w:w="76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箇所</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gridAfter w:val="1"/>
          <w:wAfter w:w="11" w:type="dxa"/>
          <w:trHeight w:val="240" w:hRule="atLeast"/>
        </w:trPr>
        <w:tc>
          <w:tcPr>
            <w:tcW w:w="278" w:type="dxa"/>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0" w:lineRule="atLeast"/>
              <w:rPr>
                <w:rFonts w:hint="default" w:asciiTheme="minorEastAsia" w:hAnsiTheme="minorEastAsia" w:eastAsiaTheme="minorEastAsia"/>
                <w:sz w:val="20"/>
              </w:rPr>
            </w:pPr>
          </w:p>
        </w:tc>
        <w:tc>
          <w:tcPr>
            <w:tcW w:w="191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6"/>
                <w:w w:val="95"/>
                <w:sz w:val="20"/>
              </w:rPr>
            </w:pPr>
            <w:r>
              <w:rPr>
                <w:rFonts w:hint="eastAsia" w:asciiTheme="minorEastAsia" w:hAnsiTheme="minorEastAsia" w:eastAsiaTheme="minorEastAsia"/>
                <w:spacing w:val="-6"/>
                <w:w w:val="95"/>
                <w:sz w:val="20"/>
              </w:rPr>
              <w:t>医療的ケア児等コーディネーターの配置</w:t>
            </w:r>
          </w:p>
        </w:tc>
        <w:tc>
          <w:tcPr>
            <w:tcW w:w="12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配置数</w:t>
            </w:r>
          </w:p>
        </w:tc>
        <w:tc>
          <w:tcPr>
            <w:tcW w:w="76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1</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gridAfter w:val="1"/>
          <w:wAfter w:w="11" w:type="dxa"/>
          <w:trHeight w:val="240" w:hRule="atLeast"/>
        </w:trPr>
        <w:tc>
          <w:tcPr>
            <w:tcW w:w="4167" w:type="dxa"/>
            <w:gridSpan w:val="4"/>
            <w:tcBorders>
              <w:top w:val="single" w:color="auto" w:sz="4" w:space="0"/>
              <w:left w:val="single" w:color="auto" w:sz="4" w:space="0"/>
              <w:bottom w:val="none" w:color="auto" w:sz="0" w:space="0"/>
              <w:right w:val="none" w:color="auto" w:sz="0"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発達障害児者及び家族等支援事業</w:t>
            </w:r>
          </w:p>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 xml:space="preserve"> </w:t>
            </w:r>
            <w:r>
              <w:rPr>
                <w:rFonts w:hint="eastAsia" w:asciiTheme="minorEastAsia" w:hAnsiTheme="minorEastAsia" w:eastAsiaTheme="minorEastAsia"/>
                <w:sz w:val="20"/>
              </w:rPr>
              <w:t>家族のスキル向上支援事業</w:t>
            </w:r>
          </w:p>
        </w:tc>
        <w:tc>
          <w:tcPr>
            <w:tcW w:w="816"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7" w:type="dxa"/>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c>
          <w:tcPr>
            <w:tcW w:w="815" w:type="dxa"/>
            <w:tcBorders>
              <w:top w:val="nil"/>
              <w:left w:val="none" w:color="auto" w:sz="0"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p>
        </w:tc>
      </w:tr>
      <w:tr>
        <w:trPr>
          <w:gridAfter w:val="1"/>
          <w:wAfter w:w="11" w:type="dxa"/>
          <w:trHeight w:val="384" w:hRule="atLeast"/>
        </w:trPr>
        <w:tc>
          <w:tcPr>
            <w:tcW w:w="278" w:type="dxa"/>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fill="auto"/>
            <w:vAlign w:val="bottom"/>
          </w:tcPr>
          <w:p>
            <w:pPr>
              <w:pStyle w:val="0"/>
              <w:spacing w:line="0" w:lineRule="atLeast"/>
              <w:rPr>
                <w:rFonts w:hint="default" w:asciiTheme="minorEastAsia" w:hAnsiTheme="minorEastAsia" w:eastAsiaTheme="minorEastAsia"/>
                <w:sz w:val="20"/>
              </w:rPr>
            </w:pPr>
          </w:p>
        </w:tc>
        <w:tc>
          <w:tcPr>
            <w:tcW w:w="1910"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11"/>
                <w:w w:val="90"/>
                <w:sz w:val="20"/>
              </w:rPr>
            </w:pPr>
            <w:r>
              <w:rPr>
                <w:rFonts w:hint="eastAsia" w:asciiTheme="minorEastAsia" w:hAnsiTheme="minorEastAsia" w:eastAsiaTheme="minorEastAsia"/>
                <w:spacing w:val="-11"/>
                <w:w w:val="90"/>
                <w:sz w:val="20"/>
              </w:rPr>
              <w:t>ペアレントプログラムやペアレントプログラム等の支援プログラム</w:t>
            </w:r>
          </w:p>
        </w:tc>
        <w:tc>
          <w:tcPr>
            <w:tcW w:w="12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開催数</w:t>
            </w:r>
          </w:p>
        </w:tc>
        <w:tc>
          <w:tcPr>
            <w:tcW w:w="76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回数</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1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r>
      <w:tr>
        <w:trPr>
          <w:gridAfter w:val="1"/>
          <w:wAfter w:w="11" w:type="dxa"/>
          <w:trHeight w:val="384" w:hRule="atLeast"/>
        </w:trPr>
        <w:tc>
          <w:tcPr>
            <w:tcW w:w="278" w:type="dxa"/>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0" w:lineRule="atLeast"/>
              <w:rPr>
                <w:rFonts w:hint="default" w:asciiTheme="minorEastAsia" w:hAnsiTheme="minorEastAsia" w:eastAsiaTheme="minorEastAsia"/>
                <w:sz w:val="20"/>
              </w:rPr>
            </w:pPr>
          </w:p>
        </w:tc>
        <w:tc>
          <w:tcPr>
            <w:tcW w:w="1910"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6"/>
                <w:sz w:val="20"/>
              </w:rPr>
            </w:pPr>
          </w:p>
        </w:tc>
        <w:tc>
          <w:tcPr>
            <w:tcW w:w="12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pacing w:val="-2"/>
                <w:sz w:val="20"/>
              </w:rPr>
            </w:pPr>
            <w:r>
              <w:rPr>
                <w:rFonts w:hint="eastAsia" w:asciiTheme="minorEastAsia" w:hAnsiTheme="minorEastAsia" w:eastAsiaTheme="minorEastAsia"/>
                <w:spacing w:val="-2"/>
                <w:sz w:val="20"/>
              </w:rPr>
              <w:t>実利用人数</w:t>
            </w:r>
          </w:p>
        </w:tc>
        <w:tc>
          <w:tcPr>
            <w:tcW w:w="76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年</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14</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r>
    </w:tbl>
    <w:p>
      <w:pPr>
        <w:pStyle w:val="251"/>
        <w:spacing w:line="240" w:lineRule="auto"/>
        <w:ind w:left="560" w:leftChars="250" w:firstLine="0" w:firstLineChars="0"/>
        <w:rPr>
          <w:rFonts w:hint="default"/>
        </w:rPr>
      </w:pPr>
      <w:r>
        <w:rPr>
          <w:rFonts w:hint="eastAsia"/>
        </w:rPr>
        <w:t>※令和５年度は、見込みの数値。</w:t>
      </w:r>
    </w:p>
    <w:p>
      <w:pPr>
        <w:pStyle w:val="251"/>
        <w:spacing w:line="240" w:lineRule="auto"/>
        <w:ind w:left="662" w:hanging="214" w:hangingChars="100"/>
        <w:rPr>
          <w:rFonts w:hint="default"/>
          <w:spacing w:val="0"/>
        </w:rPr>
      </w:pPr>
    </w:p>
    <w:p>
      <w:pPr>
        <w:pStyle w:val="251"/>
        <w:spacing w:line="240" w:lineRule="auto"/>
        <w:ind w:left="662" w:hanging="214" w:hangingChars="100"/>
        <w:rPr>
          <w:rFonts w:hint="default"/>
          <w:spacing w:val="0"/>
        </w:rPr>
      </w:pPr>
    </w:p>
    <w:p>
      <w:pPr>
        <w:pStyle w:val="251"/>
        <w:spacing w:line="240" w:lineRule="auto"/>
        <w:ind w:left="560" w:leftChars="250" w:firstLine="0" w:firstLineChars="0"/>
        <w:rPr>
          <w:rFonts w:hint="default"/>
          <w:spacing w:val="0"/>
        </w:rPr>
      </w:pPr>
      <w:r>
        <w:rPr>
          <w:rFonts w:hint="default"/>
          <w:spacing w:val="0"/>
        </w:rPr>
        <w:br w:type="page"/>
      </w:r>
    </w:p>
    <w:p>
      <w:pPr>
        <w:pStyle w:val="24"/>
        <w:rPr>
          <w:rFonts w:hint="default"/>
        </w:rPr>
      </w:pPr>
      <w:bookmarkStart w:id="339" w:name="_Toc158300434"/>
      <w:bookmarkStart w:id="340" w:name="_Toc59549982"/>
      <w:bookmarkStart w:id="341" w:name="_Toc67040253"/>
      <w:r>
        <w:rPr>
          <w:rFonts w:hint="eastAsia"/>
        </w:rPr>
        <w:t>第６章　第３期</w:t>
      </w:r>
      <w:r>
        <w:rPr>
          <w:rFonts w:hint="default"/>
        </w:rPr>
        <w:t>障</w:t>
      </w:r>
      <w:r>
        <w:rPr>
          <w:rFonts w:hint="eastAsia"/>
        </w:rPr>
        <w:t>がい児</w:t>
      </w:r>
      <w:r>
        <w:rPr>
          <w:rFonts w:hint="default"/>
        </w:rPr>
        <w:t>福祉計画</w:t>
      </w:r>
      <w:bookmarkEnd w:id="339"/>
      <w:bookmarkEnd w:id="340"/>
      <w:bookmarkEnd w:id="341"/>
    </w:p>
    <w:p>
      <w:pPr>
        <w:pStyle w:val="241"/>
        <w:spacing w:after="92" w:afterLines="0" w:afterAutospacing="0"/>
        <w:rPr>
          <w:rFonts w:hint="default"/>
        </w:rPr>
      </w:pPr>
      <w:bookmarkStart w:id="342" w:name="_Toc158300435"/>
      <w:bookmarkStart w:id="343" w:name="_Toc59549983"/>
      <w:bookmarkStart w:id="344" w:name="_Toc67040254"/>
      <w:r>
        <w:rPr>
          <w:rFonts w:hint="default"/>
        </w:rPr>
        <w:t>１．成果目標</w:t>
      </w:r>
      <w:bookmarkEnd w:id="342"/>
      <w:bookmarkEnd w:id="343"/>
      <w:bookmarkEnd w:id="344"/>
    </w:p>
    <w:p>
      <w:pPr>
        <w:pStyle w:val="242"/>
        <w:spacing w:after="37" w:afterLines="0" w:afterAutospacing="0"/>
        <w:ind w:left="224"/>
        <w:rPr>
          <w:rFonts w:hint="default"/>
        </w:rPr>
      </w:pPr>
      <w:bookmarkStart w:id="345" w:name="_Toc158300436"/>
      <w:bookmarkStart w:id="346" w:name="_Toc59549984"/>
      <w:bookmarkStart w:id="347" w:name="_Toc67040255"/>
      <w:r>
        <w:rPr>
          <w:rFonts w:hint="default"/>
        </w:rPr>
        <w:t>(</w:t>
      </w:r>
      <w:r>
        <w:rPr>
          <w:rFonts w:hint="eastAsia"/>
        </w:rPr>
        <w:t>１</w:t>
      </w:r>
      <w:r>
        <w:rPr>
          <w:rFonts w:hint="default"/>
        </w:rPr>
        <w:t>)</w:t>
      </w:r>
      <w:r>
        <w:rPr>
          <w:rFonts w:hint="eastAsia"/>
        </w:rPr>
        <w:t>障がい児福祉計画に係る障がい児の子ども・子育て支援等の提供体制の整備</w:t>
      </w:r>
      <w:bookmarkEnd w:id="345"/>
      <w:bookmarkEnd w:id="346"/>
      <w:bookmarkEnd w:id="347"/>
    </w:p>
    <w:p>
      <w:pPr>
        <w:pStyle w:val="245"/>
        <w:spacing w:line="0" w:lineRule="atLeast"/>
        <w:ind w:left="672" w:firstLine="204"/>
        <w:rPr>
          <w:rFonts w:hint="default"/>
          <w:sz w:val="20"/>
        </w:rPr>
      </w:pPr>
    </w:p>
    <w:p>
      <w:pPr>
        <w:pStyle w:val="251"/>
        <w:spacing w:line="240" w:lineRule="auto"/>
        <w:ind w:left="417" w:leftChars="186" w:firstLine="0" w:firstLineChars="0"/>
        <w:rPr>
          <w:rFonts w:hint="default" w:asciiTheme="majorEastAsia" w:hAnsiTheme="majorEastAsia" w:eastAsiaTheme="majorEastAsia"/>
          <w:spacing w:val="0"/>
        </w:rPr>
      </w:pPr>
      <w:r>
        <w:rPr>
          <w:rFonts w:hint="eastAsia" w:asciiTheme="majorEastAsia" w:hAnsiTheme="majorEastAsia" w:eastAsiaTheme="majorEastAsia"/>
          <w:spacing w:val="0"/>
        </w:rPr>
        <w:t>＜障害児福祉計画に係る障害児の子ども・子育て支援等の提供体制の整備＞</w:t>
      </w:r>
    </w:p>
    <w:tbl>
      <w:tblPr>
        <w:tblStyle w:val="11"/>
        <w:tblW w:w="9213" w:type="dxa"/>
        <w:tblInd w:w="416" w:type="dxa"/>
        <w:tblLayout w:type="fixed"/>
        <w:tblCellMar>
          <w:left w:w="99" w:type="dxa"/>
          <w:right w:w="99" w:type="dxa"/>
        </w:tblCellMar>
        <w:tblLook w:firstRow="1" w:lastRow="0" w:firstColumn="1" w:lastColumn="0" w:noHBand="0" w:noVBand="1" w:val="04A0"/>
      </w:tblPr>
      <w:tblGrid>
        <w:gridCol w:w="2840"/>
        <w:gridCol w:w="1559"/>
        <w:gridCol w:w="1604"/>
        <w:gridCol w:w="1605"/>
        <w:gridCol w:w="1605"/>
      </w:tblGrid>
      <w:tr>
        <w:trPr/>
        <w:tc>
          <w:tcPr>
            <w:tcW w:w="284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事　項</w:t>
            </w:r>
          </w:p>
        </w:tc>
        <w:tc>
          <w:tcPr>
            <w:tcW w:w="1559"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令和４年度末の実績（人）</w:t>
            </w:r>
          </w:p>
        </w:tc>
        <w:tc>
          <w:tcPr>
            <w:tcW w:w="4814"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利用ニーズを踏まえた必要な見込み量</w:t>
            </w:r>
            <w:r>
              <w:rPr>
                <w:rFonts w:hint="default" w:asciiTheme="minorEastAsia" w:hAnsiTheme="minorEastAsia" w:eastAsiaTheme="minorEastAsia"/>
                <w:sz w:val="20"/>
              </w:rPr>
              <w:t>(</w:t>
            </w:r>
            <w:r>
              <w:rPr>
                <w:rFonts w:hint="default" w:asciiTheme="minorEastAsia" w:hAnsiTheme="minorEastAsia" w:eastAsiaTheme="minorEastAsia"/>
                <w:sz w:val="20"/>
              </w:rPr>
              <w:t>人</w:t>
            </w:r>
            <w:r>
              <w:rPr>
                <w:rFonts w:hint="default" w:asciiTheme="minorEastAsia" w:hAnsiTheme="minorEastAsia" w:eastAsiaTheme="minorEastAsia"/>
                <w:sz w:val="20"/>
              </w:rPr>
              <w:t>)</w:t>
            </w:r>
          </w:p>
        </w:tc>
      </w:tr>
      <w:tr>
        <w:trPr/>
        <w:tc>
          <w:tcPr>
            <w:tcW w:w="2840" w:type="dxa"/>
            <w:vMerge w:val="continue"/>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1559" w:type="dxa"/>
            <w:vMerge w:val="continue"/>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p>
        </w:tc>
        <w:tc>
          <w:tcPr>
            <w:tcW w:w="16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令和６年度</w:t>
            </w:r>
          </w:p>
        </w:tc>
        <w:tc>
          <w:tcPr>
            <w:tcW w:w="160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令和７年度</w:t>
            </w:r>
          </w:p>
        </w:tc>
        <w:tc>
          <w:tcPr>
            <w:tcW w:w="160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令和８年度</w:t>
            </w:r>
          </w:p>
        </w:tc>
      </w:tr>
      <w:tr>
        <w:trPr/>
        <w:tc>
          <w:tcPr>
            <w:tcW w:w="2840"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保育所</w:t>
            </w:r>
          </w:p>
        </w:tc>
        <w:tc>
          <w:tcPr>
            <w:tcW w:w="155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43</w:t>
            </w:r>
          </w:p>
        </w:tc>
        <w:tc>
          <w:tcPr>
            <w:tcW w:w="1604"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43</w:t>
            </w:r>
          </w:p>
        </w:tc>
        <w:tc>
          <w:tcPr>
            <w:tcW w:w="1605"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43</w:t>
            </w:r>
          </w:p>
        </w:tc>
        <w:tc>
          <w:tcPr>
            <w:tcW w:w="1605"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43</w:t>
            </w:r>
          </w:p>
        </w:tc>
      </w:tr>
      <w:tr>
        <w:trPr/>
        <w:tc>
          <w:tcPr>
            <w:tcW w:w="28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認定こども園</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1</w:t>
            </w:r>
          </w:p>
        </w:tc>
        <w:tc>
          <w:tcPr>
            <w:tcW w:w="16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1</w:t>
            </w:r>
          </w:p>
        </w:tc>
        <w:tc>
          <w:tcPr>
            <w:tcW w:w="1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1</w:t>
            </w:r>
          </w:p>
        </w:tc>
        <w:tc>
          <w:tcPr>
            <w:tcW w:w="1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1</w:t>
            </w:r>
          </w:p>
        </w:tc>
      </w:tr>
      <w:tr>
        <w:trPr/>
        <w:tc>
          <w:tcPr>
            <w:tcW w:w="28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放課後児童健全育成事業</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27</w:t>
            </w:r>
          </w:p>
        </w:tc>
        <w:tc>
          <w:tcPr>
            <w:tcW w:w="16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27</w:t>
            </w:r>
          </w:p>
        </w:tc>
        <w:tc>
          <w:tcPr>
            <w:tcW w:w="1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27</w:t>
            </w:r>
          </w:p>
        </w:tc>
        <w:tc>
          <w:tcPr>
            <w:tcW w:w="1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27</w:t>
            </w:r>
          </w:p>
        </w:tc>
      </w:tr>
      <w:tr>
        <w:trPr/>
        <w:tc>
          <w:tcPr>
            <w:tcW w:w="28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幼稚園</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24</w:t>
            </w:r>
          </w:p>
        </w:tc>
        <w:tc>
          <w:tcPr>
            <w:tcW w:w="16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23</w:t>
            </w:r>
          </w:p>
        </w:tc>
        <w:tc>
          <w:tcPr>
            <w:tcW w:w="1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25</w:t>
            </w:r>
          </w:p>
        </w:tc>
        <w:tc>
          <w:tcPr>
            <w:tcW w:w="1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jc w:val="right"/>
              <w:rPr>
                <w:rFonts w:hint="default"/>
                <w:sz w:val="20"/>
              </w:rPr>
            </w:pPr>
            <w:r>
              <w:rPr>
                <w:rFonts w:hint="default"/>
                <w:sz w:val="20"/>
              </w:rPr>
              <w:t>24</w:t>
            </w:r>
          </w:p>
        </w:tc>
      </w:tr>
    </w:tbl>
    <w:p>
      <w:pPr>
        <w:pStyle w:val="251"/>
        <w:spacing w:line="240" w:lineRule="auto"/>
        <w:ind w:left="1009" w:leftChars="450" w:firstLine="214"/>
        <w:rPr>
          <w:rFonts w:hint="default"/>
          <w:spacing w:val="0"/>
        </w:rPr>
      </w:pPr>
    </w:p>
    <w:p>
      <w:pPr>
        <w:pStyle w:val="242"/>
        <w:spacing w:after="37" w:afterLines="0" w:afterAutospacing="0"/>
        <w:ind w:left="224"/>
        <w:rPr>
          <w:rFonts w:hint="default"/>
        </w:rPr>
      </w:pPr>
      <w:bookmarkStart w:id="348" w:name="_Toc158300437"/>
      <w:bookmarkStart w:id="349" w:name="_Toc59549985"/>
      <w:bookmarkStart w:id="350" w:name="_Toc67040256"/>
      <w:r>
        <w:rPr>
          <w:rFonts w:hint="default"/>
        </w:rPr>
        <w:t>(</w:t>
      </w:r>
      <w:r>
        <w:rPr>
          <w:rFonts w:hint="eastAsia"/>
        </w:rPr>
        <w:t>２</w:t>
      </w:r>
      <w:r>
        <w:rPr>
          <w:rFonts w:hint="default"/>
        </w:rPr>
        <w:t>)</w:t>
      </w:r>
      <w:r>
        <w:rPr>
          <w:rFonts w:hint="eastAsia"/>
        </w:rPr>
        <w:t>障がい児支援の提供体制の整備等</w:t>
      </w:r>
      <w:bookmarkEnd w:id="348"/>
      <w:bookmarkEnd w:id="349"/>
      <w:bookmarkEnd w:id="350"/>
    </w:p>
    <w:p>
      <w:pPr>
        <w:pStyle w:val="243"/>
        <w:ind w:left="784" w:hanging="336"/>
        <w:rPr>
          <w:rFonts w:hint="default"/>
        </w:rPr>
      </w:pPr>
      <w:r>
        <w:rPr>
          <w:rFonts w:hint="eastAsia"/>
        </w:rPr>
        <w:t>①</w:t>
      </w:r>
      <w:r>
        <w:rPr>
          <w:rFonts w:hint="eastAsia"/>
        </w:rPr>
        <w:t xml:space="preserve"> </w:t>
      </w:r>
      <w:r>
        <w:rPr>
          <w:rFonts w:hint="eastAsia"/>
        </w:rPr>
        <w:t>重層的な地域支援体制の構築を目指すための児童発達支援センターの設置</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1843"/>
        <w:gridCol w:w="1134"/>
        <w:gridCol w:w="1276"/>
        <w:gridCol w:w="4677"/>
      </w:tblGrid>
      <w:tr>
        <w:trPr/>
        <w:tc>
          <w:tcPr>
            <w:tcW w:w="184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1134"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設置方法</w:t>
            </w:r>
          </w:p>
        </w:tc>
        <w:tc>
          <w:tcPr>
            <w:tcW w:w="1276"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設置時期</w:t>
            </w:r>
          </w:p>
        </w:tc>
        <w:tc>
          <w:tcPr>
            <w:tcW w:w="4677"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184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児童発達支援センターの設置</w:t>
            </w:r>
          </w:p>
        </w:tc>
        <w:tc>
          <w:tcPr>
            <w:tcW w:w="1134"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単独設置</w:t>
            </w:r>
          </w:p>
        </w:tc>
        <w:tc>
          <w:tcPr>
            <w:tcW w:w="1276"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令和２年度</w:t>
            </w:r>
          </w:p>
        </w:tc>
        <w:tc>
          <w:tcPr>
            <w:tcW w:w="467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4"/>
                <w:w w:val="95"/>
                <w:sz w:val="20"/>
              </w:rPr>
            </w:pPr>
            <w:r>
              <w:rPr>
                <w:rFonts w:hint="eastAsia" w:asciiTheme="minorEastAsia" w:hAnsiTheme="minorEastAsia" w:eastAsiaTheme="minorEastAsia"/>
                <w:spacing w:val="-4"/>
                <w:w w:val="95"/>
                <w:sz w:val="20"/>
              </w:rPr>
              <w:t>国指針：令和８年度末までに、各市町村に少なくとも一カ所以上設置することを基本とする。なお、市町村単独での設置が困難な場合には、圏域での設置であっても差し支えない。</w:t>
            </w:r>
          </w:p>
          <w:p>
            <w:pPr>
              <w:pStyle w:val="0"/>
              <w:autoSpaceDE w:val="0"/>
              <w:autoSpaceDN w:val="0"/>
              <w:spacing w:line="0" w:lineRule="atLeast"/>
              <w:rPr>
                <w:rFonts w:hint="default" w:asciiTheme="minorEastAsia" w:hAnsiTheme="minorEastAsia" w:eastAsiaTheme="minorEastAsia"/>
                <w:spacing w:val="-4"/>
                <w:w w:val="95"/>
                <w:sz w:val="20"/>
              </w:rPr>
            </w:pPr>
            <w:r>
              <w:rPr>
                <w:rFonts w:hint="eastAsia" w:asciiTheme="minorEastAsia" w:hAnsiTheme="minorEastAsia" w:eastAsiaTheme="minorEastAsia"/>
                <w:spacing w:val="-4"/>
                <w:w w:val="95"/>
                <w:sz w:val="20"/>
              </w:rPr>
              <w:t>地域の実情により児童発達支援センターを未設置の市町村においては、障害福祉主管部局等が中心となって、関係機関の連携の下で児童発達支援センターの中核的な支援機能と同等の機能を有する体制を地域において整備することが必要である。</w:t>
            </w:r>
          </w:p>
        </w:tc>
      </w:tr>
    </w:tbl>
    <w:p>
      <w:pPr>
        <w:pStyle w:val="245"/>
        <w:spacing w:line="0" w:lineRule="atLeast"/>
        <w:ind w:left="672" w:firstLine="204"/>
        <w:rPr>
          <w:rFonts w:hint="default"/>
          <w:sz w:val="20"/>
        </w:rPr>
      </w:pPr>
    </w:p>
    <w:tbl>
      <w:tblPr>
        <w:tblStyle w:val="11"/>
        <w:tblW w:w="8930" w:type="dxa"/>
        <w:tblInd w:w="704"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Look w:firstRow="1" w:lastRow="0" w:firstColumn="1" w:lastColumn="0" w:noHBand="0" w:noVBand="1" w:val="04A0"/>
      </w:tblPr>
      <w:tblGrid>
        <w:gridCol w:w="8930"/>
      </w:tblGrid>
      <w:tr>
        <w:trPr/>
        <w:tc>
          <w:tcPr>
            <w:tcW w:w="8930" w:type="dxa"/>
            <w:shd w:val="clear" w:color="auto" w:fill="auto"/>
            <w:tcMar>
              <w:top w:w="57" w:type="dxa"/>
              <w:bottom w:w="57" w:type="dxa"/>
            </w:tcMar>
            <w:vAlign w:val="top"/>
          </w:tcPr>
          <w:p>
            <w:pPr>
              <w:pStyle w:val="0"/>
              <w:rPr>
                <w:rFonts w:hint="default"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eastAsiaTheme="minorEastAsia"/>
              </w:rPr>
              <w:t xml:space="preserve"> </w:t>
            </w:r>
            <w:r>
              <w:rPr>
                <w:rFonts w:hint="eastAsia" w:asciiTheme="minorEastAsia" w:hAnsiTheme="minorEastAsia" w:eastAsiaTheme="minorEastAsia"/>
              </w:rPr>
              <w:t>具体的な方法</w:t>
            </w:r>
          </w:p>
          <w:p>
            <w:pPr>
              <w:pStyle w:val="0"/>
              <w:ind w:left="224" w:leftChars="100"/>
              <w:rPr>
                <w:rFonts w:hint="default" w:asciiTheme="minorEastAsia" w:hAnsiTheme="minorEastAsia" w:eastAsiaTheme="minorEastAsia"/>
              </w:rPr>
            </w:pPr>
            <w:r>
              <w:rPr>
                <w:rFonts w:hint="eastAsia" w:asciiTheme="minorEastAsia" w:hAnsiTheme="minorEastAsia" w:eastAsiaTheme="minorEastAsia"/>
              </w:rPr>
              <w:t>町内に事業者による児童発達支援センターが</w:t>
            </w:r>
            <w:r>
              <w:rPr>
                <w:rFonts w:hint="default" w:asciiTheme="minorEastAsia" w:hAnsiTheme="minorEastAsia" w:eastAsiaTheme="minorEastAsia"/>
              </w:rPr>
              <w:t>令和２年度に設置され</w:t>
            </w:r>
            <w:r>
              <w:rPr>
                <w:rFonts w:hint="eastAsia" w:asciiTheme="minorEastAsia" w:hAnsiTheme="minorEastAsia" w:eastAsiaTheme="minorEastAsia"/>
              </w:rPr>
              <w:t>まし</w:t>
            </w:r>
            <w:r>
              <w:rPr>
                <w:rFonts w:hint="default" w:asciiTheme="minorEastAsia" w:hAnsiTheme="minorEastAsia" w:eastAsiaTheme="minorEastAsia"/>
              </w:rPr>
              <w:t>た。</w:t>
            </w:r>
          </w:p>
        </w:tc>
      </w:tr>
    </w:tbl>
    <w:p>
      <w:pPr>
        <w:pStyle w:val="245"/>
        <w:spacing w:line="0" w:lineRule="atLeast"/>
        <w:ind w:left="672" w:firstLine="64"/>
        <w:rPr>
          <w:rFonts w:hint="default"/>
          <w:sz w:val="6"/>
        </w:rPr>
      </w:pPr>
    </w:p>
    <w:p>
      <w:pPr>
        <w:pStyle w:val="245"/>
        <w:spacing w:line="240" w:lineRule="exact"/>
        <w:ind w:left="672" w:firstLine="224"/>
        <w:rPr>
          <w:rFonts w:hint="default"/>
        </w:rPr>
      </w:pPr>
    </w:p>
    <w:p>
      <w:pPr>
        <w:pStyle w:val="243"/>
        <w:ind w:left="784" w:hanging="336"/>
        <w:rPr>
          <w:rFonts w:hint="default"/>
        </w:rPr>
      </w:pPr>
      <w:r>
        <w:rPr>
          <w:rFonts w:hint="eastAsia"/>
        </w:rPr>
        <w:t>②</w:t>
      </w:r>
      <w:r>
        <w:rPr>
          <w:rFonts w:hint="eastAsia"/>
        </w:rPr>
        <w:t xml:space="preserve"> </w:t>
      </w:r>
      <w:r>
        <w:rPr>
          <w:rFonts w:hint="eastAsia"/>
        </w:rPr>
        <w:t>保育所等訪問支援等を活用した障害児の地域社会への参加・包容</w:t>
      </w:r>
      <w:r>
        <w:rPr>
          <w:rFonts w:hint="default"/>
        </w:rPr>
        <w:t>(</w:t>
      </w:r>
      <w:r>
        <w:rPr>
          <w:rFonts w:hint="eastAsia"/>
        </w:rPr>
        <w:t>インクルージョン</w:t>
      </w:r>
      <w:r>
        <w:rPr>
          <w:rFonts w:hint="default"/>
        </w:rPr>
        <w:t>)</w:t>
      </w:r>
      <w:r>
        <w:rPr>
          <w:rFonts w:hint="eastAsia"/>
        </w:rPr>
        <w:t>を推進する体制の構築</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2693"/>
        <w:gridCol w:w="1276"/>
        <w:gridCol w:w="4961"/>
      </w:tblGrid>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1276"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構築時期</w:t>
            </w:r>
          </w:p>
        </w:tc>
        <w:tc>
          <w:tcPr>
            <w:tcW w:w="4961"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障害児の地域社会への参加・包容</w:t>
            </w:r>
            <w:r>
              <w:rPr>
                <w:rFonts w:hint="default" w:asciiTheme="minorEastAsia" w:hAnsiTheme="minorEastAsia" w:eastAsiaTheme="minorEastAsia"/>
                <w:sz w:val="20"/>
              </w:rPr>
              <w:t>(</w:t>
            </w:r>
            <w:r>
              <w:rPr>
                <w:rFonts w:hint="eastAsia" w:asciiTheme="minorEastAsia" w:hAnsiTheme="minorEastAsia" w:eastAsiaTheme="minorEastAsia"/>
                <w:sz w:val="20"/>
              </w:rPr>
              <w:t>インクルージョン</w:t>
            </w:r>
            <w:r>
              <w:rPr>
                <w:rFonts w:hint="default" w:asciiTheme="minorEastAsia" w:hAnsiTheme="minorEastAsia" w:eastAsiaTheme="minorEastAsia"/>
                <w:sz w:val="20"/>
              </w:rPr>
              <w:t>)</w:t>
            </w:r>
            <w:r>
              <w:rPr>
                <w:rFonts w:hint="eastAsia" w:asciiTheme="minorEastAsia" w:hAnsiTheme="minorEastAsia" w:eastAsiaTheme="minorEastAsia"/>
                <w:sz w:val="20"/>
              </w:rPr>
              <w:t>を推進する体制の構築</w:t>
            </w:r>
          </w:p>
        </w:tc>
        <w:tc>
          <w:tcPr>
            <w:tcW w:w="1276"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令和３年度</w:t>
            </w:r>
          </w:p>
        </w:tc>
        <w:tc>
          <w:tcPr>
            <w:tcW w:w="4961"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4"/>
                <w:w w:val="95"/>
                <w:sz w:val="20"/>
              </w:rPr>
            </w:pPr>
            <w:r>
              <w:rPr>
                <w:rFonts w:hint="eastAsia" w:asciiTheme="minorEastAsia" w:hAnsiTheme="minorEastAsia" w:eastAsiaTheme="minorEastAsia"/>
                <w:spacing w:val="-4"/>
                <w:w w:val="95"/>
                <w:sz w:val="20"/>
              </w:rPr>
              <w:t>国指針：各市町村又は各圏域に設置された児童発達支援センターや地域の障害児通所支援事業所等が保育所等訪問支援等を活用しながら、令和８年度末までに、全ての市町村において、障害児の地域社会への参加・包容</w:t>
            </w:r>
            <w:r>
              <w:rPr>
                <w:rFonts w:hint="default" w:asciiTheme="minorEastAsia" w:hAnsiTheme="minorEastAsia" w:eastAsiaTheme="minorEastAsia"/>
                <w:spacing w:val="-4"/>
                <w:w w:val="95"/>
                <w:sz w:val="20"/>
              </w:rPr>
              <w:t>(</w:t>
            </w:r>
            <w:r>
              <w:rPr>
                <w:rFonts w:hint="eastAsia" w:asciiTheme="minorEastAsia" w:hAnsiTheme="minorEastAsia" w:eastAsiaTheme="minorEastAsia"/>
                <w:spacing w:val="-4"/>
                <w:w w:val="95"/>
                <w:sz w:val="20"/>
              </w:rPr>
              <w:t>インクルージョン</w:t>
            </w:r>
            <w:r>
              <w:rPr>
                <w:rFonts w:hint="default" w:asciiTheme="minorEastAsia" w:hAnsiTheme="minorEastAsia" w:eastAsiaTheme="minorEastAsia"/>
                <w:spacing w:val="-4"/>
                <w:w w:val="95"/>
                <w:sz w:val="20"/>
              </w:rPr>
              <w:t>)</w:t>
            </w:r>
            <w:r>
              <w:rPr>
                <w:rFonts w:hint="eastAsia" w:asciiTheme="minorEastAsia" w:hAnsiTheme="minorEastAsia" w:eastAsiaTheme="minorEastAsia"/>
                <w:spacing w:val="-4"/>
                <w:w w:val="95"/>
                <w:sz w:val="20"/>
              </w:rPr>
              <w:t>を推進する体制を構築することを基本とする。</w:t>
            </w:r>
          </w:p>
        </w:tc>
      </w:tr>
    </w:tbl>
    <w:p>
      <w:pPr>
        <w:pStyle w:val="245"/>
        <w:spacing w:line="0" w:lineRule="atLeast"/>
        <w:ind w:left="672" w:firstLine="204"/>
        <w:rPr>
          <w:rFonts w:hint="default"/>
          <w:sz w:val="20"/>
        </w:rPr>
      </w:pPr>
    </w:p>
    <w:tbl>
      <w:tblPr>
        <w:tblStyle w:val="11"/>
        <w:tblW w:w="8930" w:type="dxa"/>
        <w:tblInd w:w="704"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Look w:firstRow="1" w:lastRow="0" w:firstColumn="1" w:lastColumn="0" w:noHBand="0" w:noVBand="1" w:val="04A0"/>
      </w:tblPr>
      <w:tblGrid>
        <w:gridCol w:w="8930"/>
      </w:tblGrid>
      <w:tr>
        <w:trPr/>
        <w:tc>
          <w:tcPr>
            <w:tcW w:w="8930" w:type="dxa"/>
            <w:shd w:val="clear" w:color="auto" w:fill="auto"/>
            <w:tcMar>
              <w:top w:w="57" w:type="dxa"/>
              <w:bottom w:w="57" w:type="dxa"/>
            </w:tcMar>
            <w:vAlign w:val="top"/>
          </w:tcPr>
          <w:p>
            <w:pPr>
              <w:pStyle w:val="0"/>
              <w:rPr>
                <w:rFonts w:hint="default"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eastAsiaTheme="minorEastAsia"/>
              </w:rPr>
              <w:t xml:space="preserve"> </w:t>
            </w:r>
            <w:r>
              <w:rPr>
                <w:rFonts w:hint="eastAsia" w:asciiTheme="minorEastAsia" w:hAnsiTheme="minorEastAsia" w:eastAsiaTheme="minorEastAsia"/>
              </w:rPr>
              <w:t>具体的な構築方法</w:t>
            </w:r>
          </w:p>
          <w:p>
            <w:pPr>
              <w:pStyle w:val="0"/>
              <w:ind w:left="224" w:leftChars="100"/>
              <w:rPr>
                <w:rFonts w:hint="default" w:asciiTheme="minorEastAsia" w:hAnsiTheme="minorEastAsia" w:eastAsiaTheme="minorEastAsia"/>
              </w:rPr>
            </w:pPr>
            <w:r>
              <w:rPr>
                <w:rFonts w:hint="eastAsia" w:asciiTheme="minorEastAsia" w:hAnsiTheme="minorEastAsia" w:eastAsiaTheme="minorEastAsia"/>
              </w:rPr>
              <w:t>保育所等訪問支援を利用できる体制整備はできています。</w:t>
            </w:r>
          </w:p>
        </w:tc>
      </w:tr>
    </w:tbl>
    <w:p>
      <w:pPr>
        <w:pStyle w:val="245"/>
        <w:spacing w:line="240" w:lineRule="exact"/>
        <w:ind w:left="672" w:firstLine="224"/>
        <w:rPr>
          <w:rFonts w:hint="default"/>
        </w:rPr>
      </w:pPr>
    </w:p>
    <w:p>
      <w:pPr>
        <w:pStyle w:val="243"/>
        <w:ind w:left="784" w:hanging="336"/>
        <w:rPr>
          <w:rFonts w:hint="default"/>
          <w:spacing w:val="-2"/>
        </w:rPr>
      </w:pPr>
      <w:r>
        <w:rPr>
          <w:rFonts w:hint="eastAsia"/>
        </w:rPr>
        <w:t>③</w:t>
      </w:r>
      <w:r>
        <w:rPr>
          <w:rFonts w:hint="eastAsia"/>
        </w:rPr>
        <w:t xml:space="preserve"> </w:t>
      </w:r>
      <w:r>
        <w:rPr>
          <w:rFonts w:hint="eastAsia"/>
          <w:spacing w:val="-4"/>
          <w:w w:val="98"/>
        </w:rPr>
        <w:t>主に重症心身障害児を支援する児童発達支援事業所及び放課後等デイサービス事業所の確保</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2693"/>
        <w:gridCol w:w="1134"/>
        <w:gridCol w:w="1134"/>
        <w:gridCol w:w="3969"/>
      </w:tblGrid>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1134"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確保方法</w:t>
            </w:r>
          </w:p>
        </w:tc>
        <w:tc>
          <w:tcPr>
            <w:tcW w:w="1134"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確保時期</w:t>
            </w:r>
          </w:p>
        </w:tc>
        <w:tc>
          <w:tcPr>
            <w:tcW w:w="3969"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2693"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主に重症心身障害児を支援する児童発達支援事業所及び放課後等デイサービス事業所の確保</w:t>
            </w:r>
          </w:p>
        </w:tc>
        <w:tc>
          <w:tcPr>
            <w:tcW w:w="1134"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単独確保</w:t>
            </w:r>
          </w:p>
        </w:tc>
        <w:tc>
          <w:tcPr>
            <w:tcW w:w="1134"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平成</w:t>
            </w:r>
            <w:r>
              <w:rPr>
                <w:rFonts w:hint="eastAsia" w:asciiTheme="minorEastAsia" w:hAnsiTheme="minorEastAsia" w:eastAsiaTheme="minorEastAsia"/>
                <w:sz w:val="20"/>
              </w:rPr>
              <w:t>30</w:t>
            </w:r>
          </w:p>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年度</w:t>
            </w:r>
          </w:p>
        </w:tc>
        <w:tc>
          <w:tcPr>
            <w:tcW w:w="3969"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4"/>
                <w:w w:val="98"/>
                <w:sz w:val="20"/>
              </w:rPr>
            </w:pPr>
            <w:r>
              <w:rPr>
                <w:rFonts w:hint="eastAsia" w:asciiTheme="minorEastAsia" w:hAnsiTheme="minorEastAsia" w:eastAsiaTheme="minorEastAsia"/>
                <w:spacing w:val="-4"/>
                <w:w w:val="98"/>
                <w:sz w:val="20"/>
              </w:rPr>
              <w:t>国指針：令和８年度末までに、各市町村に少なくとも一カ所以上確保することを基本とする。なお、市町村単独での確保が困難な場合には、圏域での確保であっても差し支えない。</w:t>
            </w:r>
          </w:p>
        </w:tc>
      </w:tr>
    </w:tbl>
    <w:p>
      <w:pPr>
        <w:pStyle w:val="245"/>
        <w:spacing w:line="0" w:lineRule="atLeast"/>
        <w:ind w:left="672" w:firstLine="204"/>
        <w:rPr>
          <w:rFonts w:hint="default"/>
          <w:sz w:val="20"/>
        </w:rPr>
      </w:pPr>
    </w:p>
    <w:tbl>
      <w:tblPr>
        <w:tblStyle w:val="11"/>
        <w:tblW w:w="8930" w:type="dxa"/>
        <w:tblInd w:w="704"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Look w:firstRow="1" w:lastRow="0" w:firstColumn="1" w:lastColumn="0" w:noHBand="0" w:noVBand="1" w:val="04A0"/>
      </w:tblPr>
      <w:tblGrid>
        <w:gridCol w:w="8930"/>
      </w:tblGrid>
      <w:tr>
        <w:trPr/>
        <w:tc>
          <w:tcPr>
            <w:tcW w:w="8930" w:type="dxa"/>
            <w:shd w:val="clear" w:color="auto" w:fill="auto"/>
            <w:tcMar>
              <w:top w:w="57" w:type="dxa"/>
              <w:bottom w:w="57" w:type="dxa"/>
            </w:tcMar>
            <w:vAlign w:val="top"/>
          </w:tcPr>
          <w:p>
            <w:pPr>
              <w:pStyle w:val="0"/>
              <w:rPr>
                <w:rFonts w:hint="default"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eastAsiaTheme="minorEastAsia"/>
              </w:rPr>
              <w:t xml:space="preserve"> </w:t>
            </w:r>
            <w:r>
              <w:rPr>
                <w:rFonts w:hint="eastAsia" w:asciiTheme="minorEastAsia" w:hAnsiTheme="minorEastAsia" w:eastAsiaTheme="minorEastAsia"/>
              </w:rPr>
              <w:t>具体的な確保方法</w:t>
            </w:r>
          </w:p>
          <w:p>
            <w:pPr>
              <w:pStyle w:val="0"/>
              <w:ind w:left="224" w:leftChars="100"/>
              <w:rPr>
                <w:rFonts w:hint="default" w:asciiTheme="minorEastAsia" w:hAnsiTheme="minorEastAsia" w:eastAsiaTheme="minorEastAsia"/>
              </w:rPr>
            </w:pPr>
            <w:r>
              <w:rPr>
                <w:rFonts w:hint="eastAsia" w:asciiTheme="minorEastAsia" w:hAnsiTheme="minorEastAsia" w:eastAsiaTheme="minorEastAsia"/>
              </w:rPr>
              <w:t>事業者による重症心身障がい児を支援する児童発達支援事業所及び放課後等デイサービス事業所が確保できています。</w:t>
            </w:r>
          </w:p>
        </w:tc>
      </w:tr>
    </w:tbl>
    <w:p>
      <w:pPr>
        <w:pStyle w:val="245"/>
        <w:spacing w:line="240" w:lineRule="exact"/>
        <w:ind w:left="672" w:firstLine="224"/>
        <w:rPr>
          <w:rFonts w:hint="default"/>
        </w:rPr>
      </w:pPr>
    </w:p>
    <w:p>
      <w:pPr>
        <w:pStyle w:val="245"/>
        <w:spacing w:line="240" w:lineRule="exact"/>
        <w:ind w:left="672" w:firstLine="224"/>
        <w:rPr>
          <w:rFonts w:hint="default"/>
        </w:rPr>
      </w:pPr>
    </w:p>
    <w:p>
      <w:pPr>
        <w:pStyle w:val="243"/>
        <w:ind w:left="784" w:hanging="336"/>
        <w:rPr>
          <w:rFonts w:hint="default"/>
        </w:rPr>
      </w:pPr>
      <w:r>
        <w:rPr>
          <w:rFonts w:hint="eastAsia"/>
        </w:rPr>
        <w:t>④</w:t>
      </w:r>
      <w:r>
        <w:rPr>
          <w:rFonts w:hint="eastAsia"/>
        </w:rPr>
        <w:t xml:space="preserve"> </w:t>
      </w:r>
      <w:r>
        <w:rPr>
          <w:rFonts w:hint="eastAsia"/>
        </w:rPr>
        <w:t>医療的ケア児支援センター</w:t>
      </w:r>
      <w:r>
        <w:rPr>
          <w:rFonts w:hint="default"/>
        </w:rPr>
        <w:t>(</w:t>
      </w:r>
      <w:r>
        <w:rPr>
          <w:rFonts w:hint="default"/>
        </w:rPr>
        <w:t>都道府県ごと</w:t>
      </w:r>
      <w:r>
        <w:rPr>
          <w:rFonts w:hint="default"/>
        </w:rPr>
        <w:t>)</w:t>
      </w:r>
      <w:r>
        <w:rPr>
          <w:rFonts w:hint="eastAsia"/>
        </w:rPr>
        <w:t>の設置、医療的ケア児等支援のための関係機関の協議の場の設置</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1895"/>
        <w:gridCol w:w="1134"/>
        <w:gridCol w:w="1134"/>
        <w:gridCol w:w="4767"/>
      </w:tblGrid>
      <w:tr>
        <w:trPr/>
        <w:tc>
          <w:tcPr>
            <w:tcW w:w="1895"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1134"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設置方法</w:t>
            </w:r>
          </w:p>
        </w:tc>
        <w:tc>
          <w:tcPr>
            <w:tcW w:w="1134"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6"/>
                <w:w w:val="98"/>
                <w:sz w:val="20"/>
              </w:rPr>
            </w:pPr>
            <w:r>
              <w:rPr>
                <w:rFonts w:hint="eastAsia" w:asciiTheme="minorEastAsia" w:hAnsiTheme="minorEastAsia" w:eastAsiaTheme="minorEastAsia"/>
                <w:spacing w:val="-6"/>
                <w:w w:val="98"/>
                <w:sz w:val="20"/>
              </w:rPr>
              <w:t>設置時期</w:t>
            </w:r>
            <w:r>
              <w:rPr>
                <w:rFonts w:hint="eastAsia" w:asciiTheme="minorEastAsia" w:hAnsiTheme="minorEastAsia" w:eastAsiaTheme="minorEastAsia"/>
                <w:spacing w:val="-6"/>
                <w:w w:val="98"/>
                <w:sz w:val="20"/>
                <w:vertAlign w:val="superscript"/>
              </w:rPr>
              <w:t>※</w:t>
            </w:r>
          </w:p>
        </w:tc>
        <w:tc>
          <w:tcPr>
            <w:tcW w:w="4767"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　　考</w:t>
            </w:r>
          </w:p>
        </w:tc>
      </w:tr>
      <w:tr>
        <w:trPr/>
        <w:tc>
          <w:tcPr>
            <w:tcW w:w="1895"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保健、医療、障害福祉、保育、教育等の関係機関等が連携を図るための協議の場の設置</w:t>
            </w:r>
          </w:p>
        </w:tc>
        <w:tc>
          <w:tcPr>
            <w:tcW w:w="1134"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単独設置</w:t>
            </w:r>
          </w:p>
        </w:tc>
        <w:tc>
          <w:tcPr>
            <w:tcW w:w="1134"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令和元</w:t>
            </w:r>
          </w:p>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年度</w:t>
            </w:r>
          </w:p>
        </w:tc>
        <w:tc>
          <w:tcPr>
            <w:tcW w:w="4767"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4"/>
                <w:w w:val="95"/>
                <w:sz w:val="20"/>
              </w:rPr>
            </w:pPr>
            <w:r>
              <w:rPr>
                <w:rFonts w:hint="eastAsia" w:asciiTheme="minorEastAsia" w:hAnsiTheme="minorEastAsia" w:eastAsiaTheme="minorEastAsia"/>
                <w:spacing w:val="-4"/>
                <w:w w:val="95"/>
                <w:sz w:val="20"/>
              </w:rPr>
              <w:t>国指針：各都道府県及び各市町村において、保健、医療、障害福祉、保育、教育等の関係機関等が連携を図るための協議の場を設けるとともに、医療的ケア児等に関するコーディネーターを配置することを基本とする。なお、市町村単独での設置が困難な場合には、都道府県が関与した上での、圏域での設置であっても差し支えない。</w:t>
            </w:r>
          </w:p>
        </w:tc>
      </w:tr>
    </w:tbl>
    <w:p>
      <w:pPr>
        <w:pStyle w:val="245"/>
        <w:ind w:left="672" w:firstLine="0" w:firstLineChars="0"/>
        <w:rPr>
          <w:rFonts w:hint="default"/>
          <w:sz w:val="18"/>
        </w:rPr>
      </w:pPr>
      <w:r>
        <w:rPr>
          <w:rFonts w:hint="eastAsia"/>
          <w:sz w:val="18"/>
        </w:rPr>
        <w:t>※国指針においては、令和８年度末までに確保することとされている</w:t>
      </w:r>
    </w:p>
    <w:p>
      <w:pPr>
        <w:pStyle w:val="245"/>
        <w:ind w:left="672" w:firstLine="0" w:firstLineChars="0"/>
        <w:rPr>
          <w:rFonts w:hint="default" w:asciiTheme="minorEastAsia" w:hAnsiTheme="minorEastAsia" w:eastAsiaTheme="minorEastAsia"/>
        </w:rPr>
      </w:pPr>
      <w:bookmarkStart w:id="351" w:name="_Hlk50032703"/>
      <w:r>
        <w:rPr>
          <w:rFonts w:hint="eastAsia" w:asciiTheme="minorEastAsia" w:hAnsiTheme="minorEastAsia" w:eastAsiaTheme="minorEastAsia"/>
        </w:rPr>
        <w:t>■設置方法の詳細</w:t>
      </w: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2977"/>
        <w:gridCol w:w="1417"/>
        <w:gridCol w:w="4536"/>
      </w:tblGrid>
      <w:tr>
        <w:trPr/>
        <w:tc>
          <w:tcPr>
            <w:tcW w:w="2977"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bookmarkEnd w:id="351"/>
          </w:p>
        </w:tc>
        <w:tc>
          <w:tcPr>
            <w:tcW w:w="1417"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設置方法</w:t>
            </w:r>
          </w:p>
        </w:tc>
        <w:tc>
          <w:tcPr>
            <w:tcW w:w="4536"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具体的内容</w:t>
            </w:r>
          </w:p>
        </w:tc>
      </w:tr>
      <w:tr>
        <w:trPr/>
        <w:tc>
          <w:tcPr>
            <w:tcW w:w="2977"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保健、医療、障害福祉、保育、教育等の関係機関等が連携を図るための協議の場の設置</w:t>
            </w:r>
          </w:p>
        </w:tc>
        <w:tc>
          <w:tcPr>
            <w:tcW w:w="1417"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新規設置</w:t>
            </w:r>
          </w:p>
        </w:tc>
        <w:tc>
          <w:tcPr>
            <w:tcW w:w="4536"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令和元年度に保健、医療、福祉関係者との協議の場を単独設置。</w:t>
            </w:r>
          </w:p>
        </w:tc>
      </w:tr>
    </w:tbl>
    <w:p>
      <w:pPr>
        <w:pStyle w:val="245"/>
        <w:spacing w:line="0" w:lineRule="atLeast"/>
        <w:ind w:left="672" w:firstLine="204"/>
        <w:rPr>
          <w:rFonts w:hint="default"/>
          <w:sz w:val="20"/>
        </w:rPr>
      </w:pPr>
    </w:p>
    <w:tbl>
      <w:tblPr>
        <w:tblStyle w:val="11"/>
        <w:tblW w:w="8930"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0" w:val="00A0"/>
      </w:tblPr>
      <w:tblGrid>
        <w:gridCol w:w="1895"/>
        <w:gridCol w:w="940"/>
        <w:gridCol w:w="992"/>
        <w:gridCol w:w="992"/>
        <w:gridCol w:w="993"/>
        <w:gridCol w:w="3118"/>
      </w:tblGrid>
      <w:tr>
        <w:trPr/>
        <w:tc>
          <w:tcPr>
            <w:tcW w:w="1895"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940" w:type="dxa"/>
            <w:vMerge w:val="restart"/>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設置</w:t>
            </w:r>
          </w:p>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人数</w:t>
            </w:r>
          </w:p>
        </w:tc>
        <w:tc>
          <w:tcPr>
            <w:tcW w:w="2977" w:type="dxa"/>
            <w:gridSpan w:val="3"/>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配置時期及び人数</w:t>
            </w:r>
            <w:r>
              <w:rPr>
                <w:rFonts w:hint="eastAsia" w:asciiTheme="minorEastAsia" w:hAnsiTheme="minorEastAsia" w:eastAsiaTheme="minorEastAsia"/>
                <w:sz w:val="20"/>
              </w:rPr>
              <w:tab/>
            </w:r>
          </w:p>
        </w:tc>
        <w:tc>
          <w:tcPr>
            <w:tcW w:w="3118" w:type="dxa"/>
            <w:vMerge w:val="restart"/>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備考</w:t>
            </w:r>
          </w:p>
        </w:tc>
      </w:tr>
      <w:tr>
        <w:trPr/>
        <w:tc>
          <w:tcPr>
            <w:tcW w:w="1895" w:type="dxa"/>
            <w:vMerge w:val="continue"/>
            <w:shd w:val="clear" w:color="auto" w:fill="C5E0B3"/>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p>
        </w:tc>
        <w:tc>
          <w:tcPr>
            <w:tcW w:w="940" w:type="dxa"/>
            <w:vMerge w:val="continue"/>
            <w:shd w:val="clear" w:color="auto" w:fill="C5E0B3"/>
            <w:vAlign w:val="center"/>
          </w:tcPr>
          <w:p>
            <w:pPr>
              <w:pStyle w:val="0"/>
              <w:autoSpaceDE w:val="0"/>
              <w:autoSpaceDN w:val="0"/>
              <w:spacing w:line="0" w:lineRule="atLeast"/>
              <w:jc w:val="center"/>
              <w:rPr>
                <w:rFonts w:hint="default" w:asciiTheme="minorEastAsia" w:hAnsiTheme="minorEastAsia" w:eastAsiaTheme="minorEastAsia"/>
                <w:sz w:val="20"/>
              </w:rPr>
            </w:pPr>
          </w:p>
        </w:tc>
        <w:tc>
          <w:tcPr>
            <w:tcW w:w="992" w:type="dxa"/>
            <w:shd w:val="clear" w:color="auto" w:themeFill="background1" w:themeFillTint="FF" w:themeFillShade="D9"/>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5"/>
                <w:sz w:val="20"/>
              </w:rPr>
              <w:t>令和６年</w:t>
            </w:r>
          </w:p>
        </w:tc>
        <w:tc>
          <w:tcPr>
            <w:tcW w:w="992"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5"/>
                <w:sz w:val="20"/>
              </w:rPr>
              <w:t>令和７年</w:t>
            </w:r>
          </w:p>
        </w:tc>
        <w:tc>
          <w:tcPr>
            <w:tcW w:w="993" w:type="dxa"/>
            <w:shd w:val="clear" w:color="auto" w:themeFill="background1" w:themeFillTint="FF" w:themeFillShade="D9"/>
            <w:vAlign w:val="center"/>
          </w:tcPr>
          <w:p>
            <w:pPr>
              <w:pStyle w:val="0"/>
              <w:autoSpaceDE w:val="0"/>
              <w:autoSpaceDN w:val="0"/>
              <w:spacing w:line="0" w:lineRule="atLeast"/>
              <w:jc w:val="center"/>
              <w:rPr>
                <w:rFonts w:hint="default" w:asciiTheme="minorEastAsia" w:hAnsiTheme="minorEastAsia" w:eastAsiaTheme="minorEastAsia"/>
                <w:spacing w:val="-8"/>
                <w:w w:val="95"/>
                <w:sz w:val="20"/>
              </w:rPr>
            </w:pPr>
            <w:r>
              <w:rPr>
                <w:rFonts w:hint="eastAsia" w:asciiTheme="minorEastAsia" w:hAnsiTheme="minorEastAsia" w:eastAsiaTheme="minorEastAsia"/>
                <w:spacing w:val="-8"/>
                <w:w w:val="95"/>
                <w:sz w:val="20"/>
              </w:rPr>
              <w:t>令和８年</w:t>
            </w:r>
          </w:p>
        </w:tc>
        <w:tc>
          <w:tcPr>
            <w:tcW w:w="3118" w:type="dxa"/>
            <w:vMerge w:val="continue"/>
            <w:shd w:val="clear" w:color="auto" w:fill="C5E0B3"/>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p>
        </w:tc>
      </w:tr>
      <w:tr>
        <w:trPr/>
        <w:tc>
          <w:tcPr>
            <w:tcW w:w="1895" w:type="dxa"/>
            <w:shd w:val="clear" w:color="auto" w:themeFill="background1" w:themeFillTint="FF" w:themeFillShade="D9"/>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z w:val="20"/>
              </w:rPr>
            </w:pPr>
            <w:r>
              <w:rPr>
                <w:rFonts w:hint="eastAsia" w:asciiTheme="minorEastAsia" w:hAnsiTheme="minorEastAsia" w:eastAsiaTheme="minorEastAsia"/>
                <w:sz w:val="20"/>
              </w:rPr>
              <w:t>医療的ケア児等に関するコーディネーターの配置</w:t>
            </w:r>
          </w:p>
        </w:tc>
        <w:tc>
          <w:tcPr>
            <w:tcW w:w="940" w:type="dxa"/>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1</w:t>
            </w:r>
          </w:p>
        </w:tc>
        <w:tc>
          <w:tcPr>
            <w:tcW w:w="992" w:type="dxa"/>
            <w:shd w:val="clear" w:color="auto" w:fill="auto"/>
            <w:tcMar>
              <w:top w:w="57" w:type="dxa"/>
              <w:bottom w:w="57" w:type="dxa"/>
            </w:tcMar>
            <w:vAlign w:val="center"/>
          </w:tcPr>
          <w:p>
            <w:pPr>
              <w:pStyle w:val="0"/>
              <w:autoSpaceDE w:val="0"/>
              <w:autoSpaceDN w:val="0"/>
              <w:spacing w:line="0" w:lineRule="atLeast"/>
              <w:jc w:val="center"/>
              <w:rPr>
                <w:rFonts w:hint="default" w:asciiTheme="minorEastAsia" w:hAnsiTheme="minorEastAsia" w:eastAsiaTheme="minorEastAsia"/>
                <w:sz w:val="20"/>
              </w:rPr>
            </w:pPr>
            <w:r>
              <w:rPr>
                <w:rFonts w:hint="eastAsia" w:asciiTheme="minorEastAsia" w:hAnsiTheme="minorEastAsia" w:eastAsiaTheme="minorEastAsia"/>
                <w:sz w:val="20"/>
              </w:rPr>
              <w:t>○</w:t>
            </w:r>
          </w:p>
        </w:tc>
        <w:tc>
          <w:tcPr>
            <w:tcW w:w="992" w:type="dxa"/>
            <w:shd w:val="clear" w:color="auto" w:fill="auto"/>
            <w:vAlign w:val="center"/>
          </w:tcPr>
          <w:p>
            <w:pPr>
              <w:pStyle w:val="0"/>
              <w:autoSpaceDE w:val="0"/>
              <w:autoSpaceDN w:val="0"/>
              <w:spacing w:line="0" w:lineRule="atLeast"/>
              <w:jc w:val="center"/>
              <w:rPr>
                <w:rFonts w:hint="default" w:asciiTheme="minorEastAsia" w:hAnsiTheme="minorEastAsia" w:eastAsiaTheme="minorEastAsia"/>
                <w:sz w:val="20"/>
              </w:rPr>
            </w:pPr>
          </w:p>
        </w:tc>
        <w:tc>
          <w:tcPr>
            <w:tcW w:w="993" w:type="dxa"/>
            <w:vAlign w:val="center"/>
          </w:tcPr>
          <w:p>
            <w:pPr>
              <w:pStyle w:val="0"/>
              <w:autoSpaceDE w:val="0"/>
              <w:autoSpaceDN w:val="0"/>
              <w:spacing w:line="0" w:lineRule="atLeast"/>
              <w:jc w:val="center"/>
              <w:rPr>
                <w:rFonts w:hint="default" w:asciiTheme="minorEastAsia" w:hAnsiTheme="minorEastAsia" w:eastAsiaTheme="minorEastAsia"/>
                <w:sz w:val="20"/>
              </w:rPr>
            </w:pPr>
          </w:p>
        </w:tc>
        <w:tc>
          <w:tcPr>
            <w:tcW w:w="3118" w:type="dxa"/>
            <w:shd w:val="clear" w:color="auto" w:fill="auto"/>
            <w:tcMar>
              <w:top w:w="57" w:type="dxa"/>
              <w:bottom w:w="57" w:type="dxa"/>
            </w:tcMar>
            <w:vAlign w:val="center"/>
          </w:tcPr>
          <w:p>
            <w:pPr>
              <w:pStyle w:val="0"/>
              <w:autoSpaceDE w:val="0"/>
              <w:autoSpaceDN w:val="0"/>
              <w:spacing w:line="0" w:lineRule="atLeast"/>
              <w:rPr>
                <w:rFonts w:hint="default" w:asciiTheme="minorEastAsia" w:hAnsiTheme="minorEastAsia" w:eastAsiaTheme="minorEastAsia"/>
                <w:spacing w:val="-6"/>
                <w:w w:val="95"/>
                <w:sz w:val="20"/>
              </w:rPr>
            </w:pPr>
          </w:p>
        </w:tc>
      </w:tr>
    </w:tbl>
    <w:p>
      <w:pPr>
        <w:pStyle w:val="245"/>
        <w:spacing w:line="0" w:lineRule="atLeast"/>
        <w:ind w:left="672" w:firstLine="164"/>
        <w:rPr>
          <w:rFonts w:hint="default"/>
          <w:sz w:val="16"/>
        </w:rPr>
      </w:pPr>
    </w:p>
    <w:p>
      <w:pPr>
        <w:pStyle w:val="0"/>
        <w:rPr>
          <w:rFonts w:hint="default"/>
          <w:sz w:val="16"/>
        </w:rPr>
      </w:pPr>
      <w:r>
        <w:rPr>
          <w:rFonts w:hint="default"/>
          <w:sz w:val="16"/>
        </w:rPr>
        <w:br w:type="page"/>
      </w:r>
    </w:p>
    <w:p>
      <w:pPr>
        <w:pStyle w:val="241"/>
        <w:spacing w:after="92" w:afterLines="0" w:afterAutospacing="0"/>
        <w:rPr>
          <w:rFonts w:hint="default"/>
        </w:rPr>
      </w:pPr>
      <w:bookmarkStart w:id="352" w:name="_Toc158300438"/>
      <w:bookmarkStart w:id="353" w:name="_Toc59549986"/>
      <w:bookmarkStart w:id="354" w:name="_Toc67040257"/>
      <w:r>
        <w:rPr>
          <w:rFonts w:hint="eastAsia"/>
        </w:rPr>
        <w:t>２．第３期のサービス別見込量</w:t>
      </w:r>
      <w:bookmarkEnd w:id="352"/>
      <w:bookmarkEnd w:id="353"/>
      <w:bookmarkEnd w:id="354"/>
    </w:p>
    <w:p>
      <w:pPr>
        <w:pStyle w:val="242"/>
        <w:spacing w:after="37" w:afterLines="0" w:afterAutospacing="0"/>
        <w:ind w:left="224"/>
        <w:rPr>
          <w:rFonts w:hint="default"/>
        </w:rPr>
      </w:pPr>
      <w:bookmarkStart w:id="355" w:name="_Toc158300439"/>
      <w:bookmarkStart w:id="356" w:name="_Toc59549987"/>
      <w:bookmarkStart w:id="357" w:name="_Toc67040258"/>
      <w:r>
        <w:rPr>
          <w:rFonts w:hint="default"/>
        </w:rPr>
        <w:t>(</w:t>
      </w:r>
      <w:r>
        <w:rPr>
          <w:rFonts w:hint="eastAsia"/>
        </w:rPr>
        <w:t>１</w:t>
      </w:r>
      <w:r>
        <w:rPr>
          <w:rFonts w:hint="default"/>
        </w:rPr>
        <w:t>)</w:t>
      </w:r>
      <w:r>
        <w:rPr>
          <w:rFonts w:hint="eastAsia"/>
        </w:rPr>
        <w:t>障害児通所支援</w:t>
      </w:r>
      <w:bookmarkEnd w:id="355"/>
      <w:bookmarkEnd w:id="356"/>
      <w:bookmarkEnd w:id="357"/>
    </w:p>
    <w:p>
      <w:pPr>
        <w:pStyle w:val="246"/>
        <w:ind w:left="672"/>
        <w:rPr>
          <w:rFonts w:hint="default"/>
        </w:rPr>
      </w:pPr>
      <w:r>
        <w:rPr>
          <w:rFonts w:hint="eastAsia"/>
        </w:rPr>
        <w:t>ｱ</w:t>
      </w:r>
      <w:r>
        <w:rPr>
          <w:rFonts w:hint="eastAsia"/>
        </w:rPr>
        <w:t>)</w:t>
      </w:r>
      <w:r>
        <w:rPr>
          <w:rFonts w:hint="eastAsia"/>
        </w:rPr>
        <w:t>児童発達支援</w:t>
      </w:r>
    </w:p>
    <w:p>
      <w:pPr>
        <w:pStyle w:val="251"/>
        <w:spacing w:line="240" w:lineRule="auto"/>
        <w:ind w:left="897" w:leftChars="400" w:firstLine="214"/>
        <w:rPr>
          <w:rFonts w:hint="default"/>
          <w:spacing w:val="0"/>
        </w:rPr>
      </w:pPr>
      <w:r>
        <w:rPr>
          <w:rFonts w:hint="eastAsia"/>
          <w:spacing w:val="0"/>
        </w:rPr>
        <w:t>日常生活における基本的な動作・知識・集団生活への適応訓練を行います。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ind w:left="1009" w:leftChars="450" w:firstLine="214"/>
        <w:rPr>
          <w:rFonts w:hint="default"/>
          <w:spacing w:val="0"/>
        </w:rPr>
      </w:pPr>
      <w:r>
        <w:rPr>
          <w:rFonts w:hint="eastAsia"/>
          <w:spacing w:val="0"/>
        </w:rPr>
        <w:t>令和２年度からの過去３年間の利用者数は</w:t>
      </w:r>
      <w:r>
        <w:rPr>
          <w:rFonts w:hint="default"/>
          <w:spacing w:val="0"/>
        </w:rPr>
        <w:t>、年度によって増減があるため、令</w:t>
      </w:r>
      <w:r>
        <w:rPr>
          <w:rFonts w:hint="eastAsia"/>
          <w:spacing w:val="0"/>
        </w:rPr>
        <w:t>和６</w:t>
      </w:r>
      <w:r>
        <w:rPr>
          <w:rFonts w:hint="default"/>
          <w:spacing w:val="0"/>
        </w:rPr>
        <w:t>年度は、過去</w:t>
      </w:r>
      <w:r>
        <w:rPr>
          <w:rFonts w:hint="eastAsia"/>
          <w:spacing w:val="0"/>
        </w:rPr>
        <w:t>３年</w:t>
      </w:r>
      <w:r>
        <w:rPr>
          <w:rFonts w:hint="default"/>
          <w:spacing w:val="0"/>
        </w:rPr>
        <w:t>間実績平均値と令和</w:t>
      </w:r>
      <w:r>
        <w:rPr>
          <w:rFonts w:hint="eastAsia"/>
          <w:spacing w:val="0"/>
        </w:rPr>
        <w:t>５年度の見込み数の平均を見込みます。令和６年度</w:t>
      </w:r>
      <w:r>
        <w:rPr>
          <w:rFonts w:hint="default"/>
          <w:spacing w:val="0"/>
        </w:rPr>
        <w:t>以降は微増を見込み毎年度</w:t>
      </w:r>
      <w:r>
        <w:rPr>
          <w:rFonts w:hint="default"/>
          <w:spacing w:val="0"/>
        </w:rPr>
        <w:t>5</w:t>
      </w:r>
      <w:r>
        <w:rPr>
          <w:rFonts w:hint="default"/>
          <w:spacing w:val="0"/>
        </w:rPr>
        <w:t>人増を見込みます。</w:t>
      </w:r>
    </w:p>
    <w:p>
      <w:pPr>
        <w:pStyle w:val="251"/>
        <w:spacing w:line="240" w:lineRule="auto"/>
        <w:ind w:left="1009" w:leftChars="450" w:firstLine="214"/>
        <w:rPr>
          <w:rFonts w:hint="default"/>
          <w:spacing w:val="0"/>
        </w:rPr>
      </w:pPr>
      <w:r>
        <w:rPr>
          <w:rFonts w:hint="eastAsia"/>
          <w:spacing w:val="0"/>
        </w:rPr>
        <w:t>利用量は、過去３</w:t>
      </w:r>
      <w:r>
        <w:rPr>
          <w:rFonts w:hint="default"/>
          <w:spacing w:val="0"/>
        </w:rPr>
        <w:t>年間実績平均値の一人当たり平均利用日数</w:t>
      </w:r>
      <w:r>
        <w:rPr>
          <w:rFonts w:hint="default"/>
          <w:spacing w:val="0"/>
        </w:rPr>
        <w:t>(11.2</w:t>
      </w:r>
      <w:r>
        <w:rPr>
          <w:rFonts w:hint="default"/>
          <w:spacing w:val="0"/>
        </w:rPr>
        <w:t>日</w:t>
      </w:r>
      <w:r>
        <w:rPr>
          <w:rFonts w:hint="default"/>
          <w:spacing w:val="0"/>
        </w:rPr>
        <w:t>)</w:t>
      </w:r>
      <w:r>
        <w:rPr>
          <w:rFonts w:hint="default"/>
          <w:spacing w:val="0"/>
        </w:rPr>
        <w:t>を、令和</w:t>
      </w:r>
      <w:r>
        <w:rPr>
          <w:rFonts w:hint="eastAsia"/>
          <w:spacing w:val="0"/>
        </w:rPr>
        <w:t>６</w:t>
      </w:r>
      <w:r>
        <w:rPr>
          <w:rFonts w:hint="default"/>
          <w:spacing w:val="0"/>
        </w:rPr>
        <w:t>年度以降の利用者数の見込に乗じて見込みました。</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358" w:name="児童発達支援"/>
            <w:r>
              <w:rPr>
                <w:rFonts w:hint="eastAsia"/>
              </w:rPr>
              <w:t>利用者数</w:t>
            </w:r>
            <w:bookmarkEnd w:id="358"/>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4</w:t>
            </w:r>
            <w:r>
              <w:rPr>
                <w:rFonts w:hint="eastAsia"/>
              </w:rPr>
              <w:t>4</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50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5</w:t>
            </w:r>
            <w:r>
              <w:rPr>
                <w:rFonts w:hint="eastAsia"/>
              </w:rPr>
              <w:t>6</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72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77</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82</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63</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89</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68</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18</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39</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13</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r>
    </w:tbl>
    <w:p>
      <w:pPr>
        <w:pStyle w:val="0"/>
        <w:spacing w:line="160" w:lineRule="exact"/>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sz w:val="22"/>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sz w:val="22"/>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sz w:val="22"/>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sz w:val="22"/>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sz w:val="22"/>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sz w:val="22"/>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647</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865</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969</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806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862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918</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812</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949</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676</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165</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84</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r>
              <w:rPr>
                <w:rFonts w:hint="default"/>
              </w:rPr>
              <w:t>293</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17" w:beforeLines="5" w:beforeAutospacing="0" w:after="17" w:afterLines="5"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p>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41" behindDoc="0" locked="0" layoutInCell="1" hidden="0" allowOverlap="1">
            <wp:simplePos x="0" y="0"/>
            <wp:positionH relativeFrom="column">
              <wp:posOffset>317500</wp:posOffset>
            </wp:positionH>
            <wp:positionV relativeFrom="paragraph">
              <wp:posOffset>635</wp:posOffset>
            </wp:positionV>
            <wp:extent cx="5938520" cy="2231390"/>
            <wp:effectExtent l="0" t="0" r="0" b="0"/>
            <wp:wrapNone/>
            <wp:docPr id="1305" name="児童発達支援01"/>
            <a:graphic xmlns:a="http://schemas.openxmlformats.org/drawingml/2006/main">
              <a:graphicData uri="http://schemas.openxmlformats.org/drawingml/2006/picture">
                <pic:pic xmlns:pic="http://schemas.openxmlformats.org/drawingml/2006/picture">
                  <pic:nvPicPr>
                    <pic:cNvPr id="1305" name="児童発達支援01"/>
                    <pic:cNvPicPr>
                      <a:picLocks noChangeAspect="1" noChangeArrowheads="1"/>
                    </pic:cNvPicPr>
                  </pic:nvPicPr>
                  <pic:blipFill>
                    <a:blip r:embed="rId81"/>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9"/>
        <w:rPr>
          <w:rFonts w:hint="default" w:ascii="ＭＳ ゴシック" w:hAnsi="ＭＳ ゴシック" w:eastAsia="ＭＳ ゴシック"/>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r>
        <w:rPr>
          <w:rFonts w:hint="default"/>
        </w:rPr>
        <w:drawing>
          <wp:anchor distT="0" distB="0" distL="114300" distR="114300" simplePos="0" relativeHeight="40" behindDoc="0" locked="0" layoutInCell="1" hidden="0" allowOverlap="1">
            <wp:simplePos x="0" y="0"/>
            <wp:positionH relativeFrom="column">
              <wp:posOffset>313690</wp:posOffset>
            </wp:positionH>
            <wp:positionV relativeFrom="paragraph">
              <wp:posOffset>205740</wp:posOffset>
            </wp:positionV>
            <wp:extent cx="5938520" cy="2231390"/>
            <wp:effectExtent l="0" t="0" r="0" b="0"/>
            <wp:wrapNone/>
            <wp:docPr id="1306" name="児童発達支援02"/>
            <a:graphic xmlns:a="http://schemas.openxmlformats.org/drawingml/2006/main">
              <a:graphicData uri="http://schemas.openxmlformats.org/drawingml/2006/picture">
                <pic:pic xmlns:pic="http://schemas.openxmlformats.org/drawingml/2006/picture">
                  <pic:nvPicPr>
                    <pic:cNvPr id="1306" name="児童発達支援02"/>
                    <pic:cNvPicPr>
                      <a:picLocks noChangeAspect="1" noChangeArrowheads="1"/>
                    </pic:cNvPicPr>
                  </pic:nvPicPr>
                  <pic:blipFill>
                    <a:blip r:embed="rId82"/>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9"/>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246"/>
        <w:ind w:left="672"/>
        <w:rPr>
          <w:rFonts w:hint="default"/>
        </w:rPr>
      </w:pPr>
      <w:r>
        <w:rPr>
          <w:rFonts w:hint="default"/>
        </w:rPr>
        <w:br w:type="page"/>
      </w:r>
      <w:r>
        <w:rPr>
          <w:rFonts w:hint="default"/>
        </w:rPr>
        <w:t>ｲ</w:t>
      </w:r>
      <w:r>
        <w:rPr>
          <w:rFonts w:hint="default"/>
        </w:rPr>
        <w:t>)</w:t>
      </w:r>
      <w:r>
        <w:rPr>
          <w:rFonts w:hint="eastAsia"/>
        </w:rPr>
        <w:t>医療型児童発達支援</w:t>
      </w:r>
    </w:p>
    <w:p>
      <w:pPr>
        <w:pStyle w:val="251"/>
        <w:spacing w:line="240" w:lineRule="auto"/>
        <w:ind w:left="897" w:leftChars="400" w:firstLine="214"/>
        <w:rPr>
          <w:rFonts w:hint="default"/>
          <w:spacing w:val="0"/>
        </w:rPr>
      </w:pPr>
      <w:r>
        <w:rPr>
          <w:rFonts w:hint="eastAsia"/>
          <w:spacing w:val="0"/>
        </w:rPr>
        <w:t>肢体不自由のある児童について、医療型児童発達支援センター又は指定医療機関等に通わせ、児童発達支援及び治療を行います。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ind w:left="1009" w:leftChars="450" w:firstLine="214"/>
        <w:rPr>
          <w:rFonts w:hint="default"/>
          <w:spacing w:val="0"/>
        </w:rPr>
      </w:pPr>
      <w:r>
        <w:rPr>
          <w:rFonts w:hint="eastAsia"/>
          <w:spacing w:val="0"/>
        </w:rPr>
        <w:t>令和６</w:t>
      </w:r>
      <w:r>
        <w:rPr>
          <w:rFonts w:hint="default"/>
          <w:spacing w:val="0"/>
        </w:rPr>
        <w:t>年度は、前年度利用者がサービスを継続利用するものと見込まれるため、令和</w:t>
      </w:r>
      <w:r>
        <w:rPr>
          <w:rFonts w:hint="eastAsia"/>
          <w:spacing w:val="0"/>
        </w:rPr>
        <w:t>５</w:t>
      </w:r>
      <w:r>
        <w:rPr>
          <w:rFonts w:hint="default"/>
          <w:spacing w:val="0"/>
        </w:rPr>
        <w:t>年度見込み数と同数としています。令和</w:t>
      </w:r>
      <w:r>
        <w:rPr>
          <w:rFonts w:hint="eastAsia"/>
          <w:spacing w:val="0"/>
        </w:rPr>
        <w:t>７年</w:t>
      </w:r>
      <w:r>
        <w:rPr>
          <w:rFonts w:hint="default"/>
          <w:spacing w:val="0"/>
        </w:rPr>
        <w:t>度以降は、利用ニーズが今後増えることを想定し利用者を</w:t>
      </w:r>
      <w:r>
        <w:rPr>
          <w:rFonts w:hint="default"/>
          <w:spacing w:val="0"/>
        </w:rPr>
        <w:t>1</w:t>
      </w:r>
      <w:r>
        <w:rPr>
          <w:rFonts w:hint="default"/>
          <w:spacing w:val="0"/>
        </w:rPr>
        <w:t>人増で見込みました。</w:t>
      </w:r>
    </w:p>
    <w:p>
      <w:pPr>
        <w:pStyle w:val="251"/>
        <w:spacing w:line="240" w:lineRule="auto"/>
        <w:ind w:left="1009" w:leftChars="450" w:firstLine="214"/>
        <w:rPr>
          <w:rFonts w:hint="default"/>
          <w:spacing w:val="0"/>
        </w:rPr>
      </w:pPr>
      <w:r>
        <w:rPr>
          <w:rFonts w:hint="eastAsia"/>
          <w:spacing w:val="0"/>
        </w:rPr>
        <w:t>利用量は、過去３</w:t>
      </w:r>
      <w:r>
        <w:rPr>
          <w:rFonts w:hint="default"/>
          <w:spacing w:val="0"/>
        </w:rPr>
        <w:t>年間実績平均値の一人当たり平均利日数</w:t>
      </w:r>
      <w:r>
        <w:rPr>
          <w:rFonts w:hint="default"/>
          <w:spacing w:val="0"/>
        </w:rPr>
        <w:t>(7.1</w:t>
      </w:r>
      <w:r>
        <w:rPr>
          <w:rFonts w:hint="default"/>
          <w:spacing w:val="0"/>
        </w:rPr>
        <w:t>日</w:t>
      </w:r>
      <w:r>
        <w:rPr>
          <w:rFonts w:hint="default"/>
          <w:spacing w:val="0"/>
        </w:rPr>
        <w:t>)</w:t>
      </w:r>
      <w:r>
        <w:rPr>
          <w:rFonts w:hint="default"/>
          <w:spacing w:val="0"/>
        </w:rPr>
        <w:t>を、令和</w:t>
      </w:r>
      <w:r>
        <w:rPr>
          <w:rFonts w:hint="eastAsia"/>
          <w:spacing w:val="0"/>
        </w:rPr>
        <w:t>６年</w:t>
      </w:r>
      <w:r>
        <w:rPr>
          <w:rFonts w:hint="default"/>
          <w:spacing w:val="0"/>
        </w:rPr>
        <w:t>度以降の利用者数の見込みに乗じて見込みました。</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359" w:name="医療型児童発達支援"/>
            <w:r>
              <w:rPr>
                <w:rFonts w:hint="eastAsia"/>
              </w:rPr>
              <w:t>利用者数</w:t>
            </w:r>
            <w:bookmarkEnd w:id="359"/>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3</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3</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4</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4</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2</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2</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3</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r>
    </w:tbl>
    <w:p>
      <w:pPr>
        <w:pStyle w:val="0"/>
        <w:spacing w:line="160" w:lineRule="exact"/>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22</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33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33</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21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28</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28</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17</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12</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r>
              <w:rPr>
                <w:rFonts w:hint="default"/>
              </w:rPr>
              <w:t>12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r>
              <w:rPr>
                <w:rFonts w:hint="default"/>
              </w:rPr>
              <w:t>16</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r>
              <w:rPr>
                <w:rFonts w:hint="default"/>
              </w:rPr>
              <w:t>21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39" behindDoc="0" locked="0" layoutInCell="1" hidden="0" allowOverlap="1">
            <wp:simplePos x="0" y="0"/>
            <wp:positionH relativeFrom="column">
              <wp:posOffset>193040</wp:posOffset>
            </wp:positionH>
            <wp:positionV relativeFrom="paragraph">
              <wp:posOffset>116205</wp:posOffset>
            </wp:positionV>
            <wp:extent cx="5938520" cy="2232025"/>
            <wp:effectExtent l="0" t="0" r="0" b="0"/>
            <wp:wrapNone/>
            <wp:docPr id="1307" name="医療型児童発達支援01"/>
            <a:graphic xmlns:a="http://schemas.openxmlformats.org/drawingml/2006/main">
              <a:graphicData uri="http://schemas.openxmlformats.org/drawingml/2006/picture">
                <pic:pic xmlns:pic="http://schemas.openxmlformats.org/drawingml/2006/picture">
                  <pic:nvPicPr>
                    <pic:cNvPr id="1307" name="医療型児童発達支援01"/>
                    <pic:cNvPicPr>
                      <a:picLocks noChangeAspect="1" noChangeArrowheads="1"/>
                    </pic:cNvPicPr>
                  </pic:nvPicPr>
                  <pic:blipFill>
                    <a:blip r:embed="rId83"/>
                    <a:srcRect b="8403"/>
                    <a:stretch>
                      <a:fillRect/>
                    </a:stretch>
                  </pic:blipFill>
                  <pic:spPr>
                    <a:xfrm>
                      <a:off x="0" y="0"/>
                      <a:ext cx="5938520" cy="2232025"/>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r>
        <w:rPr>
          <w:rFonts w:hint="default"/>
        </w:rPr>
        <w:drawing>
          <wp:anchor distT="0" distB="0" distL="114300" distR="114300" simplePos="0" relativeHeight="38" behindDoc="0" locked="0" layoutInCell="1" hidden="0" allowOverlap="1">
            <wp:simplePos x="0" y="0"/>
            <wp:positionH relativeFrom="column">
              <wp:posOffset>193040</wp:posOffset>
            </wp:positionH>
            <wp:positionV relativeFrom="paragraph">
              <wp:posOffset>154305</wp:posOffset>
            </wp:positionV>
            <wp:extent cx="5938520" cy="2232025"/>
            <wp:effectExtent l="0" t="0" r="0" b="0"/>
            <wp:wrapNone/>
            <wp:docPr id="1308" name="医療型児童発達支援02"/>
            <a:graphic xmlns:a="http://schemas.openxmlformats.org/drawingml/2006/main">
              <a:graphicData uri="http://schemas.openxmlformats.org/drawingml/2006/picture">
                <pic:pic xmlns:pic="http://schemas.openxmlformats.org/drawingml/2006/picture">
                  <pic:nvPicPr>
                    <pic:cNvPr id="1308" name="医療型児童発達支援02"/>
                    <pic:cNvPicPr>
                      <a:picLocks noChangeAspect="1" noChangeArrowheads="1"/>
                    </pic:cNvPicPr>
                  </pic:nvPicPr>
                  <pic:blipFill>
                    <a:blip r:embed="rId84"/>
                    <a:srcRect b="8403"/>
                    <a:stretch>
                      <a:fillRect/>
                    </a:stretch>
                  </pic:blipFill>
                  <pic:spPr>
                    <a:xfrm>
                      <a:off x="0" y="0"/>
                      <a:ext cx="5938520" cy="2232025"/>
                    </a:xfrm>
                    <a:prstGeom prst="rect">
                      <a:avLst/>
                    </a:prstGeom>
                    <a:noFill/>
                    <a:ln>
                      <a:noFill/>
                    </a:ln>
                  </pic:spPr>
                </pic:pic>
              </a:graphicData>
            </a:graphic>
          </wp:anchor>
        </w:drawing>
      </w:r>
    </w:p>
    <w:p>
      <w:pPr>
        <w:pStyle w:val="0"/>
        <w:ind w:left="438" w:firstLine="205"/>
        <w:rPr>
          <w:rFonts w:hint="default"/>
        </w:rPr>
      </w:pPr>
    </w:p>
    <w:p>
      <w:pPr>
        <w:pStyle w:val="0"/>
        <w:ind w:left="438" w:firstLine="209"/>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251"/>
        <w:spacing w:line="240" w:lineRule="auto"/>
        <w:ind w:left="448" w:firstLine="210"/>
        <w:rPr>
          <w:rFonts w:hint="default"/>
        </w:rPr>
      </w:pPr>
    </w:p>
    <w:p>
      <w:pPr>
        <w:pStyle w:val="246"/>
        <w:ind w:left="672"/>
        <w:rPr>
          <w:rFonts w:hint="default"/>
        </w:rPr>
      </w:pPr>
      <w:r>
        <w:rPr>
          <w:rFonts w:hint="default"/>
        </w:rPr>
        <w:br w:type="page"/>
      </w:r>
      <w:r>
        <w:rPr>
          <w:rFonts w:hint="default"/>
        </w:rPr>
        <w:t>ｳ</w:t>
      </w:r>
      <w:r>
        <w:rPr>
          <w:rFonts w:hint="default"/>
        </w:rPr>
        <w:t>)</w:t>
      </w:r>
      <w:r>
        <w:rPr>
          <w:rFonts w:hint="eastAsia"/>
        </w:rPr>
        <w:t>放課後等デイサービス</w:t>
      </w:r>
    </w:p>
    <w:p>
      <w:pPr>
        <w:pStyle w:val="251"/>
        <w:spacing w:line="240" w:lineRule="auto"/>
        <w:ind w:left="897" w:leftChars="400" w:firstLine="214"/>
        <w:rPr>
          <w:rFonts w:hint="default"/>
          <w:spacing w:val="0"/>
        </w:rPr>
      </w:pPr>
      <w:r>
        <w:rPr>
          <w:rFonts w:hint="eastAsia"/>
          <w:spacing w:val="0"/>
        </w:rPr>
        <w:t>学校授業終了後又は休日において生活能力の向上のために必要な訓練、社会との交流を行います。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ind w:left="1009" w:leftChars="450" w:firstLine="214"/>
        <w:rPr>
          <w:rFonts w:hint="default"/>
          <w:spacing w:val="0"/>
        </w:rPr>
      </w:pPr>
      <w:r>
        <w:rPr>
          <w:rFonts w:hint="eastAsia"/>
          <w:spacing w:val="0"/>
        </w:rPr>
        <w:t>令和２年度からの過去３年間の利用者数は、令和３年度にお</w:t>
      </w:r>
      <w:r>
        <w:rPr>
          <w:rFonts w:hint="default"/>
          <w:spacing w:val="0"/>
        </w:rPr>
        <w:t>いて微減があるものの、基本的に増加傾向にあります</w:t>
      </w:r>
      <w:r>
        <w:rPr>
          <w:rFonts w:hint="eastAsia"/>
          <w:spacing w:val="0"/>
        </w:rPr>
        <w:t>。令和３年度から令和５年度</w:t>
      </w:r>
      <w:r>
        <w:rPr>
          <w:rFonts w:hint="default"/>
          <w:spacing w:val="0"/>
        </w:rPr>
        <w:t>見込数において、毎年度約</w:t>
      </w:r>
      <w:r>
        <w:rPr>
          <w:rFonts w:hint="default"/>
          <w:spacing w:val="0"/>
        </w:rPr>
        <w:t>20</w:t>
      </w:r>
      <w:r>
        <w:rPr>
          <w:rFonts w:hint="default"/>
          <w:spacing w:val="0"/>
        </w:rPr>
        <w:t>人の増となっていることから、令和</w:t>
      </w:r>
      <w:r>
        <w:rPr>
          <w:rFonts w:hint="eastAsia"/>
          <w:spacing w:val="0"/>
        </w:rPr>
        <w:t>６年</w:t>
      </w:r>
      <w:r>
        <w:rPr>
          <w:rFonts w:hint="default"/>
          <w:spacing w:val="0"/>
        </w:rPr>
        <w:t>度以降は毎年度</w:t>
      </w:r>
      <w:r>
        <w:rPr>
          <w:rFonts w:hint="default"/>
          <w:spacing w:val="0"/>
        </w:rPr>
        <w:t>20</w:t>
      </w:r>
      <w:r>
        <w:rPr>
          <w:rFonts w:hint="default"/>
          <w:spacing w:val="0"/>
        </w:rPr>
        <w:t>人の増で見込みます。</w:t>
      </w:r>
    </w:p>
    <w:p>
      <w:pPr>
        <w:pStyle w:val="251"/>
        <w:spacing w:line="240" w:lineRule="auto"/>
        <w:ind w:left="1009" w:leftChars="450" w:firstLine="214"/>
        <w:rPr>
          <w:rFonts w:hint="default"/>
          <w:spacing w:val="0"/>
        </w:rPr>
      </w:pPr>
      <w:r>
        <w:rPr>
          <w:rFonts w:hint="eastAsia"/>
          <w:spacing w:val="0"/>
        </w:rPr>
        <w:t>利用量は、過去３</w:t>
      </w:r>
      <w:r>
        <w:rPr>
          <w:rFonts w:hint="default"/>
          <w:spacing w:val="0"/>
        </w:rPr>
        <w:t>年間の</w:t>
      </w:r>
      <w:r>
        <w:rPr>
          <w:rFonts w:hint="default"/>
          <w:spacing w:val="0"/>
        </w:rPr>
        <w:t>1</w:t>
      </w:r>
      <w:r>
        <w:rPr>
          <w:rFonts w:hint="default"/>
          <w:spacing w:val="0"/>
        </w:rPr>
        <w:t>人あたりの平均利用日数</w:t>
      </w:r>
      <w:r>
        <w:rPr>
          <w:rFonts w:hint="default"/>
          <w:spacing w:val="0"/>
        </w:rPr>
        <w:t>(16.4</w:t>
      </w:r>
      <w:r>
        <w:rPr>
          <w:rFonts w:hint="default"/>
          <w:spacing w:val="0"/>
        </w:rPr>
        <w:t>日</w:t>
      </w:r>
      <w:r>
        <w:rPr>
          <w:rFonts w:hint="default"/>
          <w:spacing w:val="0"/>
        </w:rPr>
        <w:t>)</w:t>
      </w:r>
      <w:r>
        <w:rPr>
          <w:rFonts w:hint="default"/>
          <w:spacing w:val="0"/>
        </w:rPr>
        <w:t>を、令和</w:t>
      </w:r>
      <w:r>
        <w:rPr>
          <w:rFonts w:hint="eastAsia"/>
          <w:spacing w:val="0"/>
        </w:rPr>
        <w:t>６年</w:t>
      </w:r>
      <w:r>
        <w:rPr>
          <w:rFonts w:hint="default"/>
          <w:spacing w:val="0"/>
        </w:rPr>
        <w:t>度以降の利用者数の見込みに乗じて見込みました。</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360" w:name="放課後等デイサービス"/>
            <w:r>
              <w:rPr>
                <w:rFonts w:hint="eastAsia"/>
              </w:rPr>
              <w:t>利用者数</w:t>
            </w:r>
            <w:bookmarkEnd w:id="360"/>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154</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164</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171</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206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226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246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147</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165</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186</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r>
              <w:rPr>
                <w:rFonts w:hint="default"/>
              </w:rPr>
              <w:t>7</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15</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r>
    </w:tbl>
    <w:p>
      <w:pPr>
        <w:pStyle w:val="0"/>
        <w:spacing w:line="160" w:lineRule="exact"/>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2,849</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3,034</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3,164</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3,378</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3,706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4,034</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2,448</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2,689</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2,653</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r>
              <w:rPr>
                <w:rFonts w:hint="default"/>
              </w:rPr>
              <w:t>401</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r>
              <w:rPr>
                <w:rFonts w:hint="default"/>
              </w:rPr>
              <w:t>345</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r>
              <w:rPr>
                <w:rFonts w:hint="default"/>
              </w:rPr>
              <w:t>511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37" behindDoc="0" locked="0" layoutInCell="1" hidden="0" allowOverlap="1">
            <wp:simplePos x="0" y="0"/>
            <wp:positionH relativeFrom="column">
              <wp:posOffset>263525</wp:posOffset>
            </wp:positionH>
            <wp:positionV relativeFrom="paragraph">
              <wp:posOffset>78105</wp:posOffset>
            </wp:positionV>
            <wp:extent cx="5938520" cy="2231390"/>
            <wp:effectExtent l="0" t="0" r="0" b="0"/>
            <wp:wrapNone/>
            <wp:docPr id="1309" name="放課後等デイサービス01"/>
            <a:graphic xmlns:a="http://schemas.openxmlformats.org/drawingml/2006/main">
              <a:graphicData uri="http://schemas.openxmlformats.org/drawingml/2006/picture">
                <pic:pic xmlns:pic="http://schemas.openxmlformats.org/drawingml/2006/picture">
                  <pic:nvPicPr>
                    <pic:cNvPr id="1309" name="放課後等デイサービス01"/>
                    <pic:cNvPicPr>
                      <a:picLocks noChangeAspect="1" noChangeArrowheads="1"/>
                    </pic:cNvPicPr>
                  </pic:nvPicPr>
                  <pic:blipFill>
                    <a:blip r:embed="rId85"/>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r>
        <w:rPr>
          <w:rFonts w:hint="default"/>
        </w:rPr>
        <w:drawing>
          <wp:anchor distT="0" distB="0" distL="114300" distR="114300" simplePos="0" relativeHeight="36" behindDoc="0" locked="0" layoutInCell="1" hidden="0" allowOverlap="1">
            <wp:simplePos x="0" y="0"/>
            <wp:positionH relativeFrom="column">
              <wp:posOffset>259715</wp:posOffset>
            </wp:positionH>
            <wp:positionV relativeFrom="paragraph">
              <wp:posOffset>49530</wp:posOffset>
            </wp:positionV>
            <wp:extent cx="5938520" cy="2231390"/>
            <wp:effectExtent l="0" t="0" r="0" b="0"/>
            <wp:wrapNone/>
            <wp:docPr id="1310" name="放課後等デイサービス02"/>
            <a:graphic xmlns:a="http://schemas.openxmlformats.org/drawingml/2006/main">
              <a:graphicData uri="http://schemas.openxmlformats.org/drawingml/2006/picture">
                <pic:pic xmlns:pic="http://schemas.openxmlformats.org/drawingml/2006/picture">
                  <pic:nvPicPr>
                    <pic:cNvPr id="1310" name="放課後等デイサービス02"/>
                    <pic:cNvPicPr>
                      <a:picLocks noChangeAspect="1" noChangeArrowheads="1"/>
                    </pic:cNvPicPr>
                  </pic:nvPicPr>
                  <pic:blipFill>
                    <a:blip r:embed="rId86"/>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9"/>
        <w:rPr>
          <w:rFonts w:hint="default" w:ascii="ＭＳ ゴシック" w:hAnsi="ＭＳ ゴシック" w:eastAsia="ＭＳ ゴシック"/>
        </w:rPr>
      </w:pPr>
    </w:p>
    <w:p>
      <w:pPr>
        <w:pStyle w:val="251"/>
        <w:ind w:left="448" w:firstLine="210"/>
        <w:rPr>
          <w:rFonts w:hint="default" w:ascii="ＭＳ ゴシック" w:hAnsi="ＭＳ ゴシック" w:eastAsia="ＭＳ ゴシック"/>
        </w:rPr>
      </w:pPr>
    </w:p>
    <w:p>
      <w:pPr>
        <w:pStyle w:val="251"/>
        <w:ind w:left="448" w:firstLine="210"/>
        <w:rPr>
          <w:rFonts w:hint="default"/>
        </w:rPr>
      </w:pPr>
    </w:p>
    <w:p>
      <w:pPr>
        <w:pStyle w:val="251"/>
        <w:ind w:left="448" w:firstLine="210"/>
        <w:rPr>
          <w:rFonts w:hint="default"/>
        </w:rPr>
      </w:pPr>
    </w:p>
    <w:p>
      <w:pPr>
        <w:pStyle w:val="246"/>
        <w:ind w:left="672"/>
        <w:rPr>
          <w:rFonts w:hint="default"/>
        </w:rPr>
      </w:pPr>
      <w:r>
        <w:rPr>
          <w:rFonts w:hint="default"/>
        </w:rPr>
        <w:br w:type="page"/>
      </w:r>
      <w:r>
        <w:rPr>
          <w:rFonts w:hint="default"/>
        </w:rPr>
        <w:t>ｴ</w:t>
      </w:r>
      <w:r>
        <w:rPr>
          <w:rFonts w:hint="default"/>
        </w:rPr>
        <w:t>)</w:t>
      </w:r>
      <w:r>
        <w:rPr>
          <w:rFonts w:hint="eastAsia"/>
        </w:rPr>
        <w:t>保育所等訪問支援</w:t>
      </w:r>
    </w:p>
    <w:p>
      <w:pPr>
        <w:pStyle w:val="251"/>
        <w:spacing w:line="240" w:lineRule="auto"/>
        <w:ind w:left="897" w:leftChars="400" w:firstLine="214"/>
        <w:rPr>
          <w:rFonts w:hint="default"/>
          <w:spacing w:val="0"/>
        </w:rPr>
      </w:pPr>
      <w:r>
        <w:rPr>
          <w:rFonts w:hint="eastAsia"/>
          <w:spacing w:val="0"/>
        </w:rPr>
        <w:t>保育所や集団生活を営む施設等を訪問し、障がい児以外の児童との集団生活への適応のための専門的な支援を行います。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ind w:left="1009" w:leftChars="450" w:firstLine="214"/>
        <w:rPr>
          <w:rFonts w:hint="default"/>
          <w:spacing w:val="0"/>
        </w:rPr>
      </w:pPr>
      <w:r>
        <w:rPr>
          <w:rFonts w:hint="eastAsia"/>
          <w:spacing w:val="0"/>
        </w:rPr>
        <w:t>令和２年度からの過去３年間の利用者数は、年々増加傾向にあります。増加率は毎年度差があるため、令和２年度から令和５年度見込み数の各前</w:t>
      </w:r>
      <w:r>
        <w:rPr>
          <w:rFonts w:hint="default"/>
          <w:spacing w:val="0"/>
        </w:rPr>
        <w:t>年度比増加数平均値</w:t>
      </w:r>
      <w:r>
        <w:rPr>
          <w:rFonts w:hint="default"/>
          <w:spacing w:val="0"/>
        </w:rPr>
        <w:t>(8</w:t>
      </w:r>
      <w:r>
        <w:rPr>
          <w:rFonts w:hint="default"/>
          <w:spacing w:val="0"/>
        </w:rPr>
        <w:t>増</w:t>
      </w:r>
      <w:r>
        <w:rPr>
          <w:rFonts w:hint="default"/>
          <w:spacing w:val="0"/>
        </w:rPr>
        <w:t>)</w:t>
      </w:r>
      <w:r>
        <w:rPr>
          <w:rFonts w:hint="default"/>
          <w:spacing w:val="0"/>
        </w:rPr>
        <w:t>を増加数と見込み、令和</w:t>
      </w:r>
      <w:r>
        <w:rPr>
          <w:rFonts w:hint="eastAsia"/>
          <w:spacing w:val="0"/>
        </w:rPr>
        <w:t>６年</w:t>
      </w:r>
      <w:r>
        <w:rPr>
          <w:rFonts w:hint="default"/>
          <w:spacing w:val="0"/>
        </w:rPr>
        <w:t>度以降の見込みに反映しています。</w:t>
      </w:r>
    </w:p>
    <w:p>
      <w:pPr>
        <w:pStyle w:val="251"/>
        <w:spacing w:line="240" w:lineRule="auto"/>
        <w:ind w:left="1009" w:leftChars="450" w:firstLine="214"/>
        <w:rPr>
          <w:rFonts w:hint="default"/>
          <w:spacing w:val="0"/>
        </w:rPr>
      </w:pPr>
      <w:r>
        <w:rPr>
          <w:rFonts w:hint="eastAsia"/>
          <w:spacing w:val="0"/>
        </w:rPr>
        <w:t>利用量は、過去３年</w:t>
      </w:r>
      <w:r>
        <w:rPr>
          <w:rFonts w:hint="default"/>
          <w:spacing w:val="0"/>
        </w:rPr>
        <w:t>間の</w:t>
      </w:r>
      <w:r>
        <w:rPr>
          <w:rFonts w:hint="default"/>
          <w:spacing w:val="0"/>
        </w:rPr>
        <w:t>1</w:t>
      </w:r>
      <w:r>
        <w:rPr>
          <w:rFonts w:hint="default"/>
          <w:spacing w:val="0"/>
        </w:rPr>
        <w:t>人あたりの平均利用日数</w:t>
      </w:r>
      <w:r>
        <w:rPr>
          <w:rFonts w:hint="default"/>
          <w:spacing w:val="0"/>
        </w:rPr>
        <w:t>(2.3</w:t>
      </w:r>
      <w:r>
        <w:rPr>
          <w:rFonts w:hint="default"/>
          <w:spacing w:val="0"/>
        </w:rPr>
        <w:t>日</w:t>
      </w:r>
      <w:r>
        <w:rPr>
          <w:rFonts w:hint="default"/>
          <w:spacing w:val="0"/>
        </w:rPr>
        <w:t>)</w:t>
      </w:r>
      <w:r>
        <w:rPr>
          <w:rFonts w:hint="default"/>
          <w:spacing w:val="0"/>
        </w:rPr>
        <w:t>を、令</w:t>
      </w:r>
      <w:r>
        <w:rPr>
          <w:rFonts w:hint="eastAsia"/>
          <w:spacing w:val="0"/>
        </w:rPr>
        <w:t>和６年</w:t>
      </w:r>
      <w:r>
        <w:rPr>
          <w:rFonts w:hint="default"/>
          <w:spacing w:val="0"/>
        </w:rPr>
        <w:t>度以降の利用者数の見込みに乗じて見込みました。</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361" w:name="保育所等訪問支援"/>
            <w:r>
              <w:rPr>
                <w:rFonts w:hint="eastAsia"/>
              </w:rPr>
              <w:t>利用者数</w:t>
            </w:r>
            <w:bookmarkEnd w:id="361"/>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35</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37</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39</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51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59</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67</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23</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39</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43</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r>
              <w:rPr>
                <w:rFonts w:hint="default"/>
              </w:rPr>
              <w:t>12</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2</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4</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r>
    </w:tbl>
    <w:p>
      <w:pPr>
        <w:pStyle w:val="0"/>
        <w:spacing w:line="160" w:lineRule="exact"/>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88</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93</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85</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117</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136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154</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50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99</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108</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r>
              <w:rPr>
                <w:rFonts w:hint="default"/>
              </w:rPr>
              <w:t>38</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6</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23</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35" behindDoc="0" locked="0" layoutInCell="1" hidden="0" allowOverlap="1">
            <wp:simplePos x="0" y="0"/>
            <wp:positionH relativeFrom="column">
              <wp:posOffset>241300</wp:posOffset>
            </wp:positionH>
            <wp:positionV relativeFrom="paragraph">
              <wp:posOffset>93980</wp:posOffset>
            </wp:positionV>
            <wp:extent cx="5938520" cy="2232025"/>
            <wp:effectExtent l="0" t="0" r="0" b="0"/>
            <wp:wrapNone/>
            <wp:docPr id="1311" name="保育所等訪問支援01"/>
            <a:graphic xmlns:a="http://schemas.openxmlformats.org/drawingml/2006/main">
              <a:graphicData uri="http://schemas.openxmlformats.org/drawingml/2006/picture">
                <pic:pic xmlns:pic="http://schemas.openxmlformats.org/drawingml/2006/picture">
                  <pic:nvPicPr>
                    <pic:cNvPr id="1311" name="保育所等訪問支援01"/>
                    <pic:cNvPicPr>
                      <a:picLocks noChangeAspect="1" noChangeArrowheads="1"/>
                    </pic:cNvPicPr>
                  </pic:nvPicPr>
                  <pic:blipFill>
                    <a:blip r:embed="rId87"/>
                    <a:srcRect b="8403"/>
                    <a:stretch>
                      <a:fillRect/>
                    </a:stretch>
                  </pic:blipFill>
                  <pic:spPr>
                    <a:xfrm>
                      <a:off x="0" y="0"/>
                      <a:ext cx="5938520" cy="2232025"/>
                    </a:xfrm>
                    <a:prstGeom prst="rect">
                      <a:avLst/>
                    </a:prstGeom>
                    <a:noFill/>
                    <a:ln>
                      <a:noFill/>
                    </a:ln>
                  </pic:spPr>
                </pic:pic>
              </a:graphicData>
            </a:graphic>
          </wp:anchor>
        </w:drawing>
      </w: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r>
        <w:rPr>
          <w:rFonts w:hint="default"/>
        </w:rPr>
        <w:drawing>
          <wp:anchor distT="0" distB="0" distL="114300" distR="114300" simplePos="0" relativeHeight="34" behindDoc="0" locked="0" layoutInCell="1" hidden="0" allowOverlap="1">
            <wp:simplePos x="0" y="0"/>
            <wp:positionH relativeFrom="column">
              <wp:posOffset>237490</wp:posOffset>
            </wp:positionH>
            <wp:positionV relativeFrom="paragraph">
              <wp:posOffset>192405</wp:posOffset>
            </wp:positionV>
            <wp:extent cx="5938520" cy="2232025"/>
            <wp:effectExtent l="0" t="0" r="0" b="0"/>
            <wp:wrapNone/>
            <wp:docPr id="1312" name="保育所等訪問支援02"/>
            <a:graphic xmlns:a="http://schemas.openxmlformats.org/drawingml/2006/main">
              <a:graphicData uri="http://schemas.openxmlformats.org/drawingml/2006/picture">
                <pic:pic xmlns:pic="http://schemas.openxmlformats.org/drawingml/2006/picture">
                  <pic:nvPicPr>
                    <pic:cNvPr id="1312" name="保育所等訪問支援02"/>
                    <pic:cNvPicPr>
                      <a:picLocks noChangeAspect="1" noChangeArrowheads="1"/>
                    </pic:cNvPicPr>
                  </pic:nvPicPr>
                  <pic:blipFill>
                    <a:blip r:embed="rId88"/>
                    <a:srcRect b="8403"/>
                    <a:stretch>
                      <a:fillRect/>
                    </a:stretch>
                  </pic:blipFill>
                  <pic:spPr>
                    <a:xfrm>
                      <a:off x="0" y="0"/>
                      <a:ext cx="5938520" cy="2232025"/>
                    </a:xfrm>
                    <a:prstGeom prst="rect">
                      <a:avLst/>
                    </a:prstGeom>
                    <a:noFill/>
                    <a:ln>
                      <a:noFill/>
                    </a:ln>
                  </pic:spPr>
                </pic:pic>
              </a:graphicData>
            </a:graphic>
          </wp:anchor>
        </w:drawing>
      </w:r>
    </w:p>
    <w:p>
      <w:pPr>
        <w:pStyle w:val="0"/>
        <w:ind w:left="438" w:firstLine="205"/>
        <w:rPr>
          <w:rFonts w:hint="default"/>
        </w:rPr>
      </w:pPr>
    </w:p>
    <w:p>
      <w:pPr>
        <w:pStyle w:val="0"/>
        <w:ind w:left="438" w:firstLine="209"/>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0"/>
        <w:ind w:left="438" w:firstLine="205"/>
        <w:rPr>
          <w:rFonts w:hint="default"/>
        </w:rPr>
      </w:pPr>
    </w:p>
    <w:p>
      <w:pPr>
        <w:pStyle w:val="246"/>
        <w:ind w:left="672"/>
        <w:rPr>
          <w:rFonts w:hint="default"/>
        </w:rPr>
      </w:pPr>
      <w:r>
        <w:rPr>
          <w:rFonts w:hint="default"/>
        </w:rPr>
        <w:br w:type="page"/>
      </w:r>
      <w:r>
        <w:rPr>
          <w:rFonts w:hint="default"/>
        </w:rPr>
        <w:t>ｵ</w:t>
      </w:r>
      <w:r>
        <w:rPr>
          <w:rFonts w:hint="default"/>
        </w:rPr>
        <w:t>)</w:t>
      </w:r>
      <w:r>
        <w:rPr>
          <w:rFonts w:hint="eastAsia"/>
        </w:rPr>
        <w:t>居宅訪問型児童発達支援</w:t>
      </w:r>
    </w:p>
    <w:p>
      <w:pPr>
        <w:pStyle w:val="251"/>
        <w:spacing w:line="240" w:lineRule="auto"/>
        <w:ind w:left="897" w:leftChars="400" w:firstLine="214"/>
        <w:rPr>
          <w:rFonts w:hint="default"/>
          <w:spacing w:val="0"/>
        </w:rPr>
      </w:pPr>
      <w:r>
        <w:rPr>
          <w:rFonts w:hint="eastAsia"/>
          <w:spacing w:val="0"/>
        </w:rPr>
        <w:t>居宅訪問型児童発達支援は、平成</w:t>
      </w:r>
      <w:r>
        <w:rPr>
          <w:rFonts w:hint="eastAsia"/>
          <w:spacing w:val="0"/>
        </w:rPr>
        <w:t>30</w:t>
      </w:r>
      <w:r>
        <w:rPr>
          <w:rFonts w:hint="eastAsia"/>
          <w:spacing w:val="0"/>
        </w:rPr>
        <w:t>年度から新しく導入されたサービスです。重度の障がい等により外出が困難な障がい児の自宅を訪問し、発達支援を行うものです。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eastAsia"/>
          <w:spacing w:val="0"/>
        </w:rPr>
        <w:t>令和２年度からの過去３年</w:t>
      </w:r>
      <w:r>
        <w:rPr>
          <w:rFonts w:hint="default"/>
          <w:spacing w:val="0"/>
        </w:rPr>
        <w:t>間</w:t>
      </w:r>
      <w:r>
        <w:rPr>
          <w:rFonts w:hint="default"/>
          <w:spacing w:val="0"/>
        </w:rPr>
        <w:t>(</w:t>
      </w:r>
      <w:r>
        <w:rPr>
          <w:rFonts w:hint="default"/>
          <w:spacing w:val="0"/>
        </w:rPr>
        <w:t>各年度</w:t>
      </w:r>
      <w:r>
        <w:rPr>
          <w:rFonts w:hint="eastAsia"/>
          <w:spacing w:val="0"/>
        </w:rPr>
        <w:t>３月</w:t>
      </w:r>
      <w:r>
        <w:rPr>
          <w:rFonts w:hint="default"/>
          <w:spacing w:val="0"/>
        </w:rPr>
        <w:t>サービス提供</w:t>
      </w:r>
      <w:r>
        <w:rPr>
          <w:rFonts w:hint="default"/>
          <w:spacing w:val="0"/>
        </w:rPr>
        <w:t>)</w:t>
      </w:r>
      <w:r>
        <w:rPr>
          <w:rFonts w:hint="default"/>
          <w:spacing w:val="0"/>
        </w:rPr>
        <w:t>は利用実績はありませんが、令和</w:t>
      </w:r>
      <w:r>
        <w:rPr>
          <w:rFonts w:hint="eastAsia"/>
          <w:spacing w:val="0"/>
        </w:rPr>
        <w:t>４年</w:t>
      </w:r>
      <w:r>
        <w:rPr>
          <w:rFonts w:hint="default"/>
          <w:spacing w:val="0"/>
        </w:rPr>
        <w:t>度におい</w:t>
      </w:r>
      <w:r>
        <w:rPr>
          <w:rFonts w:hint="eastAsia"/>
          <w:spacing w:val="0"/>
        </w:rPr>
        <w:t>て３月以</w:t>
      </w:r>
      <w:r>
        <w:rPr>
          <w:rFonts w:hint="default"/>
          <w:spacing w:val="0"/>
        </w:rPr>
        <w:t>外の月で利用実績があります。今</w:t>
      </w:r>
      <w:r>
        <w:rPr>
          <w:rFonts w:hint="eastAsia"/>
          <w:spacing w:val="0"/>
        </w:rPr>
        <w:t>後令和４年度同様に</w:t>
      </w:r>
      <w:r>
        <w:rPr>
          <w:rFonts w:hint="default"/>
          <w:spacing w:val="0"/>
        </w:rPr>
        <w:t>サービス利用の可能性があるため、令</w:t>
      </w:r>
      <w:r>
        <w:rPr>
          <w:rFonts w:hint="eastAsia"/>
          <w:spacing w:val="0"/>
        </w:rPr>
        <w:t>和６年</w:t>
      </w:r>
      <w:r>
        <w:rPr>
          <w:rFonts w:hint="default"/>
          <w:spacing w:val="0"/>
        </w:rPr>
        <w:t>度以降に</w:t>
      </w:r>
      <w:r>
        <w:rPr>
          <w:rFonts w:hint="default"/>
          <w:spacing w:val="0"/>
        </w:rPr>
        <w:t>1</w:t>
      </w:r>
      <w:r>
        <w:rPr>
          <w:rFonts w:hint="default"/>
          <w:spacing w:val="0"/>
        </w:rPr>
        <w:t>人見込みました。</w:t>
      </w:r>
    </w:p>
    <w:p>
      <w:pPr>
        <w:pStyle w:val="251"/>
        <w:spacing w:line="240" w:lineRule="auto"/>
        <w:ind w:left="1009" w:leftChars="450" w:firstLine="214"/>
        <w:rPr>
          <w:rFonts w:hint="default"/>
          <w:spacing w:val="0"/>
        </w:rPr>
      </w:pPr>
      <w:r>
        <w:rPr>
          <w:rFonts w:hint="eastAsia"/>
          <w:spacing w:val="0"/>
        </w:rPr>
        <w:t>過去の実績と同数の利用日数</w:t>
      </w:r>
      <w:r>
        <w:rPr>
          <w:rFonts w:hint="default"/>
          <w:spacing w:val="0"/>
        </w:rPr>
        <w:t>(6</w:t>
      </w:r>
      <w:r>
        <w:rPr>
          <w:rFonts w:hint="default"/>
          <w:spacing w:val="0"/>
        </w:rPr>
        <w:t>日</w:t>
      </w:r>
      <w:r>
        <w:rPr>
          <w:rFonts w:hint="default"/>
          <w:spacing w:val="0"/>
        </w:rPr>
        <w:t>)</w:t>
      </w:r>
      <w:r>
        <w:rPr>
          <w:rFonts w:hint="default"/>
          <w:spacing w:val="0"/>
        </w:rPr>
        <w:t>を見込みました。</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bookmarkStart w:id="362" w:name="居宅訪問型児童発達支援"/>
            <w:r>
              <w:rPr>
                <w:rFonts w:hint="eastAsia"/>
              </w:rPr>
              <w:t>利用者数</w:t>
            </w:r>
            <w:bookmarkEnd w:id="362"/>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0</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0</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r>
              <w:rPr>
                <w:rFonts w:hint="default"/>
              </w:rPr>
              <w:t>1</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r>
    </w:tbl>
    <w:p>
      <w:pPr>
        <w:pStyle w:val="0"/>
        <w:spacing w:line="160" w:lineRule="exact"/>
        <w:rPr>
          <w:rFonts w:hint="default" w:ascii="ＭＳ ゴシック" w:hAnsi="ＭＳ ゴシック" w:eastAsia="ＭＳ ゴシック"/>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利用量</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6</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日</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0</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0</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0</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r>
              <w:rPr>
                <w:rFonts w:hint="default"/>
              </w:rPr>
              <w:t>0</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tcMar>
              <w:left w:w="57" w:type="dxa"/>
              <w:right w:w="57" w:type="dxa"/>
            </w:tcMar>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rPr>
      </w:pPr>
      <w:r>
        <w:rPr>
          <w:rFonts w:hint="default"/>
        </w:rPr>
        <w:drawing>
          <wp:anchor distT="0" distB="0" distL="114300" distR="114300" simplePos="0" relativeHeight="140" behindDoc="0" locked="0" layoutInCell="1" hidden="0" allowOverlap="1">
            <wp:simplePos x="0" y="0"/>
            <wp:positionH relativeFrom="column">
              <wp:posOffset>300355</wp:posOffset>
            </wp:positionH>
            <wp:positionV relativeFrom="paragraph">
              <wp:posOffset>141605</wp:posOffset>
            </wp:positionV>
            <wp:extent cx="5953760" cy="2219960"/>
            <wp:effectExtent l="0" t="0" r="0" b="0"/>
            <wp:wrapNone/>
            <wp:docPr id="1313" name="居宅訪問型児童発達支援01"/>
            <a:graphic xmlns:a="http://schemas.openxmlformats.org/drawingml/2006/main">
              <a:graphicData uri="http://schemas.openxmlformats.org/drawingml/2006/picture">
                <pic:pic xmlns:pic="http://schemas.openxmlformats.org/drawingml/2006/picture">
                  <pic:nvPicPr>
                    <pic:cNvPr id="1313" name="居宅訪問型児童発達支援01"/>
                    <pic:cNvPicPr>
                      <a:picLocks noChangeAspect="1" noChangeArrowheads="1"/>
                    </pic:cNvPicPr>
                  </pic:nvPicPr>
                  <pic:blipFill>
                    <a:blip r:embed="rId89"/>
                    <a:srcRect b="9334"/>
                    <a:stretch>
                      <a:fillRect/>
                    </a:stretch>
                  </pic:blipFill>
                  <pic:spPr>
                    <a:xfrm>
                      <a:off x="0" y="0"/>
                      <a:ext cx="5953760" cy="2219960"/>
                    </a:xfrm>
                    <a:prstGeom prst="rect">
                      <a:avLst/>
                    </a:prstGeom>
                    <a:noFill/>
                    <a:ln>
                      <a:noFill/>
                    </a:ln>
                  </pic:spPr>
                </pic:pic>
              </a:graphicData>
            </a:graphic>
          </wp:anchor>
        </w:drawing>
      </w:r>
    </w:p>
    <w:p>
      <w:pPr>
        <w:pStyle w:val="0"/>
        <w:ind w:left="438" w:firstLine="209"/>
        <w:rPr>
          <w:rFonts w:hint="default"/>
        </w:rPr>
      </w:pPr>
    </w:p>
    <w:p>
      <w:pPr>
        <w:pStyle w:val="0"/>
        <w:ind w:left="438" w:firstLine="209"/>
        <w:rPr>
          <w:rFonts w:hint="default"/>
        </w:rPr>
      </w:pPr>
    </w:p>
    <w:p>
      <w:pPr>
        <w:pStyle w:val="0"/>
        <w:ind w:left="438" w:firstLine="209"/>
        <w:rPr>
          <w:rFonts w:hint="default"/>
        </w:rPr>
      </w:pPr>
    </w:p>
    <w:p>
      <w:pPr>
        <w:pStyle w:val="0"/>
        <w:ind w:left="438" w:firstLine="209"/>
        <w:rPr>
          <w:rFonts w:hint="default"/>
        </w:rPr>
      </w:pPr>
    </w:p>
    <w:p>
      <w:pPr>
        <w:pStyle w:val="0"/>
        <w:ind w:left="438" w:firstLine="209"/>
        <w:rPr>
          <w:rFonts w:hint="default"/>
        </w:rPr>
      </w:pPr>
    </w:p>
    <w:p>
      <w:pPr>
        <w:pStyle w:val="0"/>
        <w:ind w:left="438" w:firstLine="209"/>
        <w:rPr>
          <w:rFonts w:hint="default"/>
        </w:rPr>
      </w:pPr>
    </w:p>
    <w:p>
      <w:pPr>
        <w:pStyle w:val="0"/>
        <w:ind w:left="438" w:firstLine="209"/>
        <w:rPr>
          <w:rFonts w:hint="default"/>
        </w:rPr>
      </w:pPr>
    </w:p>
    <w:p>
      <w:pPr>
        <w:pStyle w:val="0"/>
        <w:ind w:left="438" w:firstLine="209"/>
        <w:rPr>
          <w:rFonts w:hint="default"/>
        </w:rPr>
      </w:pPr>
    </w:p>
    <w:p>
      <w:pPr>
        <w:pStyle w:val="0"/>
        <w:ind w:left="438" w:firstLine="209"/>
        <w:rPr>
          <w:rFonts w:hint="default"/>
        </w:rPr>
      </w:pPr>
      <w:r>
        <w:rPr>
          <w:rFonts w:hint="default"/>
        </w:rPr>
        <w:drawing>
          <wp:anchor distT="0" distB="0" distL="114300" distR="114300" simplePos="0" relativeHeight="139" behindDoc="0" locked="0" layoutInCell="1" hidden="0" allowOverlap="1">
            <wp:simplePos x="0" y="0"/>
            <wp:positionH relativeFrom="column">
              <wp:posOffset>297180</wp:posOffset>
            </wp:positionH>
            <wp:positionV relativeFrom="paragraph">
              <wp:posOffset>215265</wp:posOffset>
            </wp:positionV>
            <wp:extent cx="5954395" cy="2219960"/>
            <wp:effectExtent l="0" t="0" r="0" b="0"/>
            <wp:wrapNone/>
            <wp:docPr id="1314" name="居宅訪問型児童発達支援02"/>
            <a:graphic xmlns:a="http://schemas.openxmlformats.org/drawingml/2006/main">
              <a:graphicData uri="http://schemas.openxmlformats.org/drawingml/2006/picture">
                <pic:pic xmlns:pic="http://schemas.openxmlformats.org/drawingml/2006/picture">
                  <pic:nvPicPr>
                    <pic:cNvPr id="1314" name="居宅訪問型児童発達支援02"/>
                    <pic:cNvPicPr>
                      <a:picLocks noChangeAspect="1" noChangeArrowheads="1"/>
                    </pic:cNvPicPr>
                  </pic:nvPicPr>
                  <pic:blipFill>
                    <a:blip r:embed="rId90"/>
                    <a:srcRect b="9334"/>
                    <a:stretch>
                      <a:fillRect/>
                    </a:stretch>
                  </pic:blipFill>
                  <pic:spPr>
                    <a:xfrm>
                      <a:off x="0" y="0"/>
                      <a:ext cx="5954395" cy="2219960"/>
                    </a:xfrm>
                    <a:prstGeom prst="rect">
                      <a:avLst/>
                    </a:prstGeom>
                    <a:noFill/>
                    <a:ln>
                      <a:noFill/>
                    </a:ln>
                  </pic:spPr>
                </pic:pic>
              </a:graphicData>
            </a:graphic>
          </wp:anchor>
        </w:drawing>
      </w:r>
    </w:p>
    <w:p>
      <w:pPr>
        <w:pStyle w:val="0"/>
        <w:ind w:left="438" w:firstLine="209"/>
        <w:rPr>
          <w:rFonts w:hint="default"/>
        </w:rPr>
      </w:pPr>
    </w:p>
    <w:p>
      <w:pPr>
        <w:pStyle w:val="0"/>
        <w:ind w:left="438" w:firstLine="209"/>
        <w:rPr>
          <w:rFonts w:hint="default"/>
        </w:rPr>
      </w:pPr>
    </w:p>
    <w:p>
      <w:pPr>
        <w:pStyle w:val="0"/>
        <w:ind w:left="438" w:firstLine="209"/>
        <w:rPr>
          <w:rFonts w:hint="default"/>
        </w:rPr>
      </w:pPr>
    </w:p>
    <w:p>
      <w:pPr>
        <w:pStyle w:val="0"/>
        <w:ind w:left="438" w:firstLine="209"/>
        <w:rPr>
          <w:rFonts w:hint="default"/>
        </w:rPr>
      </w:pPr>
    </w:p>
    <w:p>
      <w:pPr>
        <w:pStyle w:val="0"/>
        <w:ind w:left="438" w:firstLine="209"/>
        <w:rPr>
          <w:rFonts w:hint="default"/>
        </w:rPr>
      </w:pPr>
    </w:p>
    <w:p>
      <w:pPr>
        <w:pStyle w:val="0"/>
        <w:ind w:left="438" w:firstLine="205"/>
        <w:rPr>
          <w:rFonts w:hint="default"/>
        </w:rPr>
      </w:pPr>
    </w:p>
    <w:p>
      <w:pPr>
        <w:pStyle w:val="0"/>
        <w:rPr>
          <w:rFonts w:hint="default"/>
        </w:rPr>
      </w:pPr>
      <w:r>
        <w:rPr>
          <w:rFonts w:hint="default"/>
        </w:rPr>
        <w:br w:type="page"/>
      </w:r>
    </w:p>
    <w:p>
      <w:pPr>
        <w:pStyle w:val="246"/>
        <w:ind w:left="672"/>
        <w:rPr>
          <w:rFonts w:hint="default"/>
        </w:rPr>
      </w:pPr>
      <w:r>
        <w:rPr>
          <w:rFonts w:hint="default"/>
        </w:rPr>
        <w:t>ｶ</w:t>
      </w:r>
      <w:r>
        <w:rPr>
          <w:rFonts w:hint="default"/>
        </w:rPr>
        <w:t>)</w:t>
      </w:r>
      <w:r>
        <w:rPr>
          <w:rFonts w:hint="eastAsia"/>
        </w:rPr>
        <w:t>障害児相談支援</w:t>
      </w:r>
    </w:p>
    <w:p>
      <w:pPr>
        <w:pStyle w:val="251"/>
        <w:spacing w:line="240" w:lineRule="auto"/>
        <w:ind w:left="897" w:leftChars="400" w:firstLine="214"/>
        <w:rPr>
          <w:rFonts w:hint="default"/>
          <w:spacing w:val="0"/>
        </w:rPr>
      </w:pPr>
      <w:r>
        <w:rPr>
          <w:rFonts w:hint="eastAsia"/>
          <w:spacing w:val="0"/>
        </w:rPr>
        <w:t>障がい児が障害児通所支援を利用する際、障害児支援利用計画を作成し、必要に応じて計画の変更、事業所との調整、情報提供などの支援を行います。</w:t>
      </w:r>
    </w:p>
    <w:p>
      <w:pPr>
        <w:pStyle w:val="251"/>
        <w:spacing w:before="70" w:beforeLines="20" w:beforeAutospacing="0" w:line="240" w:lineRule="auto"/>
        <w:ind w:left="784" w:leftChars="350" w:firstLine="0" w:firstLineChars="0"/>
        <w:rPr>
          <w:rFonts w:hint="default" w:asciiTheme="majorEastAsia" w:hAnsiTheme="majorEastAsia" w:eastAsiaTheme="majorEastAsia"/>
          <w:spacing w:val="0"/>
        </w:rPr>
      </w:pPr>
      <w:r>
        <w:rPr>
          <w:rFonts w:hint="default" w:asciiTheme="majorEastAsia" w:hAnsiTheme="majorEastAsia" w:eastAsiaTheme="majorEastAsia"/>
          <w:spacing w:val="0"/>
        </w:rPr>
        <w:t>【</w:t>
      </w:r>
      <w:r>
        <w:rPr>
          <w:rFonts w:hint="eastAsia" w:asciiTheme="majorEastAsia" w:hAnsiTheme="majorEastAsia" w:eastAsiaTheme="majorEastAsia"/>
          <w:spacing w:val="0"/>
        </w:rPr>
        <w:t>見込み量の算出根拠】</w:t>
      </w:r>
    </w:p>
    <w:p>
      <w:pPr>
        <w:pStyle w:val="251"/>
        <w:spacing w:line="240" w:lineRule="auto"/>
        <w:ind w:left="1009" w:leftChars="450" w:firstLine="214"/>
        <w:rPr>
          <w:rFonts w:hint="default"/>
          <w:spacing w:val="0"/>
        </w:rPr>
      </w:pPr>
      <w:r>
        <w:rPr>
          <w:rFonts w:hint="eastAsia"/>
          <w:spacing w:val="0"/>
        </w:rPr>
        <w:t>令和２年度からの過去３年間の利用者数は、令和３年</w:t>
      </w:r>
      <w:r>
        <w:rPr>
          <w:rFonts w:hint="default"/>
          <w:spacing w:val="0"/>
        </w:rPr>
        <w:t>度において微減があるものの、基本的に増加傾向にあります。令</w:t>
      </w:r>
      <w:r>
        <w:rPr>
          <w:rFonts w:hint="eastAsia"/>
          <w:spacing w:val="0"/>
        </w:rPr>
        <w:t>和３年度から令和５年度見込</w:t>
      </w:r>
      <w:r>
        <w:rPr>
          <w:rFonts w:hint="default"/>
          <w:spacing w:val="0"/>
        </w:rPr>
        <w:t>数において、毎年度約</w:t>
      </w:r>
      <w:r>
        <w:rPr>
          <w:rFonts w:hint="default"/>
          <w:spacing w:val="0"/>
        </w:rPr>
        <w:t>6</w:t>
      </w:r>
      <w:r>
        <w:rPr>
          <w:rFonts w:hint="default"/>
          <w:spacing w:val="0"/>
        </w:rPr>
        <w:t>人の増となっていることから、令</w:t>
      </w:r>
      <w:r>
        <w:rPr>
          <w:rFonts w:hint="eastAsia"/>
          <w:spacing w:val="0"/>
        </w:rPr>
        <w:t>和６年度</w:t>
      </w:r>
      <w:r>
        <w:rPr>
          <w:rFonts w:hint="default"/>
          <w:spacing w:val="0"/>
        </w:rPr>
        <w:t>以降は毎年度</w:t>
      </w:r>
      <w:r>
        <w:rPr>
          <w:rFonts w:hint="default"/>
          <w:spacing w:val="0"/>
        </w:rPr>
        <w:t>6</w:t>
      </w:r>
      <w:r>
        <w:rPr>
          <w:rFonts w:hint="default"/>
          <w:spacing w:val="0"/>
        </w:rPr>
        <w:t>人の増で見込みます。</w:t>
      </w:r>
    </w:p>
    <w:p>
      <w:pPr>
        <w:pStyle w:val="0"/>
        <w:spacing w:line="0" w:lineRule="atLeast"/>
        <w:ind w:left="438" w:firstLine="159"/>
        <w:rPr>
          <w:rFonts w:hint="default"/>
          <w:sz w:val="16"/>
        </w:rPr>
      </w:pPr>
    </w:p>
    <w:tbl>
      <w:tblPr>
        <w:tblStyle w:val="11"/>
        <w:tblW w:w="8979" w:type="dxa"/>
        <w:tblInd w:w="717" w:type="dxa"/>
        <w:tblLayout w:type="fixed"/>
        <w:tblCellMar>
          <w:left w:w="57" w:type="dxa"/>
          <w:right w:w="57" w:type="dxa"/>
        </w:tblCellMar>
        <w:tblLook w:firstRow="0" w:lastRow="0" w:firstColumn="0" w:lastColumn="0" w:noHBand="0" w:noVBand="0" w:val="0000"/>
      </w:tblPr>
      <w:tblGrid>
        <w:gridCol w:w="1325"/>
        <w:gridCol w:w="992"/>
        <w:gridCol w:w="1116"/>
        <w:gridCol w:w="1117"/>
        <w:gridCol w:w="1117"/>
        <w:gridCol w:w="1104"/>
        <w:gridCol w:w="1104"/>
        <w:gridCol w:w="1104"/>
      </w:tblGrid>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利用者数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単位</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88"/>
              </w:rPr>
            </w:pPr>
            <w:r>
              <w:rPr>
                <w:rFonts w:hint="eastAsia"/>
                <w:spacing w:val="-6"/>
                <w:w w:val="95"/>
              </w:rPr>
              <w:t>令和３年度</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令和４年度</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令和５年度</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令和６年度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令和７年度</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spacing w:val="-6"/>
                <w:w w:val="95"/>
              </w:rPr>
            </w:pPr>
            <w:r>
              <w:rPr>
                <w:rFonts w:hint="eastAsia"/>
                <w:spacing w:val="-6"/>
                <w:w w:val="95"/>
              </w:rPr>
              <w:t>令和８年度</w:t>
            </w:r>
          </w:p>
        </w:tc>
      </w:tr>
      <w:tr>
        <w:trPr/>
        <w:tc>
          <w:tcPr>
            <w:tcW w:w="13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計画値</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75</w:t>
            </w:r>
          </w:p>
        </w:tc>
        <w:tc>
          <w:tcPr>
            <w:tcW w:w="11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92</w:t>
            </w:r>
          </w:p>
        </w:tc>
        <w:tc>
          <w:tcPr>
            <w:tcW w:w="1117"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109</w:t>
            </w:r>
          </w:p>
        </w:tc>
        <w:tc>
          <w:tcPr>
            <w:tcW w:w="1104"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96</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102</w:t>
            </w:r>
          </w:p>
        </w:tc>
        <w:tc>
          <w:tcPr>
            <w:tcW w:w="11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108</w:t>
            </w:r>
          </w:p>
        </w:tc>
      </w:tr>
      <w:tr>
        <w:trPr/>
        <w:tc>
          <w:tcPr>
            <w:tcW w:w="1325"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実績値</w:t>
            </w:r>
          </w:p>
        </w:tc>
        <w:tc>
          <w:tcPr>
            <w:tcW w:w="992"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人</w:t>
            </w:r>
            <w:r>
              <w:rPr>
                <w:rFonts w:hint="eastAsia"/>
              </w:rPr>
              <w:t>/</w:t>
            </w:r>
            <w:r>
              <w:rPr>
                <w:rFonts w:hint="eastAsia"/>
              </w:rPr>
              <w:t>月</w:t>
            </w:r>
          </w:p>
        </w:tc>
        <w:tc>
          <w:tcPr>
            <w:tcW w:w="1116"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65</w:t>
            </w:r>
          </w:p>
        </w:tc>
        <w:tc>
          <w:tcPr>
            <w:tcW w:w="1117"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66</w:t>
            </w:r>
          </w:p>
        </w:tc>
        <w:tc>
          <w:tcPr>
            <w:tcW w:w="1117" w:type="dxa"/>
            <w:tcBorders>
              <w:top w:val="single" w:color="auto" w:sz="4" w:space="0"/>
              <w:left w:val="single" w:color="auto" w:sz="4" w:space="0"/>
              <w:bottom w:val="doub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default"/>
              </w:rPr>
              <w:t>90</w:t>
            </w:r>
          </w:p>
        </w:tc>
        <w:tc>
          <w:tcPr>
            <w:tcW w:w="1104" w:type="dxa"/>
            <w:tcBorders>
              <w:top w:val="single" w:color="auto" w:sz="4" w:space="0"/>
              <w:left w:val="doub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c>
          <w:tcPr>
            <w:tcW w:w="1104" w:type="dxa"/>
            <w:tcBorders>
              <w:top w:val="single" w:color="auto" w:sz="4" w:space="0"/>
              <w:left w:val="single" w:color="auto" w:sz="4" w:space="0"/>
              <w:bottom w:val="doub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p>
        </w:tc>
      </w:tr>
      <w:tr>
        <w:trPr/>
        <w:tc>
          <w:tcPr>
            <w:tcW w:w="2317" w:type="dxa"/>
            <w:gridSpan w:val="2"/>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48"/>
              <w:spacing w:before="18" w:beforeLines="0" w:beforeAutospacing="0" w:after="18" w:afterLines="0" w:afterAutospacing="0"/>
              <w:rPr>
                <w:rFonts w:hint="default"/>
              </w:rPr>
            </w:pPr>
            <w:r>
              <w:rPr>
                <w:rFonts w:hint="eastAsia"/>
              </w:rPr>
              <w:t>計画と実績の差</w:t>
            </w:r>
          </w:p>
        </w:tc>
        <w:tc>
          <w:tcPr>
            <w:tcW w:w="1116"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r>
              <w:rPr>
                <w:rFonts w:hint="default"/>
              </w:rPr>
              <w:t>10</w:t>
            </w:r>
          </w:p>
        </w:tc>
        <w:tc>
          <w:tcPr>
            <w:tcW w:w="1117" w:type="dxa"/>
            <w:tcBorders>
              <w:top w:val="doub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r>
              <w:rPr>
                <w:rFonts w:hint="default"/>
              </w:rPr>
              <w:t>26</w:t>
            </w:r>
          </w:p>
        </w:tc>
        <w:tc>
          <w:tcPr>
            <w:tcW w:w="1117" w:type="dxa"/>
            <w:tcBorders>
              <w:top w:val="doub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250"/>
              <w:spacing w:before="5" w:beforeLines="0" w:beforeAutospacing="0" w:after="5" w:afterLines="0" w:afterAutospacing="0"/>
              <w:rPr>
                <w:rFonts w:hint="default"/>
              </w:rPr>
            </w:pPr>
            <w:r>
              <w:rPr>
                <w:rFonts w:hint="eastAsia"/>
              </w:rPr>
              <w:t>△</w:t>
            </w:r>
            <w:r>
              <w:rPr>
                <w:rFonts w:hint="default"/>
              </w:rPr>
              <w:t>19</w:t>
            </w:r>
          </w:p>
        </w:tc>
        <w:tc>
          <w:tcPr>
            <w:tcW w:w="1104" w:type="dxa"/>
            <w:tcBorders>
              <w:top w:val="double" w:color="auto" w:sz="4" w:space="0"/>
              <w:left w:val="doub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c>
          <w:tcPr>
            <w:tcW w:w="1104" w:type="dxa"/>
            <w:tcBorders>
              <w:top w:val="double" w:color="auto" w:sz="4" w:space="0"/>
              <w:left w:val="single" w:color="auto" w:sz="4" w:space="0"/>
              <w:bottom w:val="single" w:color="auto" w:sz="4" w:space="0"/>
              <w:right w:val="single" w:color="auto" w:sz="4" w:space="0"/>
              <w:tl2br w:val="none" w:color="auto" w:sz="0" w:space="0"/>
              <w:tr2bl w:val="single" w:color="auto" w:sz="4" w:space="0"/>
            </w:tcBorders>
            <w:shd w:val="clear" w:color="auto" w:fill="auto"/>
            <w:vAlign w:val="center"/>
          </w:tcPr>
          <w:p>
            <w:pPr>
              <w:pStyle w:val="250"/>
              <w:spacing w:before="5" w:beforeLines="0" w:beforeAutospacing="0" w:after="5" w:afterLines="0" w:afterAutospacing="0"/>
              <w:rPr>
                <w:rFonts w:hint="default"/>
              </w:rPr>
            </w:pPr>
          </w:p>
        </w:tc>
      </w:tr>
      <w:tr>
        <w:trPr/>
        <w:tc>
          <w:tcPr>
            <w:tcW w:w="8979" w:type="dxa"/>
            <w:gridSpan w:val="8"/>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tcMar>
              <w:left w:w="57" w:type="dxa"/>
              <w:right w:w="57" w:type="dxa"/>
            </w:tcMar>
            <w:vAlign w:val="center"/>
          </w:tcPr>
          <w:p>
            <w:pPr>
              <w:pStyle w:val="249"/>
              <w:spacing w:before="37" w:beforeLines="0" w:beforeAutospacing="0" w:after="37" w:afterLines="0" w:afterAutospacing="0"/>
              <w:rPr>
                <w:rFonts w:hint="default"/>
              </w:rPr>
            </w:pPr>
            <w:r>
              <w:rPr>
                <w:rFonts w:hint="eastAsia"/>
              </w:rPr>
              <w:t>資料：保健福祉課　　・令和５年度は、見込みの数値。</w:t>
            </w:r>
          </w:p>
        </w:tc>
      </w:tr>
    </w:tbl>
    <w:p>
      <w:pPr>
        <w:pStyle w:val="0"/>
        <w:ind w:left="438" w:firstLine="209"/>
        <w:rPr>
          <w:rFonts w:hint="default" w:ascii="ＭＳ ゴシック" w:hAnsi="ＭＳ ゴシック" w:eastAsia="ＭＳ ゴシック"/>
        </w:rPr>
      </w:pPr>
      <w:r>
        <w:rPr>
          <w:rFonts w:hint="default"/>
        </w:rPr>
        <w:drawing>
          <wp:anchor distT="0" distB="0" distL="114300" distR="114300" simplePos="0" relativeHeight="138" behindDoc="0" locked="0" layoutInCell="1" hidden="0" allowOverlap="1">
            <wp:simplePos x="0" y="0"/>
            <wp:positionH relativeFrom="column">
              <wp:posOffset>314325</wp:posOffset>
            </wp:positionH>
            <wp:positionV relativeFrom="paragraph">
              <wp:posOffset>197485</wp:posOffset>
            </wp:positionV>
            <wp:extent cx="5938520" cy="2231390"/>
            <wp:effectExtent l="0" t="0" r="0" b="0"/>
            <wp:wrapNone/>
            <wp:docPr id="1315" name="障害児相談支援01"/>
            <a:graphic xmlns:a="http://schemas.openxmlformats.org/drawingml/2006/main">
              <a:graphicData uri="http://schemas.openxmlformats.org/drawingml/2006/picture">
                <pic:pic xmlns:pic="http://schemas.openxmlformats.org/drawingml/2006/picture">
                  <pic:nvPicPr>
                    <pic:cNvPr id="1315" name="障害児相談支援01"/>
                    <pic:cNvPicPr>
                      <a:picLocks noChangeAspect="1" noChangeArrowheads="1"/>
                    </pic:cNvPicPr>
                  </pic:nvPicPr>
                  <pic:blipFill>
                    <a:blip r:embed="rId91"/>
                    <a:srcRect b="8408"/>
                    <a:stretch>
                      <a:fillRect/>
                    </a:stretch>
                  </pic:blipFill>
                  <pic:spPr>
                    <a:xfrm>
                      <a:off x="0" y="0"/>
                      <a:ext cx="5938520" cy="2231390"/>
                    </a:xfrm>
                    <a:prstGeom prst="rect">
                      <a:avLst/>
                    </a:prstGeom>
                    <a:noFill/>
                    <a:ln>
                      <a:noFill/>
                    </a:ln>
                  </pic:spPr>
                </pic:pic>
              </a:graphicData>
            </a:graphic>
          </wp:anchor>
        </w:drawing>
      </w: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0"/>
        <w:ind w:left="438" w:firstLine="205"/>
        <w:rPr>
          <w:rFonts w:hint="default" w:ascii="ＭＳ ゴシック" w:hAnsi="ＭＳ ゴシック" w:eastAsia="ＭＳ ゴシック"/>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251"/>
        <w:ind w:left="448" w:firstLine="210"/>
        <w:rPr>
          <w:rFonts w:hint="default"/>
        </w:rPr>
      </w:pPr>
    </w:p>
    <w:p>
      <w:pPr>
        <w:pStyle w:val="0"/>
        <w:rPr>
          <w:rFonts w:hint="default"/>
          <w:sz w:val="21"/>
        </w:rPr>
      </w:pPr>
      <w:r>
        <w:rPr>
          <w:rFonts w:hint="default"/>
        </w:rPr>
        <w:br w:type="page"/>
      </w:r>
    </w:p>
    <w:p>
      <w:pPr>
        <w:pStyle w:val="251"/>
        <w:spacing w:line="240" w:lineRule="auto"/>
        <w:ind w:left="448" w:firstLine="0" w:firstLineChars="0"/>
        <w:rPr>
          <w:rFonts w:hint="default" w:asciiTheme="majorEastAsia" w:hAnsiTheme="majorEastAsia" w:eastAsiaTheme="majorEastAsia"/>
          <w:spacing w:val="0"/>
        </w:rPr>
      </w:pPr>
      <w:r>
        <w:rPr>
          <w:rFonts w:hint="eastAsia" w:asciiTheme="majorEastAsia" w:hAnsiTheme="majorEastAsia" w:eastAsiaTheme="majorEastAsia"/>
          <w:spacing w:val="0"/>
        </w:rPr>
        <w:t>【障害児通所支援事業の実績及び見込み一覧】</w:t>
      </w:r>
    </w:p>
    <w:tbl>
      <w:tblPr>
        <w:tblStyle w:val="11"/>
        <w:tblW w:w="9077" w:type="dxa"/>
        <w:tblInd w:w="562" w:type="dxa"/>
        <w:tblLayout w:type="fixed"/>
        <w:tblCellMar>
          <w:left w:w="99" w:type="dxa"/>
          <w:right w:w="99" w:type="dxa"/>
        </w:tblCellMar>
        <w:tblLook w:firstRow="1" w:lastRow="0" w:firstColumn="1" w:lastColumn="0" w:noHBand="0" w:noVBand="1" w:val="04A0"/>
      </w:tblPr>
      <w:tblGrid>
        <w:gridCol w:w="2408"/>
        <w:gridCol w:w="993"/>
        <w:gridCol w:w="761"/>
        <w:gridCol w:w="14"/>
        <w:gridCol w:w="804"/>
        <w:gridCol w:w="12"/>
        <w:gridCol w:w="807"/>
        <w:gridCol w:w="9"/>
        <w:gridCol w:w="809"/>
        <w:gridCol w:w="7"/>
        <w:gridCol w:w="816"/>
        <w:gridCol w:w="818"/>
        <w:gridCol w:w="819"/>
      </w:tblGrid>
      <w:tr>
        <w:trPr/>
        <w:tc>
          <w:tcPr>
            <w:tcW w:w="2408"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p>
        </w:tc>
        <w:tc>
          <w:tcPr>
            <w:tcW w:w="993"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p>
        </w:tc>
        <w:tc>
          <w:tcPr>
            <w:tcW w:w="761"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単位</w:t>
            </w:r>
          </w:p>
        </w:tc>
        <w:tc>
          <w:tcPr>
            <w:tcW w:w="2455" w:type="dxa"/>
            <w:gridSpan w:val="6"/>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実績値</w:t>
            </w:r>
          </w:p>
        </w:tc>
        <w:tc>
          <w:tcPr>
            <w:tcW w:w="2460" w:type="dxa"/>
            <w:gridSpan w:val="4"/>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計画値</w:t>
            </w:r>
          </w:p>
        </w:tc>
      </w:tr>
      <w:tr>
        <w:trPr/>
        <w:tc>
          <w:tcPr>
            <w:tcW w:w="240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993"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rPr>
                <w:rFonts w:hint="default" w:asciiTheme="minorEastAsia" w:hAnsiTheme="minorEastAsia" w:eastAsiaTheme="minorEastAsia"/>
                <w:sz w:val="20"/>
              </w:rPr>
            </w:pPr>
          </w:p>
        </w:tc>
        <w:tc>
          <w:tcPr>
            <w:tcW w:w="761"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p>
        </w:tc>
        <w:tc>
          <w:tcPr>
            <w:tcW w:w="818"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pacing w:val="-6"/>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３年度</w:t>
            </w:r>
          </w:p>
        </w:tc>
        <w:tc>
          <w:tcPr>
            <w:tcW w:w="819"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４年度</w:t>
            </w:r>
          </w:p>
        </w:tc>
        <w:tc>
          <w:tcPr>
            <w:tcW w:w="818"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default" w:asciiTheme="minorEastAsia" w:hAnsiTheme="minorEastAsia" w:eastAsiaTheme="minorEastAsia"/>
                <w:sz w:val="20"/>
              </w:rPr>
              <w:t>５年度</w:t>
            </w:r>
          </w:p>
        </w:tc>
        <w:tc>
          <w:tcPr>
            <w:tcW w:w="823"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６</w:t>
            </w:r>
            <w:r>
              <w:rPr>
                <w:rFonts w:hint="default" w:asciiTheme="minorEastAsia" w:hAnsiTheme="minorEastAsia" w:eastAsiaTheme="minorEastAsia"/>
                <w:sz w:val="20"/>
              </w:rPr>
              <w:t>年度</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７</w:t>
            </w:r>
            <w:r>
              <w:rPr>
                <w:rFonts w:hint="default" w:asciiTheme="minorEastAsia" w:hAnsiTheme="minorEastAsia" w:eastAsiaTheme="minorEastAsia"/>
                <w:sz w:val="20"/>
              </w:rPr>
              <w:t>年度</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tcMar>
              <w:top w:w="28" w:type="dxa"/>
              <w:bottom w:w="28" w:type="dxa"/>
            </w:tcMar>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令和</w:t>
            </w:r>
            <w:r>
              <w:rPr>
                <w:rFonts w:hint="default" w:asciiTheme="minorEastAsia" w:hAnsiTheme="minorEastAsia" w:eastAsiaTheme="minorEastAsia"/>
                <w:sz w:val="20"/>
              </w:rPr>
              <w:br w:type="textWrapping" w:clear="none"/>
            </w:r>
            <w:r>
              <w:rPr>
                <w:rFonts w:hint="eastAsia" w:asciiTheme="minorEastAsia" w:hAnsiTheme="minorEastAsia" w:eastAsiaTheme="minorEastAsia"/>
                <w:sz w:val="20"/>
              </w:rPr>
              <w:t>８</w:t>
            </w:r>
            <w:r>
              <w:rPr>
                <w:rFonts w:hint="default" w:asciiTheme="minorEastAsia" w:hAnsiTheme="minorEastAsia" w:eastAsiaTheme="minorEastAsia"/>
                <w:sz w:val="20"/>
              </w:rPr>
              <w:t>年度</w:t>
            </w:r>
          </w:p>
        </w:tc>
      </w:tr>
      <w:tr>
        <w:trPr/>
        <w:tc>
          <w:tcPr>
            <w:tcW w:w="2408"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児童発達支援</w:t>
            </w:r>
          </w:p>
        </w:tc>
        <w:tc>
          <w:tcPr>
            <w:tcW w:w="99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775"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63</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89</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68</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72</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77</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82</w:t>
            </w:r>
          </w:p>
        </w:tc>
      </w:tr>
      <w:tr>
        <w:trPr/>
        <w:tc>
          <w:tcPr>
            <w:tcW w:w="240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812</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949</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676</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806</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862</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918</w:t>
            </w:r>
          </w:p>
        </w:tc>
      </w:tr>
      <w:tr>
        <w:trPr/>
        <w:tc>
          <w:tcPr>
            <w:tcW w:w="2408"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医療型児童発達支援</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w:t>
            </w:r>
          </w:p>
        </w:tc>
      </w:tr>
      <w:tr>
        <w:trPr/>
        <w:tc>
          <w:tcPr>
            <w:tcW w:w="240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17</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12</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28</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28</w:t>
            </w:r>
          </w:p>
        </w:tc>
      </w:tr>
      <w:tr>
        <w:trPr/>
        <w:tc>
          <w:tcPr>
            <w:tcW w:w="2408"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放課後等デイサービス</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147</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165</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186</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206</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226</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246</w:t>
            </w:r>
          </w:p>
        </w:tc>
      </w:tr>
      <w:tr>
        <w:trPr/>
        <w:tc>
          <w:tcPr>
            <w:tcW w:w="240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2,448</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2,689</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2,653</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3,378</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3,706</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4,034</w:t>
            </w:r>
          </w:p>
        </w:tc>
      </w:tr>
      <w:tr>
        <w:trPr/>
        <w:tc>
          <w:tcPr>
            <w:tcW w:w="2408"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保育所等訪問支援</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23</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39</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43</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59</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67</w:t>
            </w:r>
          </w:p>
        </w:tc>
      </w:tr>
      <w:tr>
        <w:trPr/>
        <w:tc>
          <w:tcPr>
            <w:tcW w:w="240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50</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99</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108</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117</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136</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154</w:t>
            </w:r>
          </w:p>
        </w:tc>
      </w:tr>
      <w:tr>
        <w:trPr/>
        <w:tc>
          <w:tcPr>
            <w:tcW w:w="2408"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pacing w:val="-2"/>
                <w:sz w:val="20"/>
              </w:rPr>
            </w:pPr>
            <w:r>
              <w:rPr>
                <w:rFonts w:hint="default" w:asciiTheme="minorEastAsia" w:hAnsiTheme="minorEastAsia" w:eastAsiaTheme="minorEastAsia"/>
                <w:spacing w:val="-2"/>
                <w:sz w:val="20"/>
              </w:rPr>
              <w:t>居宅訪問型児童発達支援</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w:t>
            </w:r>
          </w:p>
        </w:tc>
      </w:tr>
      <w:tr>
        <w:trPr/>
        <w:tc>
          <w:tcPr>
            <w:tcW w:w="240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利用量</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日</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0</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w:t>
            </w:r>
          </w:p>
        </w:tc>
      </w:tr>
      <w:tr>
        <w:trPr/>
        <w:tc>
          <w:tcPr>
            <w:tcW w:w="240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rPr>
                <w:rFonts w:hint="default" w:asciiTheme="minorEastAsia" w:hAnsiTheme="minorEastAsia" w:eastAsiaTheme="minorEastAsia"/>
                <w:sz w:val="20"/>
              </w:rPr>
            </w:pPr>
            <w:r>
              <w:rPr>
                <w:rFonts w:hint="default" w:asciiTheme="minorEastAsia" w:hAnsiTheme="minorEastAsia" w:eastAsiaTheme="minorEastAsia"/>
                <w:sz w:val="20"/>
              </w:rPr>
              <w:t>障害児相談支援</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利用者</w:t>
            </w:r>
          </w:p>
        </w:tc>
        <w:tc>
          <w:tcPr>
            <w:tcW w:w="77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人</w:t>
            </w:r>
            <w:r>
              <w:rPr>
                <w:rFonts w:hint="default" w:asciiTheme="minorEastAsia" w:hAnsiTheme="minorEastAsia" w:eastAsiaTheme="minorEastAsia"/>
                <w:sz w:val="20"/>
              </w:rPr>
              <w:t>/</w:t>
            </w:r>
            <w:r>
              <w:rPr>
                <w:rFonts w:hint="default" w:asciiTheme="minorEastAsia" w:hAnsiTheme="minorEastAsia" w:eastAsiaTheme="minorEastAsia"/>
                <w:sz w:val="20"/>
              </w:rPr>
              <w:t>月</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65</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66</w:t>
            </w:r>
          </w:p>
        </w:tc>
        <w:tc>
          <w:tcPr>
            <w:tcW w:w="81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90</w:t>
            </w:r>
          </w:p>
        </w:tc>
        <w:tc>
          <w:tcPr>
            <w:tcW w:w="81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96</w:t>
            </w:r>
          </w:p>
        </w:tc>
        <w:tc>
          <w:tcPr>
            <w:tcW w:w="8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102</w:t>
            </w:r>
          </w:p>
        </w:tc>
        <w:tc>
          <w:tcPr>
            <w:tcW w:w="81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0" w:lineRule="atLeast"/>
              <w:jc w:val="center"/>
              <w:rPr>
                <w:rFonts w:hint="default" w:asciiTheme="minorEastAsia" w:hAnsiTheme="minorEastAsia" w:eastAsiaTheme="minorEastAsia"/>
                <w:sz w:val="20"/>
              </w:rPr>
            </w:pPr>
            <w:r>
              <w:rPr>
                <w:rFonts w:hint="default" w:asciiTheme="minorEastAsia" w:hAnsiTheme="minorEastAsia" w:eastAsiaTheme="minorEastAsia"/>
                <w:sz w:val="20"/>
              </w:rPr>
              <w:t>108</w:t>
            </w:r>
          </w:p>
        </w:tc>
      </w:tr>
    </w:tbl>
    <w:p>
      <w:pPr>
        <w:pStyle w:val="251"/>
        <w:spacing w:line="240" w:lineRule="auto"/>
        <w:ind w:left="560" w:leftChars="250" w:firstLine="0" w:firstLineChars="0"/>
        <w:rPr>
          <w:rFonts w:hint="default"/>
        </w:rPr>
      </w:pPr>
      <w:r>
        <w:rPr>
          <w:rFonts w:hint="eastAsia"/>
        </w:rPr>
        <w:t>※令和５年度は、見込みの数値。</w:t>
      </w:r>
    </w:p>
    <w:p>
      <w:pPr>
        <w:pStyle w:val="0"/>
        <w:ind w:left="560" w:leftChars="250" w:firstLine="214" w:firstLineChars="100"/>
        <w:rPr>
          <w:rFonts w:hint="default" w:asciiTheme="minorEastAsia" w:hAnsiTheme="minorEastAsia" w:eastAsiaTheme="minorEastAsia"/>
          <w:sz w:val="21"/>
        </w:rPr>
      </w:pPr>
    </w:p>
    <w:p>
      <w:pPr>
        <w:pStyle w:val="0"/>
        <w:ind w:left="560" w:leftChars="250" w:firstLine="214" w:firstLineChars="100"/>
        <w:rPr>
          <w:rFonts w:hint="default" w:asciiTheme="minorEastAsia" w:hAnsiTheme="minorEastAsia" w:eastAsiaTheme="minorEastAsia"/>
          <w:sz w:val="21"/>
        </w:rPr>
      </w:pPr>
    </w:p>
    <w:p>
      <w:pPr>
        <w:pStyle w:val="242"/>
        <w:spacing w:after="37" w:afterLines="0" w:afterAutospacing="0"/>
        <w:ind w:left="224"/>
        <w:rPr>
          <w:rFonts w:hint="default"/>
        </w:rPr>
      </w:pPr>
      <w:bookmarkStart w:id="363" w:name="_Toc158300440"/>
      <w:bookmarkStart w:id="364" w:name="_Toc67040259"/>
      <w:r>
        <w:rPr>
          <w:rFonts w:hint="default"/>
        </w:rPr>
        <w:t>(</w:t>
      </w:r>
      <w:r>
        <w:rPr>
          <w:rFonts w:hint="eastAsia"/>
        </w:rPr>
        <w:t>２</w:t>
      </w:r>
      <w:r>
        <w:rPr>
          <w:rFonts w:hint="eastAsia"/>
        </w:rPr>
        <w:t>)</w:t>
      </w:r>
      <w:r>
        <w:rPr>
          <w:rFonts w:hint="eastAsia"/>
        </w:rPr>
        <w:t>障害児通所支援のサービス見込量確保のための方策</w:t>
      </w:r>
      <w:bookmarkEnd w:id="363"/>
      <w:bookmarkEnd w:id="364"/>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本町では利用者のニーズを満たす供給量を確保するために、各サービスの利用状況を把握し、サービスの提供が不足しないよう民間等の事業者との連携を図ります。</w:t>
      </w:r>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また、サービス量の確保とともに、質の高いサービスの提供が不可欠であるため、利用者の声を把握することに努め、状況に応じて事業者への指導を行うなど、質の低下を防ぐように努めます。特に放課後等デイサービスの需要に対応する供給量の確保や、事業所が少ない保育所等訪問支援や重度障がい児が利用できる事業所の確保を図るなど、障害児通所支援の利用しやすい環境づくりに努めます。</w:t>
      </w:r>
    </w:p>
    <w:p>
      <w:pPr>
        <w:pStyle w:val="0"/>
        <w:ind w:left="560" w:leftChars="250" w:firstLine="214" w:firstLineChars="100"/>
        <w:rPr>
          <w:rFonts w:hint="default" w:asciiTheme="minorEastAsia" w:hAnsiTheme="minorEastAsia" w:eastAsiaTheme="minorEastAsia"/>
          <w:sz w:val="21"/>
        </w:rPr>
      </w:pPr>
      <w:r>
        <w:rPr>
          <w:rFonts w:hint="eastAsia" w:asciiTheme="minorEastAsia" w:hAnsiTheme="minorEastAsia" w:eastAsiaTheme="minorEastAsia"/>
          <w:sz w:val="21"/>
        </w:rPr>
        <w:t>実績の乏しいサービスについては利用の周知を図るほか、サービス提供事業所がないサービスについては、本町のサービス利用状況等の情報提供により事業者の参入促進を図ります。</w:t>
      </w:r>
    </w:p>
    <w:p>
      <w:pPr>
        <w:pStyle w:val="0"/>
        <w:ind w:left="560" w:leftChars="250" w:firstLine="214" w:firstLineChars="100"/>
        <w:rPr>
          <w:rFonts w:hint="default" w:asciiTheme="minorEastAsia" w:hAnsiTheme="minorEastAsia" w:eastAsiaTheme="minorEastAsia"/>
          <w:sz w:val="21"/>
        </w:rPr>
      </w:pPr>
    </w:p>
    <w:p>
      <w:pPr>
        <w:pStyle w:val="0"/>
        <w:widowControl w:val="1"/>
        <w:jc w:val="left"/>
        <w:rPr>
          <w:rFonts w:hint="default" w:asciiTheme="minorEastAsia" w:hAnsiTheme="minorEastAsia" w:eastAsiaTheme="minorEastAsia"/>
          <w:sz w:val="21"/>
        </w:rPr>
      </w:pPr>
      <w:r>
        <w:rPr>
          <w:rFonts w:hint="default" w:asciiTheme="minorEastAsia" w:hAnsiTheme="minorEastAsia" w:eastAsiaTheme="minorEastAsia"/>
          <w:sz w:val="21"/>
        </w:rPr>
        <w:br w:type="page"/>
      </w:r>
    </w:p>
    <w:p>
      <w:pPr>
        <w:pStyle w:val="0"/>
        <w:ind w:left="560" w:leftChars="250" w:firstLine="224" w:firstLineChars="100"/>
        <w:rPr>
          <w:rFonts w:hint="default" w:asciiTheme="minorEastAsia" w:hAnsiTheme="minorEastAsia" w:eastAsiaTheme="minorEastAsia"/>
          <w:sz w:val="21"/>
        </w:rPr>
      </w:pPr>
      <w:r>
        <w:rPr>
          <w:rFonts w:hint="default"/>
        </w:rPr>
        <mc:AlternateContent>
          <mc:Choice Requires="wps">
            <w:drawing>
              <wp:anchor distT="0" distB="0" distL="114300" distR="114300" simplePos="0" relativeHeight="317" behindDoc="0" locked="1" layoutInCell="1" hidden="0" allowOverlap="1">
                <wp:simplePos x="0" y="0"/>
                <wp:positionH relativeFrom="column">
                  <wp:posOffset>-190500</wp:posOffset>
                </wp:positionH>
                <wp:positionV relativeFrom="page">
                  <wp:posOffset>5628640</wp:posOffset>
                </wp:positionV>
                <wp:extent cx="6920865" cy="4728210"/>
                <wp:effectExtent l="635" t="635" r="29845" b="10795"/>
                <wp:wrapNone/>
                <wp:docPr id="1316" name="正方形/長方形 15"/>
                <a:graphic xmlns:a="http://schemas.openxmlformats.org/drawingml/2006/main">
                  <a:graphicData uri="http://schemas.microsoft.com/office/word/2010/wordprocessingShape">
                    <wps:wsp>
                      <wps:cNvPr id="1316" name="正方形/長方形 15"/>
                      <wps:cNvSpPr/>
                      <wps:spPr>
                        <a:xfrm>
                          <a:off x="0" y="0"/>
                          <a:ext cx="6920865" cy="47282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5" style="mso-wrap-distance-right:9pt;mso-wrap-distance-bottom:0pt;margin-top:443.2pt;mso-position-vertical-relative:page;mso-position-horizontal-relative:text;position:absolute;height:372.3pt;mso-wrap-distance-top:0pt;width:544.95000000000005pt;mso-wrap-distance-left:9pt;margin-left:-15pt;z-index:317;" o:spid="_x0000_s1316"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page"/>
                <w10:anchorlock/>
              </v:rect>
            </w:pict>
          </mc:Fallback>
        </mc:AlternateContent>
      </w:r>
    </w:p>
    <w:p>
      <w:pPr>
        <w:pStyle w:val="0"/>
        <w:ind w:left="560" w:leftChars="250" w:firstLine="214" w:firstLineChars="100"/>
        <w:rPr>
          <w:rFonts w:hint="default" w:asciiTheme="minorEastAsia" w:hAnsiTheme="minorEastAsia" w:eastAsiaTheme="minorEastAsia"/>
          <w:sz w:val="21"/>
        </w:rPr>
      </w:pPr>
    </w:p>
    <w:p>
      <w:pPr>
        <w:pStyle w:val="0"/>
        <w:ind w:left="560" w:leftChars="250" w:firstLine="214" w:firstLineChars="100"/>
        <w:rPr>
          <w:rFonts w:hint="default" w:asciiTheme="minorEastAsia" w:hAnsiTheme="minorEastAsia" w:eastAsiaTheme="minorEastAsia"/>
          <w:sz w:val="21"/>
        </w:rPr>
      </w:pPr>
    </w:p>
    <w:p>
      <w:pPr>
        <w:pStyle w:val="0"/>
        <w:widowControl w:val="1"/>
        <w:jc w:val="left"/>
        <w:rPr>
          <w:rFonts w:hint="default" w:asciiTheme="minorEastAsia" w:hAnsiTheme="minorEastAsia" w:eastAsiaTheme="minorEastAsia"/>
          <w:sz w:val="21"/>
        </w:rPr>
      </w:pPr>
      <w:r>
        <w:rPr>
          <w:rFonts w:hint="default" w:asciiTheme="minorEastAsia" w:hAnsiTheme="minorEastAsia" w:eastAsiaTheme="minorEastAsia"/>
          <w:sz w:val="21"/>
        </w:rPr>
        <w:br w:type="page"/>
      </w:r>
    </w:p>
    <w:p>
      <w:pPr>
        <w:pStyle w:val="24"/>
        <w:rPr>
          <w:rFonts w:hint="default"/>
        </w:rPr>
      </w:pPr>
      <w:bookmarkStart w:id="365" w:name="_Toc158300441"/>
      <w:r>
        <w:rPr>
          <w:rFonts w:hint="default"/>
        </w:rPr>
        <w:t>第</w:t>
      </w:r>
      <w:r>
        <w:rPr>
          <w:rFonts w:hint="eastAsia"/>
        </w:rPr>
        <w:t>７</w:t>
      </w:r>
      <w:r>
        <w:rPr>
          <w:rFonts w:hint="default"/>
        </w:rPr>
        <w:t>章　</w:t>
      </w:r>
      <w:r>
        <w:rPr>
          <w:rFonts w:hint="eastAsia"/>
        </w:rPr>
        <w:t>計画の推進に向けて</w:t>
      </w:r>
      <w:bookmarkEnd w:id="365"/>
    </w:p>
    <w:p>
      <w:pPr>
        <w:pStyle w:val="23"/>
        <w:rPr>
          <w:rFonts w:hint="default"/>
        </w:rPr>
      </w:pPr>
      <w:bookmarkStart w:id="366" w:name="_Toc158300442"/>
      <w:r>
        <w:rPr>
          <w:rFonts w:hint="eastAsia"/>
        </w:rPr>
        <w:t>１．庁内計画推進体制の整備</w:t>
      </w:r>
      <w:bookmarkEnd w:id="366"/>
    </w:p>
    <w:p>
      <w:pPr>
        <w:pStyle w:val="0"/>
        <w:ind w:left="448" w:leftChars="200" w:firstLine="214" w:firstLineChars="100"/>
        <w:rPr>
          <w:rFonts w:hint="default"/>
          <w:sz w:val="21"/>
        </w:rPr>
      </w:pPr>
      <w:r>
        <w:rPr>
          <w:rFonts w:hint="eastAsia"/>
          <w:sz w:val="21"/>
        </w:rPr>
        <w:t>本計画は、保健、福祉、医療の分野に限らず、教育、雇用・就労、住環境、都市整備、障がい児・者の日常生活及び社会参加にかかわる様々な分野に及ぶことから、町の全ての部署に計画の周知と啓発を行うとともに、障がい福祉の担当課を中心に関係課との連携を密にし、全庁的な計画の推進体制を整えます。</w:t>
      </w:r>
    </w:p>
    <w:p>
      <w:pPr>
        <w:pStyle w:val="0"/>
        <w:ind w:left="448" w:leftChars="200" w:firstLine="214" w:firstLineChars="100"/>
        <w:rPr>
          <w:rFonts w:hint="default"/>
          <w:sz w:val="21"/>
        </w:rPr>
      </w:pPr>
    </w:p>
    <w:p>
      <w:pPr>
        <w:pStyle w:val="23"/>
        <w:rPr>
          <w:rFonts w:hint="default"/>
        </w:rPr>
      </w:pPr>
      <w:bookmarkStart w:id="367" w:name="_Toc158300443"/>
      <w:bookmarkStart w:id="368" w:name="_Toc505592300"/>
      <w:r>
        <w:rPr>
          <w:rFonts w:hint="eastAsia"/>
        </w:rPr>
        <w:t>２．地域及び関係機関等との連携</w:t>
      </w:r>
      <w:bookmarkEnd w:id="367"/>
      <w:bookmarkEnd w:id="368"/>
    </w:p>
    <w:p>
      <w:pPr>
        <w:pStyle w:val="0"/>
        <w:ind w:left="448" w:leftChars="200" w:firstLine="214" w:firstLineChars="100"/>
        <w:rPr>
          <w:rFonts w:hint="default"/>
          <w:sz w:val="21"/>
        </w:rPr>
      </w:pPr>
      <w:r>
        <w:rPr>
          <w:rFonts w:hint="eastAsia"/>
          <w:sz w:val="21"/>
        </w:rPr>
        <w:t>本計画は行政が中心となって進めていく計画ですが、国、県との連携とともに計画に係わる全ての事業所をはじめ、医療機関、町社会福祉協議会、町民生委員・児童委員連合会、町障がい者団体及び住民やボランティア等の理解・協力、参画がなければ計画の成果を上げることは困難です。このため、これらの多様な主体と連携を密にし、障がい者が尊厳を保ちながら、身近な地域で生き生きと日常生活や社会活動ができるよう、支援ネットワーク体制の充実を図ります。</w:t>
      </w:r>
    </w:p>
    <w:p>
      <w:pPr>
        <w:pStyle w:val="0"/>
        <w:ind w:left="448" w:leftChars="200" w:firstLine="214" w:firstLineChars="100"/>
        <w:rPr>
          <w:rFonts w:hint="default"/>
          <w:sz w:val="21"/>
        </w:rPr>
      </w:pPr>
      <w:r>
        <w:rPr>
          <w:rFonts w:hint="eastAsia"/>
          <w:sz w:val="21"/>
        </w:rPr>
        <w:t>また、近隣市町村とは広域的な調整が図られるよう連携します。</w:t>
      </w:r>
    </w:p>
    <w:p>
      <w:pPr>
        <w:pStyle w:val="0"/>
        <w:ind w:left="448" w:leftChars="200" w:firstLine="214" w:firstLineChars="100"/>
        <w:rPr>
          <w:rFonts w:hint="default"/>
          <w:sz w:val="21"/>
        </w:rPr>
      </w:pPr>
    </w:p>
    <w:p>
      <w:pPr>
        <w:pStyle w:val="23"/>
        <w:rPr>
          <w:rFonts w:hint="default"/>
        </w:rPr>
      </w:pPr>
      <w:bookmarkStart w:id="369" w:name="_Toc158300444"/>
      <w:bookmarkStart w:id="370" w:name="_Toc505592301"/>
      <w:r>
        <w:rPr>
          <w:rFonts w:hint="eastAsia"/>
        </w:rPr>
        <w:t>３．人材の確保</w:t>
      </w:r>
      <w:bookmarkEnd w:id="369"/>
      <w:bookmarkEnd w:id="370"/>
    </w:p>
    <w:p>
      <w:pPr>
        <w:pStyle w:val="0"/>
        <w:ind w:left="448" w:leftChars="200" w:firstLine="214" w:firstLineChars="100"/>
        <w:rPr>
          <w:rFonts w:hint="default"/>
          <w:sz w:val="21"/>
        </w:rPr>
      </w:pPr>
      <w:r>
        <w:rPr>
          <w:rFonts w:hint="eastAsia"/>
          <w:sz w:val="21"/>
        </w:rPr>
        <w:t>本計画では、相談支援体制の充実、特別な配慮を必要とする子の療育・保育・教育の充実、障がいを予防するための保健活動の推進、権利擁護の推進及び障害福祉サービスや障害児通所支援の充実等多様な施策を掲げています。これらの取り組みにおいては相談支援員や心理士、保育士や特別支援教育支援員、保健活動従事者、その他サービス提供等にかかる専門員等の人材確保が不可欠です。そのため、関係機関やサービス提供事業所等との連携、地域人材の活用などにより、必要となる人材の確保に取り組みます。また、国や県に対し、財政的支援とともに人材確保について要請していきます。</w:t>
      </w:r>
    </w:p>
    <w:p>
      <w:pPr>
        <w:pStyle w:val="0"/>
        <w:ind w:left="448" w:leftChars="200" w:firstLine="214" w:firstLineChars="100"/>
        <w:rPr>
          <w:rFonts w:hint="default"/>
          <w:sz w:val="21"/>
        </w:rPr>
      </w:pPr>
    </w:p>
    <w:p>
      <w:pPr>
        <w:pStyle w:val="23"/>
        <w:rPr>
          <w:rFonts w:hint="default"/>
        </w:rPr>
      </w:pPr>
      <w:bookmarkStart w:id="371" w:name="_Toc158300445"/>
      <w:bookmarkStart w:id="372" w:name="_Toc505592302"/>
      <w:r>
        <w:rPr>
          <w:rFonts w:hint="eastAsia"/>
        </w:rPr>
        <w:t>４．計画の周知</w:t>
      </w:r>
      <w:bookmarkEnd w:id="371"/>
      <w:bookmarkEnd w:id="372"/>
    </w:p>
    <w:p>
      <w:pPr>
        <w:pStyle w:val="0"/>
        <w:ind w:left="448" w:leftChars="200" w:firstLine="214" w:firstLineChars="100"/>
        <w:rPr>
          <w:rFonts w:hint="default"/>
          <w:sz w:val="21"/>
        </w:rPr>
      </w:pPr>
      <w:r>
        <w:rPr>
          <w:rFonts w:hint="eastAsia"/>
          <w:sz w:val="21"/>
        </w:rPr>
        <w:t>地域の人達や事業所、関係機関・団体等が障がい及び障がい者に対する理解を深め、本計画の推進に積極的にかかわり、各施策の効果的な展開を図るために、町の広報紙やホームページ等、適切な機会を活用して、本計画の周知を図ります。</w:t>
      </w:r>
    </w:p>
    <w:p>
      <w:pPr>
        <w:pStyle w:val="0"/>
        <w:ind w:left="448" w:leftChars="200" w:firstLine="214" w:firstLineChars="100"/>
        <w:rPr>
          <w:rFonts w:hint="default"/>
          <w:sz w:val="21"/>
        </w:rPr>
      </w:pPr>
    </w:p>
    <w:p>
      <w:pPr>
        <w:pStyle w:val="0"/>
        <w:widowControl w:val="1"/>
        <w:jc w:val="left"/>
        <w:rPr>
          <w:rFonts w:hint="default" w:ascii="HGｺﾞｼｯｸM" w:hAnsi="HGｺﾞｼｯｸM" w:eastAsia="ＭＳ ゴシック"/>
          <w:sz w:val="26"/>
        </w:rPr>
      </w:pPr>
      <w:r>
        <w:rPr>
          <w:rFonts w:hint="default"/>
        </w:rPr>
        <w:br w:type="page"/>
      </w:r>
    </w:p>
    <w:p>
      <w:pPr>
        <w:pStyle w:val="23"/>
        <w:rPr>
          <w:rFonts w:hint="default"/>
        </w:rPr>
      </w:pPr>
      <w:bookmarkStart w:id="373" w:name="_Toc158300446"/>
      <w:bookmarkStart w:id="374" w:name="_Toc505592303"/>
      <w:r>
        <w:rPr>
          <w:rFonts w:hint="eastAsia"/>
        </w:rPr>
        <w:t>５．計画の点検・評価</w:t>
      </w:r>
      <w:bookmarkEnd w:id="373"/>
      <w:bookmarkEnd w:id="374"/>
    </w:p>
    <w:p>
      <w:pPr>
        <w:pStyle w:val="0"/>
        <w:ind w:left="448" w:leftChars="200" w:firstLine="214" w:firstLineChars="100"/>
        <w:rPr>
          <w:rFonts w:hint="default"/>
          <w:sz w:val="21"/>
        </w:rPr>
      </w:pPr>
      <w:r>
        <w:rPr>
          <w:rFonts w:hint="eastAsia"/>
          <w:sz w:val="21"/>
        </w:rPr>
        <w:t>本計画の推進にあたっては、各々の取り組みの進捗管理が重要となります。また、障害者総合支援法</w:t>
      </w:r>
      <w:r>
        <w:rPr>
          <w:rFonts w:hint="eastAsia"/>
          <w:sz w:val="21"/>
        </w:rPr>
        <w:t>(</w:t>
      </w:r>
      <w:r>
        <w:rPr>
          <w:rFonts w:hint="eastAsia"/>
          <w:sz w:val="21"/>
        </w:rPr>
        <w:t>第</w:t>
      </w:r>
      <w:r>
        <w:rPr>
          <w:rFonts w:hint="eastAsia"/>
          <w:sz w:val="21"/>
        </w:rPr>
        <w:t>88</w:t>
      </w:r>
      <w:r>
        <w:rPr>
          <w:rFonts w:hint="eastAsia"/>
          <w:sz w:val="21"/>
        </w:rPr>
        <w:t>条の</w:t>
      </w:r>
      <w:r>
        <w:rPr>
          <w:rFonts w:hint="eastAsia"/>
          <w:sz w:val="21"/>
        </w:rPr>
        <w:t>2)</w:t>
      </w:r>
      <w:r>
        <w:rPr>
          <w:rFonts w:hint="eastAsia"/>
          <w:sz w:val="21"/>
        </w:rPr>
        <w:t>では、計画に定める事項について、定期的に調査、分析及び評価を行い、必要があると認めた時は、計画を変更するなどその他の必要な措置を講じるとされています。そのため、「ＰＤＣＡサイクル」を導入し、少なくとも年に１回は進捗状況を点検・評価し、必要に応じて計画の見直しを行います。</w:t>
      </w:r>
    </w:p>
    <w:p>
      <w:pPr>
        <w:pStyle w:val="0"/>
        <w:ind w:left="448" w:leftChars="200" w:firstLine="214" w:firstLineChars="100"/>
        <w:rPr>
          <w:rFonts w:hint="default"/>
          <w:sz w:val="21"/>
        </w:rPr>
      </w:pPr>
      <w:r>
        <w:rPr>
          <w:rFonts w:hint="eastAsia"/>
          <w:sz w:val="21"/>
        </w:rPr>
        <w:t>そのためにも、施策の点検・評価の結果を「南風原町障がい者自立支援協議会」に報告し、協議会の意見・提言を得て計画の推進に活かします。</w:t>
      </w:r>
    </w:p>
    <w:p>
      <w:pPr>
        <w:pStyle w:val="0"/>
        <w:ind w:left="448" w:leftChars="200" w:firstLine="214" w:firstLineChars="100"/>
        <w:rPr>
          <w:rFonts w:hint="default"/>
          <w:sz w:val="21"/>
        </w:rPr>
      </w:pPr>
    </w:p>
    <w:p>
      <w:pPr>
        <w:pStyle w:val="77"/>
        <w:ind w:left="448" w:firstLine="224"/>
        <w:rPr>
          <w:rFonts w:hint="default"/>
          <w:spacing w:val="0"/>
        </w:rPr>
      </w:pPr>
      <w:r>
        <w:rPr>
          <w:rFonts w:hint="default"/>
          <w:spacing w:val="0"/>
        </w:rPr>
        <mc:AlternateContent>
          <mc:Choice Requires="wps">
            <w:drawing>
              <wp:anchor distT="0" distB="0" distL="114300" distR="114300" simplePos="0" relativeHeight="141" behindDoc="0" locked="0" layoutInCell="1" hidden="0" allowOverlap="1">
                <wp:simplePos x="0" y="0"/>
                <wp:positionH relativeFrom="column">
                  <wp:posOffset>1489075</wp:posOffset>
                </wp:positionH>
                <wp:positionV relativeFrom="paragraph">
                  <wp:posOffset>190500</wp:posOffset>
                </wp:positionV>
                <wp:extent cx="3218180" cy="285750"/>
                <wp:effectExtent l="0" t="0" r="635" b="635"/>
                <wp:wrapNone/>
                <wp:docPr id="1317" name="テキスト ボックス 802"/>
                <a:graphic xmlns:a="http://schemas.openxmlformats.org/drawingml/2006/main">
                  <a:graphicData uri="http://schemas.microsoft.com/office/word/2010/wordprocessingShape">
                    <wps:wsp>
                      <wps:cNvPr id="1317" name="テキスト ボックス 802"/>
                      <wps:cNvSpPr txBox="1">
                        <a:spLocks noChangeArrowheads="1"/>
                      </wps:cNvSpPr>
                      <wps:spPr>
                        <a:xfrm>
                          <a:off x="0" y="0"/>
                          <a:ext cx="3218180" cy="285750"/>
                        </a:xfrm>
                        <a:prstGeom prst="rect">
                          <a:avLst/>
                        </a:prstGeom>
                        <a:noFill/>
                        <a:ln>
                          <a:noFill/>
                        </a:ln>
                      </wps:spPr>
                      <wps:txbx>
                        <w:txbxContent>
                          <w:p>
                            <w:pPr>
                              <w:pStyle w:val="0"/>
                              <w:spacing w:line="0" w:lineRule="atLeast"/>
                              <w:ind w:left="224" w:hanging="224" w:hangingChars="100"/>
                              <w:jc w:val="center"/>
                              <w:rPr>
                                <w:rFonts w:hint="default" w:ascii="ＭＳ ゴシック" w:hAnsi="ＭＳ ゴシック" w:eastAsia="ＭＳ ゴシック"/>
                              </w:rPr>
                            </w:pPr>
                            <w:r>
                              <w:rPr>
                                <w:rFonts w:hint="eastAsia" w:ascii="ＭＳ ゴシック" w:hAnsi="ＭＳ ゴシック" w:eastAsia="ＭＳ ゴシック"/>
                              </w:rPr>
                              <w:t>（ＰＤＣＡ</w:t>
                            </w:r>
                            <w:r>
                              <w:rPr>
                                <w:rFonts w:hint="default" w:ascii="ＭＳ ゴシック" w:hAnsi="ＭＳ ゴシック" w:eastAsia="ＭＳ ゴシック"/>
                              </w:rPr>
                              <w:t>サイクルのプロセスのイメージ</w:t>
                            </w:r>
                            <w:r>
                              <w:rPr>
                                <w:rFonts w:hint="eastAsia" w:ascii="ＭＳ ゴシック" w:hAnsi="ＭＳ ゴシック" w:eastAsia="ＭＳ ゴシック"/>
                              </w:rPr>
                              <w:t>）</w:t>
                            </w:r>
                          </w:p>
                        </w:txbxContent>
                      </wps:txbx>
                      <wps:bodyPr rot="0" vertOverflow="overflow" horzOverflow="overflow" wrap="square" lIns="0" tIns="0"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802" style="mso-wrap-distance-right:9pt;mso-wrap-distance-bottom:0pt;margin-top:15pt;mso-position-vertical-relative:text;mso-position-horizontal-relative:text;v-text-anchor:middle;position:absolute;height:22.5pt;mso-wrap-distance-top:0pt;width:253.4pt;mso-wrap-distance-left:9pt;margin-left:117.25pt;z-index:141;" o:spid="_x0000_s1317" o:allowincell="t" o:allowoverlap="t" filled="f" stroked="f" o:spt="202" type="#_x0000_t202">
                <v:fill/>
                <v:textbox style="layout-flow:horizontal;" inset="0mm,0mm,0mm,0mm">
                  <w:txbxContent>
                    <w:p>
                      <w:pPr>
                        <w:pStyle w:val="0"/>
                        <w:spacing w:line="0" w:lineRule="atLeast"/>
                        <w:ind w:left="224" w:hanging="224" w:hangingChars="100"/>
                        <w:jc w:val="center"/>
                        <w:rPr>
                          <w:rFonts w:hint="default" w:ascii="ＭＳ ゴシック" w:hAnsi="ＭＳ ゴシック" w:eastAsia="ＭＳ ゴシック"/>
                        </w:rPr>
                      </w:pPr>
                      <w:r>
                        <w:rPr>
                          <w:rFonts w:hint="eastAsia" w:ascii="ＭＳ ゴシック" w:hAnsi="ＭＳ ゴシック" w:eastAsia="ＭＳ ゴシック"/>
                        </w:rPr>
                        <w:t>（ＰＤＣＡ</w:t>
                      </w:r>
                      <w:r>
                        <w:rPr>
                          <w:rFonts w:hint="default" w:ascii="ＭＳ ゴシック" w:hAnsi="ＭＳ ゴシック" w:eastAsia="ＭＳ ゴシック"/>
                        </w:rPr>
                        <w:t>サイクルのプロセスのイメージ</w:t>
                      </w:r>
                      <w:r>
                        <w:rPr>
                          <w:rFonts w:hint="eastAsia" w:ascii="ＭＳ ゴシック" w:hAnsi="ＭＳ ゴシック" w:eastAsia="ＭＳ ゴシック"/>
                        </w:rPr>
                        <w:t>）</w:t>
                      </w:r>
                    </w:p>
                  </w:txbxContent>
                </v:textbox>
                <v:imagedata o:title=""/>
                <w10:wrap type="none" anchorx="text" anchory="text"/>
              </v:shape>
            </w:pict>
          </mc:Fallback>
        </mc:AlternateContent>
      </w:r>
    </w:p>
    <w:p>
      <w:pPr>
        <w:pStyle w:val="77"/>
        <w:ind w:left="448" w:firstLine="224"/>
        <w:rPr>
          <w:rFonts w:hint="default"/>
          <w:spacing w:val="0"/>
        </w:rPr>
      </w:pPr>
    </w:p>
    <w:p>
      <w:pPr>
        <w:pStyle w:val="77"/>
        <w:ind w:left="448" w:firstLine="224"/>
        <w:rPr>
          <w:rFonts w:hint="default"/>
          <w:spacing w:val="0"/>
        </w:rPr>
      </w:pPr>
    </w:p>
    <w:p>
      <w:pPr>
        <w:pStyle w:val="77"/>
        <w:ind w:left="448" w:firstLine="224"/>
        <w:rPr>
          <w:rFonts w:hint="default"/>
          <w:spacing w:val="0"/>
        </w:rPr>
      </w:pPr>
      <w:r>
        <w:rPr>
          <w:rFonts w:hint="default"/>
          <w:spacing w:val="0"/>
        </w:rPr>
        <mc:AlternateContent>
          <mc:Choice Requires="wpg">
            <w:drawing>
              <wp:anchor distT="0" distB="0" distL="114300" distR="114300" simplePos="0" relativeHeight="142" behindDoc="0" locked="0" layoutInCell="1" hidden="0" allowOverlap="1">
                <wp:simplePos x="0" y="0"/>
                <wp:positionH relativeFrom="column">
                  <wp:posOffset>499110</wp:posOffset>
                </wp:positionH>
                <wp:positionV relativeFrom="paragraph">
                  <wp:posOffset>13335</wp:posOffset>
                </wp:positionV>
                <wp:extent cx="1957070" cy="954405"/>
                <wp:effectExtent l="635" t="635" r="635" b="635"/>
                <wp:wrapNone/>
                <wp:docPr id="1318" name="グループ化 191"/>
                <a:graphic xmlns:a="http://schemas.openxmlformats.org/drawingml/2006/main">
                  <a:graphicData uri="http://schemas.microsoft.com/office/word/2010/wordprocessingGroup">
                    <wpg:wgp>
                      <wpg:cNvGrpSpPr/>
                      <wpg:grpSpPr>
                        <a:xfrm>
                          <a:off x="0" y="0"/>
                          <a:ext cx="1957070" cy="954405"/>
                          <a:chOff x="0" y="0"/>
                          <a:chExt cx="1957705" cy="802005"/>
                        </a:xfrm>
                      </wpg:grpSpPr>
                      <wps:wsp>
                        <wps:cNvPr id="1319" name="角丸四角形 192"/>
                        <wps:cNvSpPr/>
                        <wps:spPr>
                          <a:xfrm>
                            <a:off x="0" y="0"/>
                            <a:ext cx="1957705" cy="802005"/>
                          </a:xfrm>
                          <a:prstGeom prst="roundRect">
                            <a:avLst/>
                          </a:prstGeom>
                          <a:solidFill>
                            <a:schemeClr val="bg1">
                              <a:lumMod val="85000"/>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320" name="テキスト ボックス 802"/>
                        <wps:cNvSpPr txBox="1">
                          <a:spLocks noChangeArrowheads="1"/>
                        </wps:cNvSpPr>
                        <wps:spPr>
                          <a:xfrm>
                            <a:off x="103506" y="64032"/>
                            <a:ext cx="1743005" cy="696352"/>
                          </a:xfrm>
                          <a:prstGeom prst="rect">
                            <a:avLst/>
                          </a:prstGeom>
                          <a:noFill/>
                          <a:ln>
                            <a:noFill/>
                          </a:ln>
                        </wps:spPr>
                        <wps:txbx>
                          <w:txbxContent>
                            <w:p>
                              <w:pPr>
                                <w:pStyle w:val="0"/>
                                <w:spacing w:line="0" w:lineRule="atLeast"/>
                                <w:ind w:left="204" w:hanging="204" w:hangingChars="100"/>
                                <w:rPr>
                                  <w:rFonts w:hint="default" w:asciiTheme="majorEastAsia" w:hAnsiTheme="majorEastAsia" w:eastAsiaTheme="majorEastAsia"/>
                                  <w:sz w:val="20"/>
                                </w:rPr>
                              </w:pPr>
                              <w:r>
                                <w:rPr>
                                  <w:rFonts w:hint="eastAsia" w:asciiTheme="majorEastAsia" w:hAnsiTheme="majorEastAsia" w:eastAsiaTheme="majorEastAsia"/>
                                  <w:sz w:val="20"/>
                                </w:rPr>
                                <w:t>④点検・評価や南風原町障がい者自立支援協議会の意見を踏まえ、必要があると認めるときは、計画の見直し等を実施。</w:t>
                              </w:r>
                            </w:p>
                          </w:txbxContent>
                        </wps:txbx>
                        <wps:bodyPr rot="0" vertOverflow="overflow" horzOverflow="overflow" wrap="square" lIns="0" tIns="0" rIns="0" bIns="0" anchor="ctr" anchorCtr="0" upright="1"/>
                      </wps:wsp>
                    </wpg:wgp>
                  </a:graphicData>
                </a:graphic>
              </wp:anchor>
            </w:drawing>
          </mc:Choice>
          <mc:Fallback>
            <w:pict>
              <v:group id="グループ化 191" style="mso-wrap-distance-right:9pt;mso-wrap-distance-bottom:0pt;margin-top:1.05pt;mso-position-vertical-relative:text;mso-position-horizontal-relative:text;position:absolute;height:75.150000000000006pt;mso-wrap-distance-top:0pt;width:154.1pt;mso-wrap-distance-left:9pt;margin-left:39.29pt;z-index:142;" coordsize="1957705,802005" coordorigin="0,0" o:spid="_x0000_s1318" o:allowincell="t" o:allowoverlap="t">
                <v:roundrect id="角丸四角形 192" style="height:802005;width:1957705;top:0;left:0;position:absolute;" o:spid="_x0000_s1319" filled="t" fillcolor="#d9d9d9" stroked="f" strokecolor="#42709c" strokeweight="1pt" o:spt="2" arcsize="10923f">
                  <v:fill opacity="49152f"/>
                  <v:stroke linestyle="single" miterlimit="8" endcap="flat" dashstyle="solid"/>
                  <v:textbox style="layout-flow:horizontal;"/>
                  <v:imagedata o:title=""/>
                  <w10:wrap type="none" anchorx="text" anchory="text"/>
                </v:roundrect>
                <v:shapetype id="_x0000_t202" coordsize="21600,21600" o:spt="202" path="m,l,21600r21600,l21600,xe">
                  <v:stroke joinstyle="miter"/>
                  <v:path gradientshapeok="t" o:connecttype="rect"/>
                </v:shapetype>
                <v:shape id="テキスト ボックス 802" style="height:696352;width:1743005;top:64032;left:103506;v-text-anchor:middle;position:absolute;" o:spid="_x0000_s1320" filled="f" stroked="f" o:spt="202" type="#_x0000_t202">
                  <v:fill/>
                  <v:textbox style="layout-flow:horizontal;" inset="0mm,0mm,0mm,0mm">
                    <w:txbxContent>
                      <w:p>
                        <w:pPr>
                          <w:pStyle w:val="0"/>
                          <w:spacing w:line="0" w:lineRule="atLeast"/>
                          <w:ind w:left="204" w:hanging="204" w:hangingChars="100"/>
                          <w:rPr>
                            <w:rFonts w:hint="default" w:asciiTheme="majorEastAsia" w:hAnsiTheme="majorEastAsia" w:eastAsiaTheme="majorEastAsia"/>
                            <w:sz w:val="20"/>
                          </w:rPr>
                        </w:pPr>
                        <w:r>
                          <w:rPr>
                            <w:rFonts w:hint="eastAsia" w:asciiTheme="majorEastAsia" w:hAnsiTheme="majorEastAsia" w:eastAsiaTheme="majorEastAsia"/>
                            <w:sz w:val="20"/>
                          </w:rPr>
                          <w:t>④点検・評価や南風原町障がい者自立支援協議会の意見を踏まえ、必要があると認めるときは、計画の見直し等を実施。</w:t>
                        </w:r>
                      </w:p>
                    </w:txbxContent>
                  </v:textbox>
                  <v:imagedata o:title=""/>
                  <w10:wrap type="none" anchorx="text" anchory="text"/>
                </v:shape>
                <w10:wrap type="none" anchorx="text" anchory="text"/>
              </v:group>
            </w:pict>
          </mc:Fallback>
        </mc:AlternateContent>
      </w:r>
      <w:r>
        <w:rPr>
          <w:rFonts w:hint="default"/>
          <w:spacing w:val="0"/>
        </w:rPr>
        <mc:AlternateContent>
          <mc:Choice Requires="wpg">
            <w:drawing>
              <wp:anchor distT="0" distB="0" distL="114300" distR="114300" simplePos="0" relativeHeight="145" behindDoc="0" locked="0" layoutInCell="1" hidden="0" allowOverlap="1">
                <wp:simplePos x="0" y="0"/>
                <wp:positionH relativeFrom="column">
                  <wp:posOffset>3660140</wp:posOffset>
                </wp:positionH>
                <wp:positionV relativeFrom="paragraph">
                  <wp:posOffset>9525</wp:posOffset>
                </wp:positionV>
                <wp:extent cx="1957705" cy="954405"/>
                <wp:effectExtent l="635" t="635" r="635" b="635"/>
                <wp:wrapNone/>
                <wp:docPr id="1321" name="グループ化 194"/>
                <a:graphic xmlns:a="http://schemas.openxmlformats.org/drawingml/2006/main">
                  <a:graphicData uri="http://schemas.microsoft.com/office/word/2010/wordprocessingGroup">
                    <wpg:wgp>
                      <wpg:cNvGrpSpPr/>
                      <wpg:grpSpPr>
                        <a:xfrm>
                          <a:off x="0" y="0"/>
                          <a:ext cx="1957705" cy="954405"/>
                          <a:chOff x="0" y="0"/>
                          <a:chExt cx="1958196" cy="802257"/>
                        </a:xfrm>
                      </wpg:grpSpPr>
                      <wps:wsp>
                        <wps:cNvPr id="1322" name="角丸四角形 195"/>
                        <wps:cNvSpPr/>
                        <wps:spPr>
                          <a:xfrm>
                            <a:off x="0" y="0"/>
                            <a:ext cx="1958196" cy="802257"/>
                          </a:xfrm>
                          <a:prstGeom prst="roundRect">
                            <a:avLst/>
                          </a:prstGeom>
                          <a:solidFill>
                            <a:schemeClr val="bg1">
                              <a:lumMod val="50000"/>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323" name="テキスト ボックス 817"/>
                        <wps:cNvSpPr txBox="1">
                          <a:spLocks noChangeArrowheads="1"/>
                        </wps:cNvSpPr>
                        <wps:spPr>
                          <a:xfrm>
                            <a:off x="138023" y="86210"/>
                            <a:ext cx="1716200" cy="629315"/>
                          </a:xfrm>
                          <a:prstGeom prst="rect">
                            <a:avLst/>
                          </a:prstGeom>
                          <a:noFill/>
                          <a:ln>
                            <a:noFill/>
                          </a:ln>
                        </wps:spPr>
                        <wps:txbx>
                          <w:txbxContent>
                            <w:p>
                              <w:pPr>
                                <w:pStyle w:val="0"/>
                                <w:spacing w:line="0" w:lineRule="atLeast"/>
                                <w:ind w:left="204" w:hanging="204" w:hangingChars="100"/>
                                <w:rPr>
                                  <w:rFonts w:hint="default" w:asciiTheme="majorEastAsia" w:hAnsiTheme="majorEastAsia" w:eastAsiaTheme="majorEastAsia"/>
                                  <w:sz w:val="20"/>
                                </w:rPr>
                              </w:pPr>
                              <w:r>
                                <w:rPr>
                                  <w:rFonts w:hint="eastAsia" w:asciiTheme="majorEastAsia" w:hAnsiTheme="majorEastAsia" w:eastAsiaTheme="majorEastAsia"/>
                                  <w:sz w:val="20"/>
                                </w:rPr>
                                <w:t>①施策の推進方策及び障害福祉サービス等の見込量並びに確保方策等を定める。</w:t>
                              </w:r>
                            </w:p>
                          </w:txbxContent>
                        </wps:txbx>
                        <wps:bodyPr rot="0" vertOverflow="overflow" horzOverflow="overflow" wrap="square" lIns="0" tIns="0" rIns="0" bIns="0" anchor="ctr" anchorCtr="0" upright="1"/>
                      </wps:wsp>
                    </wpg:wgp>
                  </a:graphicData>
                </a:graphic>
              </wp:anchor>
            </w:drawing>
          </mc:Choice>
          <mc:Fallback>
            <w:pict>
              <v:group id="グループ化 194" style="mso-wrap-distance-right:9pt;mso-wrap-distance-bottom:0pt;margin-top:0.75pt;mso-position-vertical-relative:text;mso-position-horizontal-relative:text;position:absolute;height:75.150000000000006pt;mso-wrap-distance-top:0pt;width:154.15pt;mso-wrap-distance-left:9pt;margin-left:288.2pt;z-index:145;" coordsize="1958196,802257" coordorigin="0,0" o:spid="_x0000_s1321" o:allowincell="t" o:allowoverlap="t">
                <v:roundrect id="角丸四角形 195" style="height:802257;width:1958196;top:0;left:0;position:absolute;" o:spid="_x0000_s1322" filled="t" fillcolor="#808080" stroked="f" strokecolor="#42709c" strokeweight="1pt" o:spt="2" arcsize="10923f">
                  <v:fill opacity="49152f"/>
                  <v:stroke linestyle="single" miterlimit="8" endcap="flat" dashstyle="solid"/>
                  <v:textbox style="layout-flow:horizontal;"/>
                  <v:imagedata o:title=""/>
                  <w10:wrap type="none" anchorx="text" anchory="text"/>
                </v:roundrect>
                <v:shapetype id="_x0000_t202" coordsize="21600,21600" o:spt="202" path="m,l,21600r21600,l21600,xe">
                  <v:stroke joinstyle="miter"/>
                  <v:path gradientshapeok="t" o:connecttype="rect"/>
                </v:shapetype>
                <v:shape id="テキスト ボックス 817" style="height:629315;width:1716200;top:86210;left:138023;v-text-anchor:middle;position:absolute;" o:spid="_x0000_s1323" filled="f" stroked="f" o:spt="202" type="#_x0000_t202">
                  <v:fill/>
                  <v:textbox style="layout-flow:horizontal;" inset="0mm,0mm,0mm,0mm">
                    <w:txbxContent>
                      <w:p>
                        <w:pPr>
                          <w:pStyle w:val="0"/>
                          <w:spacing w:line="0" w:lineRule="atLeast"/>
                          <w:ind w:left="204" w:hanging="204" w:hangingChars="100"/>
                          <w:rPr>
                            <w:rFonts w:hint="default" w:asciiTheme="majorEastAsia" w:hAnsiTheme="majorEastAsia" w:eastAsiaTheme="majorEastAsia"/>
                            <w:sz w:val="20"/>
                          </w:rPr>
                        </w:pPr>
                        <w:r>
                          <w:rPr>
                            <w:rFonts w:hint="eastAsia" w:asciiTheme="majorEastAsia" w:hAnsiTheme="majorEastAsia" w:eastAsiaTheme="majorEastAsia"/>
                            <w:sz w:val="20"/>
                          </w:rPr>
                          <w:t>①施策の推進方策及び障害福祉サービス等の見込量並びに確保方策等を定める。</w:t>
                        </w:r>
                      </w:p>
                    </w:txbxContent>
                  </v:textbox>
                  <v:imagedata o:title=""/>
                  <w10:wrap type="none" anchorx="text" anchory="text"/>
                </v:shape>
                <w10:wrap type="none" anchorx="text" anchory="text"/>
              </v:group>
            </w:pict>
          </mc:Fallback>
        </mc:AlternateContent>
      </w:r>
    </w:p>
    <w:p>
      <w:pPr>
        <w:pStyle w:val="77"/>
        <w:ind w:left="448" w:firstLine="224"/>
        <w:rPr>
          <w:rFonts w:hint="default"/>
          <w:spacing w:val="0"/>
        </w:rPr>
      </w:pPr>
    </w:p>
    <w:p>
      <w:pPr>
        <w:pStyle w:val="77"/>
        <w:ind w:left="448" w:firstLine="224"/>
        <w:rPr>
          <w:rFonts w:hint="default"/>
          <w:spacing w:val="0"/>
        </w:rPr>
      </w:pPr>
    </w:p>
    <w:p>
      <w:pPr>
        <w:pStyle w:val="77"/>
        <w:ind w:left="448" w:firstLine="214"/>
        <w:rPr>
          <w:rFonts w:hint="default"/>
          <w:spacing w:val="0"/>
        </w:rPr>
      </w:pPr>
      <w:r>
        <w:rPr>
          <w:rFonts w:hint="default"/>
          <w:sz w:val="21"/>
        </w:rPr>
        <w:drawing>
          <wp:anchor distT="0" distB="0" distL="114300" distR="114300" simplePos="0" relativeHeight="148" behindDoc="1" locked="0" layoutInCell="1" hidden="0" allowOverlap="1">
            <wp:simplePos x="0" y="0"/>
            <wp:positionH relativeFrom="column">
              <wp:posOffset>1565275</wp:posOffset>
            </wp:positionH>
            <wp:positionV relativeFrom="paragraph">
              <wp:posOffset>-476250</wp:posOffset>
            </wp:positionV>
            <wp:extent cx="3038475" cy="2906395"/>
            <wp:effectExtent l="0" t="0" r="0" b="0"/>
            <wp:wrapNone/>
            <wp:docPr id="1324" name="PDCAの図(白黒).gif"/>
            <a:graphic xmlns:a="http://schemas.openxmlformats.org/drawingml/2006/main">
              <a:graphicData uri="http://schemas.openxmlformats.org/drawingml/2006/picture">
                <pic:pic xmlns:pic="http://schemas.openxmlformats.org/drawingml/2006/picture">
                  <pic:nvPicPr>
                    <pic:cNvPr id="1324" name="PDCAの図(白黒).gif"/>
                    <pic:cNvPicPr/>
                  </pic:nvPicPr>
                  <pic:blipFill>
                    <a:blip r:embed="rId92"/>
                    <a:stretch>
                      <a:fillRect/>
                    </a:stretch>
                  </pic:blipFill>
                  <pic:spPr>
                    <a:xfrm>
                      <a:off x="0" y="0"/>
                      <a:ext cx="3038475" cy="2906395"/>
                    </a:xfrm>
                    <a:prstGeom prst="rect">
                      <a:avLst/>
                    </a:prstGeom>
                  </pic:spPr>
                </pic:pic>
              </a:graphicData>
            </a:graphic>
          </wp:anchor>
        </w:drawing>
      </w:r>
    </w:p>
    <w:p>
      <w:pPr>
        <w:pStyle w:val="77"/>
        <w:ind w:left="448" w:firstLine="224"/>
        <w:rPr>
          <w:rFonts w:hint="default"/>
          <w:spacing w:val="0"/>
        </w:rPr>
      </w:pPr>
      <w:r>
        <w:rPr>
          <w:rFonts w:hint="default"/>
          <w:spacing w:val="0"/>
        </w:rPr>
        <mc:AlternateContent>
          <mc:Choice Requires="wps">
            <w:drawing>
              <wp:anchor distT="0" distB="0" distL="114300" distR="114300" simplePos="0" relativeHeight="149" behindDoc="0" locked="0" layoutInCell="1" hidden="0" allowOverlap="1">
                <wp:simplePos x="0" y="0"/>
                <wp:positionH relativeFrom="column">
                  <wp:posOffset>3098800</wp:posOffset>
                </wp:positionH>
                <wp:positionV relativeFrom="paragraph">
                  <wp:posOffset>85725</wp:posOffset>
                </wp:positionV>
                <wp:extent cx="784225" cy="629285"/>
                <wp:effectExtent l="0" t="0" r="635" b="635"/>
                <wp:wrapNone/>
                <wp:docPr id="1325" name="テキスト ボックス 197"/>
                <a:graphic xmlns:a="http://schemas.openxmlformats.org/drawingml/2006/main">
                  <a:graphicData uri="http://schemas.microsoft.com/office/word/2010/wordprocessingShape">
                    <wps:wsp>
                      <wps:cNvPr id="1325" name="テキスト ボックス 197"/>
                      <wps:cNvSpPr txBox="1"/>
                      <wps:spPr>
                        <a:xfrm>
                          <a:off x="0" y="0"/>
                          <a:ext cx="784225" cy="629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b w:val="1"/>
                                <w:color w:val="000000" w:themeColor="text1"/>
                                <w:sz w:val="36"/>
                              </w:rPr>
                            </w:pPr>
                            <w:r>
                              <w:rPr>
                                <w:rFonts w:hint="default"/>
                                <w:b w:val="1"/>
                                <w:color w:val="000000" w:themeColor="text1"/>
                                <w:sz w:val="36"/>
                              </w:rPr>
                              <w:t>Plan</w:t>
                            </w:r>
                          </w:p>
                          <w:p>
                            <w:pPr>
                              <w:pStyle w:val="0"/>
                              <w:spacing w:line="0" w:lineRule="atLeast"/>
                              <w:jc w:val="center"/>
                              <w:rPr>
                                <w:rFonts w:hint="default" w:ascii="ＭＳ ゴシック" w:hAnsi="ＭＳ ゴシック" w:eastAsia="ＭＳ ゴシック"/>
                                <w:color w:val="000000" w:themeColor="text1"/>
                                <w:sz w:val="28"/>
                              </w:rPr>
                            </w:pPr>
                            <w:r>
                              <w:rPr>
                                <w:rFonts w:hint="eastAsia" w:ascii="ＭＳ ゴシック" w:hAnsi="ＭＳ ゴシック" w:eastAsia="ＭＳ ゴシック"/>
                                <w:color w:val="000000" w:themeColor="text1"/>
                                <w:sz w:val="28"/>
                              </w:rPr>
                              <w:t>(</w:t>
                            </w:r>
                            <w:r>
                              <w:rPr>
                                <w:rFonts w:hint="eastAsia" w:ascii="ＭＳ ゴシック" w:hAnsi="ＭＳ ゴシック" w:eastAsia="ＭＳ ゴシック"/>
                                <w:color w:val="000000" w:themeColor="text1"/>
                                <w:sz w:val="28"/>
                              </w:rPr>
                              <w:t>計画</w:t>
                            </w:r>
                            <w:r>
                              <w:rPr>
                                <w:rFonts w:hint="eastAsia" w:ascii="ＭＳ ゴシック" w:hAnsi="ＭＳ ゴシック" w:eastAsia="ＭＳ ゴシック"/>
                                <w:color w:val="000000" w:themeColor="text1"/>
                                <w:sz w:val="28"/>
                              </w:rPr>
                              <w:t>)</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97" style="mso-wrap-distance-right:9pt;mso-wrap-distance-bottom:0pt;margin-top:6.75pt;mso-position-vertical-relative:text;mso-position-horizontal-relative:text;v-text-anchor:top;position:absolute;height:49.55pt;mso-wrap-distance-top:0pt;width:61.75pt;mso-wrap-distance-left:9pt;margin-left:244pt;z-index:149;" o:spid="_x0000_s1325" o:allowincell="t" o:allowoverlap="t" filled="f" stroked="f" strokeweight="0.5pt" o:spt="202" type="#_x0000_t202">
                <v:fill/>
                <v:textbox style="layout-flow:horizontal;" inset="0mm,0mm,0mm,0mm">
                  <w:txbxContent>
                    <w:p>
                      <w:pPr>
                        <w:pStyle w:val="0"/>
                        <w:spacing w:line="0" w:lineRule="atLeast"/>
                        <w:jc w:val="center"/>
                        <w:rPr>
                          <w:rFonts w:hint="default"/>
                          <w:b w:val="1"/>
                          <w:color w:val="000000" w:themeColor="text1"/>
                          <w:sz w:val="36"/>
                        </w:rPr>
                      </w:pPr>
                      <w:r>
                        <w:rPr>
                          <w:rFonts w:hint="default"/>
                          <w:b w:val="1"/>
                          <w:color w:val="000000" w:themeColor="text1"/>
                          <w:sz w:val="36"/>
                        </w:rPr>
                        <w:t>Plan</w:t>
                      </w:r>
                    </w:p>
                    <w:p>
                      <w:pPr>
                        <w:pStyle w:val="0"/>
                        <w:spacing w:line="0" w:lineRule="atLeast"/>
                        <w:jc w:val="center"/>
                        <w:rPr>
                          <w:rFonts w:hint="default" w:ascii="ＭＳ ゴシック" w:hAnsi="ＭＳ ゴシック" w:eastAsia="ＭＳ ゴシック"/>
                          <w:color w:val="000000" w:themeColor="text1"/>
                          <w:sz w:val="28"/>
                        </w:rPr>
                      </w:pPr>
                      <w:r>
                        <w:rPr>
                          <w:rFonts w:hint="eastAsia" w:ascii="ＭＳ ゴシック" w:hAnsi="ＭＳ ゴシック" w:eastAsia="ＭＳ ゴシック"/>
                          <w:color w:val="000000" w:themeColor="text1"/>
                          <w:sz w:val="28"/>
                        </w:rPr>
                        <w:t>(</w:t>
                      </w:r>
                      <w:r>
                        <w:rPr>
                          <w:rFonts w:hint="eastAsia" w:ascii="ＭＳ ゴシック" w:hAnsi="ＭＳ ゴシック" w:eastAsia="ＭＳ ゴシック"/>
                          <w:color w:val="000000" w:themeColor="text1"/>
                          <w:sz w:val="28"/>
                        </w:rPr>
                        <w:t>計画</w:t>
                      </w:r>
                      <w:r>
                        <w:rPr>
                          <w:rFonts w:hint="eastAsia" w:ascii="ＭＳ ゴシック" w:hAnsi="ＭＳ ゴシック" w:eastAsia="ＭＳ ゴシック"/>
                          <w:color w:val="000000" w:themeColor="text1"/>
                          <w:sz w:val="28"/>
                        </w:rPr>
                        <w:t>)</w:t>
                      </w:r>
                    </w:p>
                  </w:txbxContent>
                </v:textbox>
                <v:imagedata o:title=""/>
                <w10:wrap type="none" anchorx="text" anchory="text"/>
              </v:shape>
            </w:pict>
          </mc:Fallback>
        </mc:AlternateContent>
      </w:r>
      <w:r>
        <w:rPr>
          <w:rFonts w:hint="default"/>
          <w:spacing w:val="0"/>
        </w:rPr>
        <mc:AlternateContent>
          <mc:Choice Requires="wps">
            <w:drawing>
              <wp:anchor distT="0" distB="0" distL="114300" distR="114300" simplePos="0" relativeHeight="150" behindDoc="0" locked="0" layoutInCell="1" hidden="0" allowOverlap="1">
                <wp:simplePos x="0" y="0"/>
                <wp:positionH relativeFrom="column">
                  <wp:posOffset>2212975</wp:posOffset>
                </wp:positionH>
                <wp:positionV relativeFrom="paragraph">
                  <wp:posOffset>95250</wp:posOffset>
                </wp:positionV>
                <wp:extent cx="784225" cy="629285"/>
                <wp:effectExtent l="0" t="0" r="635" b="635"/>
                <wp:wrapNone/>
                <wp:docPr id="1326" name="テキスト ボックス 198"/>
                <a:graphic xmlns:a="http://schemas.openxmlformats.org/drawingml/2006/main">
                  <a:graphicData uri="http://schemas.microsoft.com/office/word/2010/wordprocessingShape">
                    <wps:wsp>
                      <wps:cNvPr id="1326" name="テキスト ボックス 198"/>
                      <wps:cNvSpPr txBox="1"/>
                      <wps:spPr>
                        <a:xfrm>
                          <a:off x="0" y="0"/>
                          <a:ext cx="784225" cy="629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b w:val="1"/>
                                <w:color w:val="000000" w:themeColor="text1"/>
                                <w:sz w:val="36"/>
                              </w:rPr>
                            </w:pPr>
                            <w:r>
                              <w:rPr>
                                <w:rFonts w:hint="default"/>
                                <w:b w:val="1"/>
                                <w:color w:val="000000" w:themeColor="text1"/>
                                <w:sz w:val="36"/>
                              </w:rPr>
                              <w:t>Act</w:t>
                            </w:r>
                          </w:p>
                          <w:p>
                            <w:pPr>
                              <w:pStyle w:val="0"/>
                              <w:spacing w:line="0" w:lineRule="atLeast"/>
                              <w:jc w:val="center"/>
                              <w:rPr>
                                <w:rFonts w:hint="default" w:ascii="ＭＳ ゴシック" w:hAnsi="ＭＳ ゴシック" w:eastAsia="ＭＳ ゴシック"/>
                                <w:color w:val="000000" w:themeColor="text1"/>
                                <w:sz w:val="28"/>
                              </w:rPr>
                            </w:pPr>
                            <w:r>
                              <w:rPr>
                                <w:rFonts w:hint="eastAsia" w:ascii="ＭＳ ゴシック" w:hAnsi="ＭＳ ゴシック" w:eastAsia="ＭＳ ゴシック"/>
                                <w:color w:val="000000" w:themeColor="text1"/>
                                <w:sz w:val="28"/>
                              </w:rPr>
                              <w:t>(</w:t>
                            </w:r>
                            <w:r>
                              <w:rPr>
                                <w:rFonts w:hint="eastAsia" w:ascii="ＭＳ ゴシック" w:hAnsi="ＭＳ ゴシック" w:eastAsia="ＭＳ ゴシック"/>
                                <w:color w:val="000000" w:themeColor="text1"/>
                                <w:sz w:val="28"/>
                              </w:rPr>
                              <w:t>改善</w:t>
                            </w:r>
                            <w:r>
                              <w:rPr>
                                <w:rFonts w:hint="eastAsia" w:ascii="ＭＳ ゴシック" w:hAnsi="ＭＳ ゴシック" w:eastAsia="ＭＳ ゴシック"/>
                                <w:color w:val="000000" w:themeColor="text1"/>
                                <w:sz w:val="28"/>
                              </w:rPr>
                              <w:t>)</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98" style="mso-wrap-distance-right:9pt;mso-wrap-distance-bottom:0pt;margin-top:7.5pt;mso-position-vertical-relative:text;mso-position-horizontal-relative:text;v-text-anchor:top;position:absolute;height:49.55pt;mso-wrap-distance-top:0pt;width:61.75pt;mso-wrap-distance-left:9pt;margin-left:174.25pt;z-index:150;" o:spid="_x0000_s1326" o:allowincell="t" o:allowoverlap="t" filled="f" stroked="f" strokeweight="0.5pt" o:spt="202" type="#_x0000_t202">
                <v:fill/>
                <v:textbox style="layout-flow:horizontal;" inset="0mm,0mm,0mm,0mm">
                  <w:txbxContent>
                    <w:p>
                      <w:pPr>
                        <w:pStyle w:val="0"/>
                        <w:spacing w:line="0" w:lineRule="atLeast"/>
                        <w:jc w:val="center"/>
                        <w:rPr>
                          <w:rFonts w:hint="default"/>
                          <w:b w:val="1"/>
                          <w:color w:val="000000" w:themeColor="text1"/>
                          <w:sz w:val="36"/>
                        </w:rPr>
                      </w:pPr>
                      <w:r>
                        <w:rPr>
                          <w:rFonts w:hint="default"/>
                          <w:b w:val="1"/>
                          <w:color w:val="000000" w:themeColor="text1"/>
                          <w:sz w:val="36"/>
                        </w:rPr>
                        <w:t>Act</w:t>
                      </w:r>
                    </w:p>
                    <w:p>
                      <w:pPr>
                        <w:pStyle w:val="0"/>
                        <w:spacing w:line="0" w:lineRule="atLeast"/>
                        <w:jc w:val="center"/>
                        <w:rPr>
                          <w:rFonts w:hint="default" w:ascii="ＭＳ ゴシック" w:hAnsi="ＭＳ ゴシック" w:eastAsia="ＭＳ ゴシック"/>
                          <w:color w:val="000000" w:themeColor="text1"/>
                          <w:sz w:val="28"/>
                        </w:rPr>
                      </w:pPr>
                      <w:r>
                        <w:rPr>
                          <w:rFonts w:hint="eastAsia" w:ascii="ＭＳ ゴシック" w:hAnsi="ＭＳ ゴシック" w:eastAsia="ＭＳ ゴシック"/>
                          <w:color w:val="000000" w:themeColor="text1"/>
                          <w:sz w:val="28"/>
                        </w:rPr>
                        <w:t>(</w:t>
                      </w:r>
                      <w:r>
                        <w:rPr>
                          <w:rFonts w:hint="eastAsia" w:ascii="ＭＳ ゴシック" w:hAnsi="ＭＳ ゴシック" w:eastAsia="ＭＳ ゴシック"/>
                          <w:color w:val="000000" w:themeColor="text1"/>
                          <w:sz w:val="28"/>
                        </w:rPr>
                        <w:t>改善</w:t>
                      </w:r>
                      <w:r>
                        <w:rPr>
                          <w:rFonts w:hint="eastAsia" w:ascii="ＭＳ ゴシック" w:hAnsi="ＭＳ ゴシック" w:eastAsia="ＭＳ ゴシック"/>
                          <w:color w:val="000000" w:themeColor="text1"/>
                          <w:sz w:val="28"/>
                        </w:rPr>
                        <w:t>)</w:t>
                      </w:r>
                    </w:p>
                  </w:txbxContent>
                </v:textbox>
                <v:imagedata o:title=""/>
                <w10:wrap type="none" anchorx="text" anchory="text"/>
              </v:shape>
            </w:pict>
          </mc:Fallback>
        </mc:AlternateContent>
      </w:r>
    </w:p>
    <w:p>
      <w:pPr>
        <w:pStyle w:val="77"/>
        <w:ind w:left="448" w:firstLine="224"/>
        <w:rPr>
          <w:rFonts w:hint="default"/>
          <w:spacing w:val="0"/>
        </w:rPr>
      </w:pPr>
      <w:r>
        <w:rPr>
          <w:rFonts w:hint="default"/>
          <w:spacing w:val="0"/>
        </w:rPr>
        <mc:AlternateContent>
          <mc:Choice Requires="wps">
            <w:drawing>
              <wp:anchor distT="0" distB="0" distL="114300" distR="114300" simplePos="0" relativeHeight="151" behindDoc="0" locked="0" layoutInCell="1" hidden="0" allowOverlap="1">
                <wp:simplePos x="0" y="0"/>
                <wp:positionH relativeFrom="column">
                  <wp:posOffset>3955415</wp:posOffset>
                </wp:positionH>
                <wp:positionV relativeFrom="paragraph">
                  <wp:posOffset>95250</wp:posOffset>
                </wp:positionV>
                <wp:extent cx="292100" cy="853440"/>
                <wp:effectExtent l="635" t="635" r="30480" b="0"/>
                <wp:wrapNone/>
                <wp:docPr id="1327" name="左カーブ矢印 199"/>
                <a:graphic xmlns:a="http://schemas.openxmlformats.org/drawingml/2006/main">
                  <a:graphicData uri="http://schemas.microsoft.com/office/word/2010/wordprocessingShape">
                    <wps:wsp>
                      <wps:cNvPr id="1327" name="左カーブ矢印 199"/>
                      <wps:cNvSpPr/>
                      <wps:spPr>
                        <a:xfrm>
                          <a:off x="0" y="0"/>
                          <a:ext cx="292100" cy="853440"/>
                        </a:xfrm>
                        <a:prstGeom prst="curvedLeftArrow">
                          <a:avLst>
                            <a:gd name="adj1" fmla="val 50000"/>
                            <a:gd name="adj2" fmla="val 112379"/>
                            <a:gd name="adj3" fmla="val 25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199" style="mso-wrap-distance-right:9pt;mso-wrap-distance-bottom:0pt;margin-top:7.5pt;mso-position-vertical-relative:text;mso-position-horizontal-relative:text;position:absolute;height:67.2pt;mso-wrap-distance-top:0pt;width:23pt;mso-wrap-distance-left:9pt;margin-left:311.45pt;z-index:151;" o:spid="_x0000_s1327" o:allowincell="t" o:allowoverlap="t" filled="t" fillcolor="#808080 [1612]" stroked="f" strokecolor="#42709c" strokeweight="1pt" o:spt="103" type="#_x0000_t103" adj="11182,21600,0">
                <v:fill/>
                <v:stroke linestyle="single" miterlimit="8" endcap="flat" dashstyle="solid"/>
                <v:textbox style="layout-flow:horizontal;"/>
                <v:imagedata o:title=""/>
                <w10:wrap type="none" anchorx="text" anchory="text"/>
              </v:shape>
            </w:pict>
          </mc:Fallback>
        </mc:AlternateContent>
      </w:r>
      <w:r>
        <w:rPr>
          <w:rFonts w:hint="default"/>
          <w:spacing w:val="0"/>
        </w:rPr>
        <mc:AlternateContent>
          <mc:Choice Requires="wps">
            <w:drawing>
              <wp:anchor distT="0" distB="0" distL="114300" distR="114300" simplePos="0" relativeHeight="152" behindDoc="0" locked="0" layoutInCell="1" hidden="0" allowOverlap="1">
                <wp:simplePos x="0" y="0"/>
                <wp:positionH relativeFrom="column">
                  <wp:posOffset>1822450</wp:posOffset>
                </wp:positionH>
                <wp:positionV relativeFrom="paragraph">
                  <wp:posOffset>95250</wp:posOffset>
                </wp:positionV>
                <wp:extent cx="292100" cy="853440"/>
                <wp:effectExtent l="29845" t="0" r="635" b="635"/>
                <wp:wrapNone/>
                <wp:docPr id="1328" name="左カーブ矢印 201"/>
                <a:graphic xmlns:a="http://schemas.openxmlformats.org/drawingml/2006/main">
                  <a:graphicData uri="http://schemas.microsoft.com/office/word/2010/wordprocessingShape">
                    <wps:wsp>
                      <wps:cNvPr id="1328" name="左カーブ矢印 201"/>
                      <wps:cNvSpPr/>
                      <wps:spPr>
                        <a:xfrm flipH="1" flipV="1">
                          <a:off x="0" y="0"/>
                          <a:ext cx="292100" cy="853440"/>
                        </a:xfrm>
                        <a:prstGeom prst="curvedLeftArrow">
                          <a:avLst>
                            <a:gd name="adj1" fmla="val 50000"/>
                            <a:gd name="adj2" fmla="val 112379"/>
                            <a:gd name="adj3" fmla="val 25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201" style="flip:x y;mso-wrap-distance-right:9pt;mso-wrap-distance-bottom:0pt;margin-top:7.5pt;mso-position-vertical-relative:text;mso-position-horizontal-relative:text;position:absolute;height:67.2pt;mso-wrap-distance-top:0pt;width:23pt;mso-wrap-distance-left:9pt;margin-left:143.5pt;z-index:152;" o:spid="_x0000_s1328" o:allowincell="t" o:allowoverlap="t" filled="t" fillcolor="#808080 [1612]" stroked="f" strokecolor="#42709c" strokeweight="1pt" o:spt="103" type="#_x0000_t103" adj="11182,21600,0">
                <v:fill/>
                <v:stroke linestyle="single" miterlimit="8" endcap="flat" dashstyle="solid"/>
                <v:textbox style="layout-flow:horizontal;"/>
                <v:imagedata o:title=""/>
                <w10:wrap type="none" anchorx="text" anchory="text"/>
              </v:shape>
            </w:pict>
          </mc:Fallback>
        </mc:AlternateContent>
      </w:r>
      <w:r>
        <w:rPr>
          <w:rFonts w:hint="default"/>
          <w:spacing w:val="0"/>
        </w:rPr>
        <mc:AlternateContent>
          <mc:Choice Requires="wpg">
            <w:drawing>
              <wp:anchor distT="0" distB="0" distL="114300" distR="114300" simplePos="0" relativeHeight="153" behindDoc="0" locked="0" layoutInCell="1" hidden="0" allowOverlap="1">
                <wp:simplePos x="0" y="0"/>
                <wp:positionH relativeFrom="column">
                  <wp:posOffset>1993900</wp:posOffset>
                </wp:positionH>
                <wp:positionV relativeFrom="paragraph">
                  <wp:posOffset>19050</wp:posOffset>
                </wp:positionV>
                <wp:extent cx="2137410" cy="895985"/>
                <wp:effectExtent l="0" t="30480" r="0" b="30480"/>
                <wp:wrapNone/>
                <wp:docPr id="1329" name="グループ化 203"/>
                <a:graphic xmlns:a="http://schemas.openxmlformats.org/drawingml/2006/main">
                  <a:graphicData uri="http://schemas.microsoft.com/office/word/2010/wordprocessingGroup">
                    <wpg:wgp>
                      <wpg:cNvGrpSpPr/>
                      <wpg:grpSpPr>
                        <a:xfrm rot="16200000">
                          <a:off x="0" y="0"/>
                          <a:ext cx="2137410" cy="895985"/>
                          <a:chOff x="242015" y="-77637"/>
                          <a:chExt cx="2138301" cy="897143"/>
                        </a:xfrm>
                      </wpg:grpSpPr>
                      <wps:wsp>
                        <wps:cNvPr id="1330" name="左カーブ矢印 205"/>
                        <wps:cNvSpPr/>
                        <wps:spPr>
                          <a:xfrm>
                            <a:off x="2087581" y="-34509"/>
                            <a:ext cx="292735" cy="854015"/>
                          </a:xfrm>
                          <a:prstGeom prst="curvedLeftArrow">
                            <a:avLst>
                              <a:gd name="adj1" fmla="val 50000"/>
                              <a:gd name="adj2" fmla="val 112379"/>
                              <a:gd name="adj3" fmla="val 25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331" name="左カーブ矢印 206"/>
                        <wps:cNvSpPr/>
                        <wps:spPr>
                          <a:xfrm flipH="1" flipV="1">
                            <a:off x="242015" y="-77637"/>
                            <a:ext cx="292735" cy="854015"/>
                          </a:xfrm>
                          <a:prstGeom prst="curvedLeftArrow">
                            <a:avLst>
                              <a:gd name="adj1" fmla="val 50000"/>
                              <a:gd name="adj2" fmla="val 112379"/>
                              <a:gd name="adj3" fmla="val 25000"/>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グループ化 203" style="mso-wrap-distance-right:9pt;mso-wrap-distance-bottom:0pt;margin-top:1.5pt;mso-position-vertical-relative:text;mso-position-horizontal-relative:text;position:absolute;height:70.55pt;mso-wrap-distance-top:0pt;width:168.3pt;mso-wrap-distance-left:9pt;margin-left:157pt;z-index:153;rotation:270;" coordsize="2138301,897143" coordorigin="242015,-77637" o:spid="_x0000_s1329" o:allowincell="t" o:allowoverla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205" style="height:854015;width:292735;top:-34509;left:2087581;position:absolute;" o:spid="_x0000_s1330" filled="t" fillcolor="#808080 [1612]" stroked="f" strokecolor="#42709c" strokeweight="1pt" o:spt="103" type="#_x0000_t103" adj="11182,21600,0">
                  <v:fill/>
                  <v:stroke linestyle="single" miterlimit="8" endcap="flat" dashstyle="solid"/>
                  <v:textbox style="layout-flow:horizontal;"/>
                  <v:imagedata o:title=""/>
                  <w10:wrap type="none" anchorx="text" anchory="text"/>
                </v:shape>
                <v:shape id="左カーブ矢印 206" style="height:854015;width:292735;flip:x y;top:-77637;left:242015;position:absolute;" o:spid="_x0000_s1331" filled="t" fillcolor="#808080 [1612]" stroked="f" strokecolor="#42709c" strokeweight="1pt" o:spt="103" type="#_x0000_t103" adj="11182,21600,0">
                  <v:fill/>
                  <v:stroke linestyle="single" miterlimit="8" endcap="flat" dashstyle="solid"/>
                  <v:textbox style="layout-flow:horizontal;"/>
                  <v:imagedata o:title=""/>
                  <w10:wrap type="none" anchorx="text" anchory="text"/>
                </v:shape>
                <w10:wrap type="none" anchorx="text" anchory="text"/>
              </v:group>
            </w:pict>
          </mc:Fallback>
        </mc:AlternateContent>
      </w:r>
    </w:p>
    <w:p>
      <w:pPr>
        <w:pStyle w:val="77"/>
        <w:ind w:left="448" w:firstLine="224"/>
        <w:rPr>
          <w:rFonts w:hint="default"/>
          <w:spacing w:val="0"/>
        </w:rPr>
      </w:pPr>
    </w:p>
    <w:p>
      <w:pPr>
        <w:pStyle w:val="77"/>
        <w:ind w:left="448" w:firstLine="224"/>
        <w:rPr>
          <w:rFonts w:hint="default"/>
          <w:spacing w:val="0"/>
        </w:rPr>
      </w:pPr>
      <w:r>
        <w:rPr>
          <w:rFonts w:hint="default"/>
          <w:spacing w:val="0"/>
        </w:rPr>
        <mc:AlternateContent>
          <mc:Choice Requires="wps">
            <w:drawing>
              <wp:anchor distT="0" distB="0" distL="114300" distR="114300" simplePos="0" relativeHeight="156" behindDoc="0" locked="0" layoutInCell="1" hidden="0" allowOverlap="1">
                <wp:simplePos x="0" y="0"/>
                <wp:positionH relativeFrom="column">
                  <wp:posOffset>3089275</wp:posOffset>
                </wp:positionH>
                <wp:positionV relativeFrom="paragraph">
                  <wp:posOffset>95250</wp:posOffset>
                </wp:positionV>
                <wp:extent cx="784225" cy="629285"/>
                <wp:effectExtent l="0" t="0" r="635" b="635"/>
                <wp:wrapNone/>
                <wp:docPr id="1332" name="テキスト ボックス 207"/>
                <a:graphic xmlns:a="http://schemas.openxmlformats.org/drawingml/2006/main">
                  <a:graphicData uri="http://schemas.microsoft.com/office/word/2010/wordprocessingShape">
                    <wps:wsp>
                      <wps:cNvPr id="1332" name="テキスト ボックス 207"/>
                      <wps:cNvSpPr txBox="1"/>
                      <wps:spPr>
                        <a:xfrm>
                          <a:off x="0" y="0"/>
                          <a:ext cx="784225" cy="629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b w:val="1"/>
                                <w:color w:val="000000" w:themeColor="text1"/>
                                <w:sz w:val="36"/>
                              </w:rPr>
                            </w:pPr>
                            <w:r>
                              <w:rPr>
                                <w:rFonts w:hint="default"/>
                                <w:b w:val="1"/>
                                <w:color w:val="000000" w:themeColor="text1"/>
                                <w:sz w:val="36"/>
                              </w:rPr>
                              <w:t>Do</w:t>
                            </w:r>
                          </w:p>
                          <w:p>
                            <w:pPr>
                              <w:pStyle w:val="0"/>
                              <w:spacing w:line="0" w:lineRule="atLeast"/>
                              <w:jc w:val="center"/>
                              <w:rPr>
                                <w:rFonts w:hint="default" w:ascii="ＭＳ ゴシック" w:hAnsi="ＭＳ ゴシック" w:eastAsia="ＭＳ ゴシック"/>
                                <w:color w:val="000000" w:themeColor="text1"/>
                                <w:sz w:val="28"/>
                              </w:rPr>
                            </w:pPr>
                            <w:r>
                              <w:rPr>
                                <w:rFonts w:hint="eastAsia" w:ascii="ＭＳ ゴシック" w:hAnsi="ＭＳ ゴシック" w:eastAsia="ＭＳ ゴシック"/>
                                <w:color w:val="000000" w:themeColor="text1"/>
                                <w:sz w:val="28"/>
                              </w:rPr>
                              <w:t>(</w:t>
                            </w:r>
                            <w:r>
                              <w:rPr>
                                <w:rFonts w:hint="eastAsia" w:ascii="ＭＳ ゴシック" w:hAnsi="ＭＳ ゴシック" w:eastAsia="ＭＳ ゴシック"/>
                                <w:color w:val="000000" w:themeColor="text1"/>
                                <w:sz w:val="28"/>
                              </w:rPr>
                              <w:t>実行</w:t>
                            </w:r>
                            <w:r>
                              <w:rPr>
                                <w:rFonts w:hint="eastAsia" w:ascii="ＭＳ ゴシック" w:hAnsi="ＭＳ ゴシック" w:eastAsia="ＭＳ ゴシック"/>
                                <w:color w:val="000000" w:themeColor="text1"/>
                                <w:sz w:val="28"/>
                              </w:rPr>
                              <w:t>)</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7" style="mso-wrap-distance-right:9pt;mso-wrap-distance-bottom:0pt;margin-top:7.5pt;mso-position-vertical-relative:text;mso-position-horizontal-relative:text;v-text-anchor:top;position:absolute;height:49.55pt;mso-wrap-distance-top:0pt;width:61.75pt;mso-wrap-distance-left:9pt;margin-left:243.25pt;z-index:156;" o:spid="_x0000_s1332" o:allowincell="t" o:allowoverlap="t" filled="f" stroked="f" strokeweight="0.5pt" o:spt="202" type="#_x0000_t202">
                <v:fill/>
                <v:textbox style="layout-flow:horizontal;" inset="0mm,0mm,0mm,0mm">
                  <w:txbxContent>
                    <w:p>
                      <w:pPr>
                        <w:pStyle w:val="0"/>
                        <w:spacing w:line="0" w:lineRule="atLeast"/>
                        <w:jc w:val="center"/>
                        <w:rPr>
                          <w:rFonts w:hint="default"/>
                          <w:b w:val="1"/>
                          <w:color w:val="000000" w:themeColor="text1"/>
                          <w:sz w:val="36"/>
                        </w:rPr>
                      </w:pPr>
                      <w:r>
                        <w:rPr>
                          <w:rFonts w:hint="default"/>
                          <w:b w:val="1"/>
                          <w:color w:val="000000" w:themeColor="text1"/>
                          <w:sz w:val="36"/>
                        </w:rPr>
                        <w:t>Do</w:t>
                      </w:r>
                    </w:p>
                    <w:p>
                      <w:pPr>
                        <w:pStyle w:val="0"/>
                        <w:spacing w:line="0" w:lineRule="atLeast"/>
                        <w:jc w:val="center"/>
                        <w:rPr>
                          <w:rFonts w:hint="default" w:ascii="ＭＳ ゴシック" w:hAnsi="ＭＳ ゴシック" w:eastAsia="ＭＳ ゴシック"/>
                          <w:color w:val="000000" w:themeColor="text1"/>
                          <w:sz w:val="28"/>
                        </w:rPr>
                      </w:pPr>
                      <w:r>
                        <w:rPr>
                          <w:rFonts w:hint="eastAsia" w:ascii="ＭＳ ゴシック" w:hAnsi="ＭＳ ゴシック" w:eastAsia="ＭＳ ゴシック"/>
                          <w:color w:val="000000" w:themeColor="text1"/>
                          <w:sz w:val="28"/>
                        </w:rPr>
                        <w:t>(</w:t>
                      </w:r>
                      <w:r>
                        <w:rPr>
                          <w:rFonts w:hint="eastAsia" w:ascii="ＭＳ ゴシック" w:hAnsi="ＭＳ ゴシック" w:eastAsia="ＭＳ ゴシック"/>
                          <w:color w:val="000000" w:themeColor="text1"/>
                          <w:sz w:val="28"/>
                        </w:rPr>
                        <w:t>実行</w:t>
                      </w:r>
                      <w:r>
                        <w:rPr>
                          <w:rFonts w:hint="eastAsia" w:ascii="ＭＳ ゴシック" w:hAnsi="ＭＳ ゴシック" w:eastAsia="ＭＳ ゴシック"/>
                          <w:color w:val="000000" w:themeColor="text1"/>
                          <w:sz w:val="28"/>
                        </w:rPr>
                        <w:t>)</w:t>
                      </w:r>
                    </w:p>
                  </w:txbxContent>
                </v:textbox>
                <v:imagedata o:title=""/>
                <w10:wrap type="none" anchorx="text" anchory="text"/>
              </v:shape>
            </w:pict>
          </mc:Fallback>
        </mc:AlternateContent>
      </w:r>
      <w:r>
        <w:rPr>
          <w:rFonts w:hint="default"/>
          <w:spacing w:val="0"/>
        </w:rPr>
        <mc:AlternateContent>
          <mc:Choice Requires="wps">
            <w:drawing>
              <wp:anchor distT="0" distB="0" distL="114300" distR="114300" simplePos="0" relativeHeight="157" behindDoc="0" locked="0" layoutInCell="1" hidden="0" allowOverlap="1">
                <wp:simplePos x="0" y="0"/>
                <wp:positionH relativeFrom="column">
                  <wp:posOffset>2212975</wp:posOffset>
                </wp:positionH>
                <wp:positionV relativeFrom="paragraph">
                  <wp:posOffset>114300</wp:posOffset>
                </wp:positionV>
                <wp:extent cx="784225" cy="629285"/>
                <wp:effectExtent l="0" t="0" r="635" b="635"/>
                <wp:wrapNone/>
                <wp:docPr id="1333" name="テキスト ボックス 32"/>
                <a:graphic xmlns:a="http://schemas.openxmlformats.org/drawingml/2006/main">
                  <a:graphicData uri="http://schemas.microsoft.com/office/word/2010/wordprocessingShape">
                    <wps:wsp>
                      <wps:cNvPr id="1333" name="テキスト ボックス 32"/>
                      <wps:cNvSpPr txBox="1"/>
                      <wps:spPr>
                        <a:xfrm>
                          <a:off x="0" y="0"/>
                          <a:ext cx="784225" cy="629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b w:val="1"/>
                                <w:color w:val="000000" w:themeColor="text1"/>
                                <w:sz w:val="36"/>
                              </w:rPr>
                            </w:pPr>
                            <w:r>
                              <w:rPr>
                                <w:rFonts w:hint="default"/>
                                <w:b w:val="1"/>
                                <w:color w:val="000000" w:themeColor="text1"/>
                                <w:sz w:val="36"/>
                              </w:rPr>
                              <w:t>Check</w:t>
                            </w:r>
                          </w:p>
                          <w:p>
                            <w:pPr>
                              <w:pStyle w:val="0"/>
                              <w:spacing w:line="0" w:lineRule="atLeast"/>
                              <w:jc w:val="center"/>
                              <w:rPr>
                                <w:rFonts w:hint="default" w:ascii="ＭＳ ゴシック" w:hAnsi="ＭＳ ゴシック" w:eastAsia="ＭＳ ゴシック"/>
                                <w:color w:val="000000" w:themeColor="text1"/>
                                <w:sz w:val="28"/>
                              </w:rPr>
                            </w:pPr>
                            <w:r>
                              <w:rPr>
                                <w:rFonts w:hint="eastAsia" w:ascii="ＭＳ ゴシック" w:hAnsi="ＭＳ ゴシック" w:eastAsia="ＭＳ ゴシック"/>
                                <w:color w:val="000000" w:themeColor="text1"/>
                                <w:sz w:val="28"/>
                              </w:rPr>
                              <w:t>(</w:t>
                            </w:r>
                            <w:r>
                              <w:rPr>
                                <w:rFonts w:hint="eastAsia" w:ascii="ＭＳ ゴシック" w:hAnsi="ＭＳ ゴシック" w:eastAsia="ＭＳ ゴシック"/>
                                <w:color w:val="000000" w:themeColor="text1"/>
                                <w:sz w:val="28"/>
                              </w:rPr>
                              <w:t>評価</w:t>
                            </w:r>
                            <w:r>
                              <w:rPr>
                                <w:rFonts w:hint="eastAsia" w:ascii="ＭＳ ゴシック" w:hAnsi="ＭＳ ゴシック" w:eastAsia="ＭＳ ゴシック"/>
                                <w:color w:val="000000" w:themeColor="text1"/>
                                <w:sz w:val="28"/>
                              </w:rPr>
                              <w:t>)</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2" style="mso-wrap-distance-right:9pt;mso-wrap-distance-bottom:0pt;margin-top:9pt;mso-position-vertical-relative:text;mso-position-horizontal-relative:text;v-text-anchor:top;position:absolute;height:49.55pt;mso-wrap-distance-top:0pt;width:61.75pt;mso-wrap-distance-left:9pt;margin-left:174.25pt;z-index:157;" o:spid="_x0000_s1333" o:allowincell="t" o:allowoverlap="t" filled="f" stroked="f" strokeweight="0.5pt" o:spt="202" type="#_x0000_t202">
                <v:fill/>
                <v:textbox style="layout-flow:horizontal;" inset="0mm,0mm,0mm,0mm">
                  <w:txbxContent>
                    <w:p>
                      <w:pPr>
                        <w:pStyle w:val="0"/>
                        <w:spacing w:line="0" w:lineRule="atLeast"/>
                        <w:jc w:val="center"/>
                        <w:rPr>
                          <w:rFonts w:hint="default"/>
                          <w:b w:val="1"/>
                          <w:color w:val="000000" w:themeColor="text1"/>
                          <w:sz w:val="36"/>
                        </w:rPr>
                      </w:pPr>
                      <w:r>
                        <w:rPr>
                          <w:rFonts w:hint="default"/>
                          <w:b w:val="1"/>
                          <w:color w:val="000000" w:themeColor="text1"/>
                          <w:sz w:val="36"/>
                        </w:rPr>
                        <w:t>Check</w:t>
                      </w:r>
                    </w:p>
                    <w:p>
                      <w:pPr>
                        <w:pStyle w:val="0"/>
                        <w:spacing w:line="0" w:lineRule="atLeast"/>
                        <w:jc w:val="center"/>
                        <w:rPr>
                          <w:rFonts w:hint="default" w:ascii="ＭＳ ゴシック" w:hAnsi="ＭＳ ゴシック" w:eastAsia="ＭＳ ゴシック"/>
                          <w:color w:val="000000" w:themeColor="text1"/>
                          <w:sz w:val="28"/>
                        </w:rPr>
                      </w:pPr>
                      <w:r>
                        <w:rPr>
                          <w:rFonts w:hint="eastAsia" w:ascii="ＭＳ ゴシック" w:hAnsi="ＭＳ ゴシック" w:eastAsia="ＭＳ ゴシック"/>
                          <w:color w:val="000000" w:themeColor="text1"/>
                          <w:sz w:val="28"/>
                        </w:rPr>
                        <w:t>(</w:t>
                      </w:r>
                      <w:r>
                        <w:rPr>
                          <w:rFonts w:hint="eastAsia" w:ascii="ＭＳ ゴシック" w:hAnsi="ＭＳ ゴシック" w:eastAsia="ＭＳ ゴシック"/>
                          <w:color w:val="000000" w:themeColor="text1"/>
                          <w:sz w:val="28"/>
                        </w:rPr>
                        <w:t>評価</w:t>
                      </w:r>
                      <w:r>
                        <w:rPr>
                          <w:rFonts w:hint="eastAsia" w:ascii="ＭＳ ゴシック" w:hAnsi="ＭＳ ゴシック" w:eastAsia="ＭＳ ゴシック"/>
                          <w:color w:val="000000" w:themeColor="text1"/>
                          <w:sz w:val="28"/>
                        </w:rPr>
                        <w:t>)</w:t>
                      </w:r>
                    </w:p>
                  </w:txbxContent>
                </v:textbox>
                <v:imagedata o:title=""/>
                <w10:wrap type="none" anchorx="text" anchory="text"/>
              </v:shape>
            </w:pict>
          </mc:Fallback>
        </mc:AlternateContent>
      </w:r>
    </w:p>
    <w:p>
      <w:pPr>
        <w:pStyle w:val="77"/>
        <w:ind w:left="448" w:firstLine="224"/>
        <w:rPr>
          <w:rFonts w:hint="default"/>
          <w:spacing w:val="0"/>
        </w:rPr>
      </w:pPr>
    </w:p>
    <w:p>
      <w:pPr>
        <w:pStyle w:val="77"/>
        <w:ind w:left="448" w:firstLine="224"/>
        <w:rPr>
          <w:rFonts w:hint="default"/>
          <w:spacing w:val="0"/>
        </w:rPr>
      </w:pPr>
    </w:p>
    <w:p>
      <w:pPr>
        <w:pStyle w:val="77"/>
        <w:ind w:left="448" w:firstLine="224"/>
        <w:rPr>
          <w:rFonts w:hint="default"/>
          <w:spacing w:val="0"/>
        </w:rPr>
      </w:pPr>
      <w:r>
        <w:rPr>
          <w:rFonts w:hint="default"/>
          <w:spacing w:val="0"/>
        </w:rPr>
        <mc:AlternateContent>
          <mc:Choice Requires="wpg">
            <w:drawing>
              <wp:anchor distT="0" distB="0" distL="114300" distR="114300" simplePos="0" relativeHeight="158" behindDoc="0" locked="0" layoutInCell="1" hidden="0" allowOverlap="1">
                <wp:simplePos x="0" y="0"/>
                <wp:positionH relativeFrom="column">
                  <wp:posOffset>495935</wp:posOffset>
                </wp:positionH>
                <wp:positionV relativeFrom="paragraph">
                  <wp:posOffset>9525</wp:posOffset>
                </wp:positionV>
                <wp:extent cx="1957705" cy="1095375"/>
                <wp:effectExtent l="635" t="635" r="635" b="635"/>
                <wp:wrapNone/>
                <wp:docPr id="1334" name="グループ化 208"/>
                <a:graphic xmlns:a="http://schemas.openxmlformats.org/drawingml/2006/main">
                  <a:graphicData uri="http://schemas.microsoft.com/office/word/2010/wordprocessingGroup">
                    <wpg:wgp>
                      <wpg:cNvGrpSpPr/>
                      <wpg:grpSpPr>
                        <a:xfrm>
                          <a:off x="0" y="0"/>
                          <a:ext cx="1957705" cy="1095375"/>
                          <a:chOff x="0" y="0"/>
                          <a:chExt cx="1958196" cy="802257"/>
                        </a:xfrm>
                      </wpg:grpSpPr>
                      <wps:wsp>
                        <wps:cNvPr id="1335" name="角丸四角形 209"/>
                        <wps:cNvSpPr/>
                        <wps:spPr>
                          <a:xfrm>
                            <a:off x="0" y="0"/>
                            <a:ext cx="1958196" cy="802257"/>
                          </a:xfrm>
                          <a:prstGeom prst="roundRect">
                            <a:avLst/>
                          </a:prstGeom>
                          <a:solidFill>
                            <a:schemeClr val="bg1">
                              <a:lumMod val="75000"/>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336" name="テキスト ボックス 812"/>
                        <wps:cNvSpPr txBox="1">
                          <a:spLocks noChangeArrowheads="1"/>
                        </wps:cNvSpPr>
                        <wps:spPr>
                          <a:xfrm>
                            <a:off x="120770" y="94890"/>
                            <a:ext cx="1690159" cy="619947"/>
                          </a:xfrm>
                          <a:prstGeom prst="rect">
                            <a:avLst/>
                          </a:prstGeom>
                          <a:noFill/>
                          <a:ln>
                            <a:noFill/>
                          </a:ln>
                        </wps:spPr>
                        <wps:txbx>
                          <w:txbxContent>
                            <w:p>
                              <w:pPr>
                                <w:pStyle w:val="0"/>
                                <w:spacing w:line="0" w:lineRule="atLeast"/>
                                <w:ind w:left="204" w:hanging="204" w:hangingChars="100"/>
                                <w:rPr>
                                  <w:rFonts w:hint="default" w:asciiTheme="majorEastAsia" w:hAnsiTheme="majorEastAsia" w:eastAsiaTheme="majorEastAsia"/>
                                  <w:sz w:val="20"/>
                                </w:rPr>
                              </w:pPr>
                              <w:r>
                                <w:rPr>
                                  <w:rFonts w:hint="eastAsia" w:asciiTheme="majorEastAsia" w:hAnsiTheme="majorEastAsia" w:eastAsiaTheme="majorEastAsia"/>
                                  <w:sz w:val="20"/>
                                </w:rPr>
                                <w:t>③少なくとも１年に１回計画を点検・評価し、点検・評価について南風原町障がい者自立支援協議会等の意見を聴く。</w:t>
                              </w:r>
                            </w:p>
                          </w:txbxContent>
                        </wps:txbx>
                        <wps:bodyPr rot="0" vertOverflow="overflow" horzOverflow="overflow" wrap="square" lIns="0" tIns="0" rIns="0" bIns="0" anchor="ctr" anchorCtr="0" upright="1"/>
                      </wps:wsp>
                    </wpg:wgp>
                  </a:graphicData>
                </a:graphic>
              </wp:anchor>
            </w:drawing>
          </mc:Choice>
          <mc:Fallback>
            <w:pict>
              <v:group id="グループ化 208" style="mso-wrap-distance-right:9pt;mso-wrap-distance-bottom:0pt;margin-top:0.75pt;mso-position-vertical-relative:text;mso-position-horizontal-relative:text;position:absolute;height:86.25pt;mso-wrap-distance-top:0pt;width:154.15pt;mso-wrap-distance-left:9pt;margin-left:39.04pt;z-index:158;" coordsize="1958196,802257" coordorigin="0,0" o:spid="_x0000_s1334" o:allowincell="t" o:allowoverlap="t">
                <v:roundrect id="角丸四角形 209" style="height:802257;width:1958196;top:0;left:0;position:absolute;" o:spid="_x0000_s1335" filled="t" fillcolor="#bfbfbf" stroked="f" strokecolor="#42709c" strokeweight="1pt" o:spt="2" arcsize="10923f">
                  <v:fill opacity="49152f"/>
                  <v:stroke linestyle="single" miterlimit="8" endcap="flat" dashstyle="solid"/>
                  <v:textbox style="layout-flow:horizontal;"/>
                  <v:imagedata o:title=""/>
                  <w10:wrap type="none" anchorx="text" anchory="text"/>
                </v:roundrect>
                <v:shapetype id="_x0000_t202" coordsize="21600,21600" o:spt="202" path="m,l,21600r21600,l21600,xe">
                  <v:stroke joinstyle="miter"/>
                  <v:path gradientshapeok="t" o:connecttype="rect"/>
                </v:shapetype>
                <v:shape id="テキスト ボックス 812" style="height:619947;width:1690159;top:94890;left:120770;v-text-anchor:middle;position:absolute;" o:spid="_x0000_s1336" filled="f" stroked="f" o:spt="202" type="#_x0000_t202">
                  <v:fill/>
                  <v:textbox style="layout-flow:horizontal;" inset="0mm,0mm,0mm,0mm">
                    <w:txbxContent>
                      <w:p>
                        <w:pPr>
                          <w:pStyle w:val="0"/>
                          <w:spacing w:line="0" w:lineRule="atLeast"/>
                          <w:ind w:left="204" w:hanging="204" w:hangingChars="100"/>
                          <w:rPr>
                            <w:rFonts w:hint="default" w:asciiTheme="majorEastAsia" w:hAnsiTheme="majorEastAsia" w:eastAsiaTheme="majorEastAsia"/>
                            <w:sz w:val="20"/>
                          </w:rPr>
                        </w:pPr>
                        <w:r>
                          <w:rPr>
                            <w:rFonts w:hint="eastAsia" w:asciiTheme="majorEastAsia" w:hAnsiTheme="majorEastAsia" w:eastAsiaTheme="majorEastAsia"/>
                            <w:sz w:val="20"/>
                          </w:rPr>
                          <w:t>③少なくとも１年に１回計画を点検・評価し、点検・評価について南風原町障がい者自立支援協議会等の意見を聴く。</w:t>
                        </w:r>
                      </w:p>
                    </w:txbxContent>
                  </v:textbox>
                  <v:imagedata o:title=""/>
                  <w10:wrap type="none" anchorx="text" anchory="text"/>
                </v:shape>
                <w10:wrap type="none" anchorx="text" anchory="text"/>
              </v:group>
            </w:pict>
          </mc:Fallback>
        </mc:AlternateContent>
      </w:r>
      <w:r>
        <w:rPr>
          <w:rFonts w:hint="default"/>
          <w:spacing w:val="0"/>
        </w:rPr>
        <mc:AlternateContent>
          <mc:Choice Requires="wpg">
            <w:drawing>
              <wp:anchor distT="0" distB="0" distL="114300" distR="114300" simplePos="0" relativeHeight="161" behindDoc="0" locked="0" layoutInCell="1" hidden="0" allowOverlap="1">
                <wp:simplePos x="0" y="0"/>
                <wp:positionH relativeFrom="column">
                  <wp:posOffset>3660140</wp:posOffset>
                </wp:positionH>
                <wp:positionV relativeFrom="paragraph">
                  <wp:posOffset>10160</wp:posOffset>
                </wp:positionV>
                <wp:extent cx="1957070" cy="954405"/>
                <wp:effectExtent l="635" t="635" r="635" b="635"/>
                <wp:wrapNone/>
                <wp:docPr id="1337" name="グループ化 211"/>
                <a:graphic xmlns:a="http://schemas.openxmlformats.org/drawingml/2006/main">
                  <a:graphicData uri="http://schemas.microsoft.com/office/word/2010/wordprocessingGroup">
                    <wpg:wgp>
                      <wpg:cNvGrpSpPr/>
                      <wpg:grpSpPr>
                        <a:xfrm>
                          <a:off x="0" y="0"/>
                          <a:ext cx="1957070" cy="954405"/>
                          <a:chOff x="0" y="0"/>
                          <a:chExt cx="1957705" cy="802005"/>
                        </a:xfrm>
                      </wpg:grpSpPr>
                      <wps:wsp>
                        <wps:cNvPr id="1338" name="角丸四角形 212"/>
                        <wps:cNvSpPr/>
                        <wps:spPr>
                          <a:xfrm>
                            <a:off x="0" y="0"/>
                            <a:ext cx="1957705" cy="802005"/>
                          </a:xfrm>
                          <a:prstGeom prst="roundRect">
                            <a:avLst/>
                          </a:prstGeom>
                          <a:solidFill>
                            <a:schemeClr val="bg1">
                              <a:lumMod val="65000"/>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339" name="テキスト ボックス 809"/>
                        <wps:cNvSpPr txBox="1">
                          <a:spLocks noChangeArrowheads="1"/>
                        </wps:cNvSpPr>
                        <wps:spPr>
                          <a:xfrm>
                            <a:off x="120769" y="69011"/>
                            <a:ext cx="1698541" cy="655798"/>
                          </a:xfrm>
                          <a:prstGeom prst="rect">
                            <a:avLst/>
                          </a:prstGeom>
                          <a:noFill/>
                          <a:ln>
                            <a:noFill/>
                          </a:ln>
                        </wps:spPr>
                        <wps:txbx>
                          <w:txbxContent>
                            <w:p>
                              <w:pPr>
                                <w:pStyle w:val="0"/>
                                <w:spacing w:line="0" w:lineRule="atLeast"/>
                                <w:ind w:left="204" w:hanging="204" w:hangingChars="100"/>
                                <w:rPr>
                                  <w:rFonts w:hint="default" w:asciiTheme="majorEastAsia" w:hAnsiTheme="majorEastAsia" w:eastAsiaTheme="majorEastAsia"/>
                                  <w:sz w:val="20"/>
                                </w:rPr>
                              </w:pPr>
                              <w:r>
                                <w:rPr>
                                  <w:rFonts w:hint="eastAsia" w:asciiTheme="majorEastAsia" w:hAnsiTheme="majorEastAsia" w:eastAsiaTheme="majorEastAsia"/>
                                  <w:sz w:val="20"/>
                                </w:rPr>
                                <w:t>②計画の内容を踏まえ、事業を実施する。</w:t>
                              </w:r>
                            </w:p>
                          </w:txbxContent>
                        </wps:txbx>
                        <wps:bodyPr rot="0" vertOverflow="overflow" horzOverflow="overflow" wrap="square" lIns="0" tIns="0" rIns="0" bIns="0" anchor="ctr" anchorCtr="0" upright="1"/>
                      </wps:wsp>
                    </wpg:wgp>
                  </a:graphicData>
                </a:graphic>
              </wp:anchor>
            </w:drawing>
          </mc:Choice>
          <mc:Fallback>
            <w:pict>
              <v:group id="グループ化 211" style="mso-wrap-distance-right:9pt;mso-wrap-distance-bottom:0pt;margin-top:0.8pt;mso-position-vertical-relative:text;mso-position-horizontal-relative:text;position:absolute;height:75.150000000000006pt;mso-wrap-distance-top:0pt;width:154.1pt;mso-wrap-distance-left:9pt;margin-left:288.2pt;z-index:161;" coordsize="1957705,802005" coordorigin="0,0" o:spid="_x0000_s1337" o:allowincell="t" o:allowoverlap="t">
                <v:roundrect id="角丸四角形 212" style="height:802005;width:1957705;top:0;left:0;position:absolute;" o:spid="_x0000_s1338" filled="t" fillcolor="#a6a6a6" stroked="f" strokecolor="#42709c" strokeweight="1pt" o:spt="2" arcsize="10923f">
                  <v:fill opacity="49152f"/>
                  <v:stroke linestyle="single" miterlimit="8" endcap="flat" dashstyle="solid"/>
                  <v:textbox style="layout-flow:horizontal;"/>
                  <v:imagedata o:title=""/>
                  <w10:wrap type="none" anchorx="text" anchory="text"/>
                </v:roundrect>
                <v:shapetype id="_x0000_t202" coordsize="21600,21600" o:spt="202" path="m,l,21600r21600,l21600,xe">
                  <v:stroke joinstyle="miter"/>
                  <v:path gradientshapeok="t" o:connecttype="rect"/>
                </v:shapetype>
                <v:shape id="テキスト ボックス 809" style="height:655798;width:1698541;top:69011;left:120769;v-text-anchor:middle;position:absolute;" o:spid="_x0000_s1339" filled="f" stroked="f" o:spt="202" type="#_x0000_t202">
                  <v:fill/>
                  <v:textbox style="layout-flow:horizontal;" inset="0mm,0mm,0mm,0mm">
                    <w:txbxContent>
                      <w:p>
                        <w:pPr>
                          <w:pStyle w:val="0"/>
                          <w:spacing w:line="0" w:lineRule="atLeast"/>
                          <w:ind w:left="204" w:hanging="204" w:hangingChars="100"/>
                          <w:rPr>
                            <w:rFonts w:hint="default" w:asciiTheme="majorEastAsia" w:hAnsiTheme="majorEastAsia" w:eastAsiaTheme="majorEastAsia"/>
                            <w:sz w:val="20"/>
                          </w:rPr>
                        </w:pPr>
                        <w:r>
                          <w:rPr>
                            <w:rFonts w:hint="eastAsia" w:asciiTheme="majorEastAsia" w:hAnsiTheme="majorEastAsia" w:eastAsiaTheme="majorEastAsia"/>
                            <w:sz w:val="20"/>
                          </w:rPr>
                          <w:t>②計画の内容を踏まえ、事業を実施する。</w:t>
                        </w:r>
                      </w:p>
                    </w:txbxContent>
                  </v:textbox>
                  <v:imagedata o:title=""/>
                  <w10:wrap type="none" anchorx="text" anchory="text"/>
                </v:shape>
                <w10:wrap type="none" anchorx="text" anchory="text"/>
              </v:group>
            </w:pict>
          </mc:Fallback>
        </mc:AlternateContent>
      </w:r>
    </w:p>
    <w:p>
      <w:pPr>
        <w:pStyle w:val="77"/>
        <w:ind w:left="448" w:firstLine="224"/>
        <w:rPr>
          <w:rFonts w:hint="default"/>
          <w:spacing w:val="0"/>
        </w:rPr>
      </w:pPr>
    </w:p>
    <w:p>
      <w:pPr>
        <w:pStyle w:val="77"/>
        <w:ind w:left="448" w:firstLine="224"/>
        <w:rPr>
          <w:rFonts w:hint="default"/>
          <w:spacing w:val="0"/>
        </w:rPr>
      </w:pPr>
    </w:p>
    <w:p>
      <w:pPr>
        <w:pStyle w:val="77"/>
        <w:ind w:left="448" w:firstLine="224"/>
        <w:rPr>
          <w:rFonts w:hint="default"/>
          <w:spacing w:val="0"/>
        </w:rPr>
      </w:pPr>
    </w:p>
    <w:p>
      <w:pPr>
        <w:pStyle w:val="77"/>
        <w:ind w:left="448" w:firstLine="224"/>
        <w:rPr>
          <w:rFonts w:hint="default"/>
          <w:spacing w:val="0"/>
        </w:rPr>
      </w:pPr>
    </w:p>
    <w:p>
      <w:pPr>
        <w:pStyle w:val="77"/>
        <w:ind w:left="448" w:firstLine="224"/>
        <w:rPr>
          <w:rFonts w:hint="default"/>
          <w:spacing w:val="0"/>
        </w:rPr>
      </w:pPr>
    </w:p>
    <w:p>
      <w:pPr>
        <w:pStyle w:val="77"/>
        <w:ind w:left="448" w:firstLine="224"/>
        <w:rPr>
          <w:rFonts w:hint="default"/>
          <w:spacing w:val="0"/>
        </w:rPr>
      </w:pPr>
    </w:p>
    <w:p>
      <w:pPr>
        <w:pStyle w:val="77"/>
        <w:ind w:left="448" w:firstLine="224"/>
        <w:rPr>
          <w:rFonts w:hint="default"/>
          <w:spacing w:val="0"/>
        </w:rPr>
      </w:pPr>
    </w:p>
    <w:p>
      <w:pPr>
        <w:pStyle w:val="0"/>
        <w:ind w:left="560" w:leftChars="250" w:firstLine="214" w:firstLineChars="100"/>
        <w:rPr>
          <w:rFonts w:hint="default" w:asciiTheme="minorEastAsia" w:hAnsiTheme="minorEastAsia" w:eastAsiaTheme="minorEastAsia"/>
          <w:sz w:val="21"/>
        </w:rPr>
      </w:pPr>
    </w:p>
    <w:p>
      <w:pPr>
        <w:pStyle w:val="0"/>
        <w:widowControl w:val="1"/>
        <w:jc w:val="left"/>
        <w:rPr>
          <w:rFonts w:hint="default"/>
        </w:rPr>
      </w:pPr>
      <w:r>
        <w:rPr>
          <w:rFonts w:hint="default"/>
        </w:rPr>
        <w:br w:type="page"/>
      </w:r>
      <w:r>
        <w:rPr>
          <w:rFonts w:hint="default"/>
        </w:rPr>
        <mc:AlternateContent>
          <mc:Choice Requires="wps">
            <w:drawing>
              <wp:anchor distT="0" distB="0" distL="114300" distR="114300" simplePos="0" relativeHeight="129" behindDoc="0" locked="1" layoutInCell="1" hidden="0" allowOverlap="1">
                <wp:simplePos x="0" y="0"/>
                <wp:positionH relativeFrom="column">
                  <wp:posOffset>-227330</wp:posOffset>
                </wp:positionH>
                <wp:positionV relativeFrom="page">
                  <wp:posOffset>5840095</wp:posOffset>
                </wp:positionV>
                <wp:extent cx="6920865" cy="4728210"/>
                <wp:effectExtent l="635" t="635" r="29845" b="10795"/>
                <wp:wrapNone/>
                <wp:docPr id="1340" name="正方形/長方形 15"/>
                <a:graphic xmlns:a="http://schemas.openxmlformats.org/drawingml/2006/main">
                  <a:graphicData uri="http://schemas.microsoft.com/office/word/2010/wordprocessingShape">
                    <wps:wsp>
                      <wps:cNvPr id="1340" name="正方形/長方形 15"/>
                      <wps:cNvSpPr/>
                      <wps:spPr>
                        <a:xfrm>
                          <a:off x="0" y="0"/>
                          <a:ext cx="6920865" cy="47282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5" style="mso-wrap-distance-right:9pt;mso-wrap-distance-bottom:0pt;margin-top:459.85pt;mso-position-vertical-relative:page;mso-position-horizontal-relative:text;position:absolute;height:372.3pt;mso-wrap-distance-top:0pt;width:544.95000000000005pt;mso-wrap-distance-left:9pt;margin-left:-17.89pt;z-index:129;" o:spid="_x0000_s1340"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page"/>
                <w10:anchorlock/>
              </v:rect>
            </w:pict>
          </mc:Fallback>
        </mc:AlternateContent>
      </w:r>
      <w:r>
        <w:rPr>
          <w:rFonts w:hint="default"/>
        </w:rPr>
        <mc:AlternateContent>
          <mc:Choice Requires="wps">
            <w:drawing>
              <wp:anchor distT="0" distB="0" distL="114300" distR="114300" simplePos="0" relativeHeight="128" behindDoc="0" locked="1" layoutInCell="1" hidden="0" allowOverlap="1">
                <wp:simplePos x="0" y="0"/>
                <wp:positionH relativeFrom="column">
                  <wp:posOffset>-339090</wp:posOffset>
                </wp:positionH>
                <wp:positionV relativeFrom="page">
                  <wp:posOffset>2087880</wp:posOffset>
                </wp:positionV>
                <wp:extent cx="6920865" cy="4728210"/>
                <wp:effectExtent l="635" t="635" r="29845" b="10795"/>
                <wp:wrapNone/>
                <wp:docPr id="1341" name="正方形/長方形 81"/>
                <a:graphic xmlns:a="http://schemas.openxmlformats.org/drawingml/2006/main">
                  <a:graphicData uri="http://schemas.microsoft.com/office/word/2010/wordprocessingShape">
                    <wps:wsp>
                      <wps:cNvPr id="1341" name="正方形/長方形 81"/>
                      <wps:cNvSpPr/>
                      <wps:spPr>
                        <a:xfrm>
                          <a:off x="0" y="0"/>
                          <a:ext cx="6920865" cy="47282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81" style="mso-wrap-distance-right:9pt;mso-wrap-distance-bottom:0pt;margin-top:164.4pt;mso-position-vertical-relative:page;mso-position-horizontal-relative:text;position:absolute;height:372.3pt;mso-wrap-distance-top:0pt;width:544.95000000000005pt;mso-wrap-distance-left:9pt;margin-left:-26.7pt;z-index:128;" o:spid="_x0000_s1341" o:allowincell="t" o:allowoverlap="t" filled="t" fillcolor="#ffffff [3212]" stroked="t" strokecolor="#ffffff [3212]" strokeweight="1pt" o:spt="1">
                <v:fill/>
                <v:stroke linestyle="single" miterlimit="8" endcap="flat" dashstyle="solid" filltype="solid"/>
                <v:textbox style="layout-flow:horizontal;"/>
                <v:imagedata o:title=""/>
                <w10:wrap type="none" anchorx="text" anchory="page"/>
                <w10:anchorlock/>
              </v:rect>
            </w:pict>
          </mc:Fallback>
        </mc:AlternateContent>
      </w:r>
    </w:p>
    <w:sectPr>
      <w:footerReference r:id="rId7" w:type="default"/>
      <w:pgSz w:w="11906" w:h="16838"/>
      <w:pgMar w:top="1418" w:right="1134" w:bottom="1134" w:left="1134" w:header="567" w:footer="567" w:gutter="0"/>
      <w:pgNumType w:start="1"/>
      <w:cols w:space="720"/>
      <w:textDirection w:val="lrTb"/>
      <w:docGrid w:type="linesAndChars" w:linePitch="370" w:charSpace="847"/>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FG丸ｺﾞｼｯｸ体Ca-B">
    <w:panose1 w:val="00000000000000000000"/>
    <w:charset w:val="80"/>
    <w:family w:val="modern"/>
    <w:pitch w:val="fixed"/>
    <w:sig w:usb0="00000000" w:usb1="00000000" w:usb2="00000000" w:usb3="00000000" w:csb0="00000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HGｺﾞｼｯｸM">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平成明朝体W3">
    <w:panose1 w:val="00000000000000000000"/>
    <w:charset w:val="80"/>
    <w:family w:val="roman"/>
    <w:pitch w:val="fixed"/>
    <w:sig w:usb0="00000000" w:usb1="00000000" w:usb2="00000000" w:usb3="00000000" w:csb0="00000000" w:csb1="00000000"/>
  </w:font>
  <w:font w:name="Calibri">
    <w:panose1 w:val="00000000000000000000"/>
    <w:charset w:val="00"/>
    <w:family w:val="swiss"/>
    <w:notTrueType/>
    <w:pitch w:val="variable"/>
    <w:sig w:usb0="00000000" w:usb1="00000000" w:usb2="00000000" w:usb3="00000000" w:csb0="FF000000" w:csb1="00000000"/>
  </w:font>
  <w:font w:name="FG角ｺﾞｼｯｸ体Ca-M">
    <w:panose1 w:val="00000000000000000000"/>
    <w:charset w:val="80"/>
    <w:family w:val="modern"/>
    <w:pitch w:val="fixed"/>
    <w:sig w:usb0="00000000" w:usb1="00000000" w:usb2="00000000" w:usb3="00000000" w:csb0="00000200" w:csb1="00000000"/>
  </w:font>
  <w:font w:name="FG丸ｺﾞｼｯｸ体Ca-M">
    <w:panose1 w:val="00000000000000000000"/>
    <w:charset w:val="80"/>
    <w:family w:val="modern"/>
    <w:pitch w:val="fixed"/>
    <w:sig w:usb0="00000000" w:usb1="00000000" w:usb2="00000000" w:usb3="00000000" w:csb0="00000200" w:csb1="00000000"/>
  </w:font>
  <w:font w:name="FG丸ｺﾞｼｯｸ体Ca-U">
    <w:panose1 w:val="00000000000000000000"/>
    <w:charset w:val="80"/>
    <w:family w:val="modern"/>
    <w:pitch w:val="fixed"/>
    <w:sig w:usb0="00000000" w:usb1="00000000" w:usb2="00000000" w:usb3="00000000" w:csb0="00000200" w:csb1="00000000"/>
  </w:font>
  <w:font w:name="FGP丸ｺﾞｼｯｸ体Ca-B">
    <w:panose1 w:val="00000000000000000000"/>
    <w:charset w:val="80"/>
    <w:family w:val="modern"/>
    <w:pitch w:val="fixed"/>
    <w:sig w:usb0="00000000" w:usb1="00000000" w:usb2="00000000" w:usb3="00000000" w:csb0="00000200" w:csb1="00000000"/>
  </w:font>
  <w:font w:name="">
    <w:panose1 w:val="00000000000000000000"/>
    <w:charset w:val="80"/>
    <w:family w:val="auto"/>
    <w:notTrueType/>
    <w:pitch w:val="fixed"/>
    <w:sig w:usb0="00000000" w:usb1="00000000" w:usb2="00000000" w:usb3="00000000" w:csb0="00020000" w:csb1="00000000"/>
  </w:font>
  <w:font w:name="FG丸ｺﾞｼｯｸ体Ca-L">
    <w:panose1 w:val="00000000000000000000"/>
    <w:charset w:val="80"/>
    <w:family w:val="modern"/>
    <w:pitch w:val="fixed"/>
    <w:sig w:usb0="00000000" w:usb1="00000000" w:usb2="00000000" w:usb3="00000000" w:csb0="00000200" w:csb1="00000000"/>
  </w:font>
  <w:font w:name="FGP丸ｺﾞｼｯｸ体Ca-U">
    <w:panose1 w:val="00000000000000000000"/>
    <w:charset w:val="80"/>
    <w:family w:val="modern"/>
    <w:pitch w:val="fixed"/>
    <w:sig w:usb0="00000000" w:usb1="00000000" w:usb2="00000000" w:usb3="00000000" w:csb0="00000200" w:csb1="00000000"/>
  </w:font>
  <w:font w:name="Courier New">
    <w:panose1 w:val="00000000000000000000"/>
    <w:charset w:val="00"/>
    <w:family w:val="modern"/>
    <w:notTrueType/>
    <w:pitch w:val="fixed"/>
    <w:sig w:usb0="00000000" w:usb1="00000000" w:usb2="00000000" w:usb3="00000000" w:csb0="FF000000" w:csb1="00000000"/>
  </w:font>
  <w:font w:name="AR P明朝体U">
    <w:panose1 w:val="00000000000000000000"/>
    <w:charset w:val="80"/>
    <w:family w:val="roman"/>
    <w:notTrueType/>
    <w:pitch w:val="variable"/>
    <w:sig w:usb0="00000000" w:usb1="00000000" w:usb2="00000000" w:usb3="00000000" w:csb0="01008200" w:csb1="00000000"/>
  </w:font>
  <w:font w:name="Segoe UI Symbol">
    <w:panose1 w:val="00000000000000000000"/>
    <w:charset w:val="00"/>
    <w:family w:val="swiss"/>
    <w:notTrueType/>
    <w:pitch w:val="variable"/>
    <w:sig w:usb0="00000000" w:usb1="00000000" w:usb2="00000000" w:usb3="00000000" w:csb0="FF000000" w:csb1="00000000"/>
  </w:font>
  <w:font w:name="ＭＳ明朝">
    <w:panose1 w:val="00000000000000000000"/>
    <w:charset w:val="80"/>
    <w:family w:val="roman"/>
    <w:notTrueType/>
    <w:pitch w:val="fixed"/>
    <w:sig w:usb0="00000000" w:usb1="00000000" w:usb2="00000000" w:usb3="00000000" w:csb0="000200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9"/>
      <w:spacing w:after="240" w:afterLines="0" w:afterAutospacing="0"/>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29"/>
      <w:tabs>
        <w:tab w:val="clear" w:pos="4252"/>
        <w:tab w:val="clear" w:pos="8504"/>
      </w:tabs>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41</w:t>
    </w:r>
    <w:r>
      <w:rPr>
        <w:rFonts w:hint="eastAsia"/>
      </w:rPr>
      <w:fldChar w:fldCharType="end"/>
    </w: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multilevel"/>
    <w:tmpl w:val="61881BAE"/>
    <w:lvl w:ilvl="0">
      <w:start w:val="1"/>
      <w:numFmt w:val="decimal"/>
      <w:lvlText w:val="%1"/>
      <w:lvlJc w:val="left"/>
      <w:pPr>
        <w:tabs>
          <w:tab w:val="num" w:leader="none" w:pos="425"/>
        </w:tabs>
        <w:ind w:left="425" w:hanging="425"/>
      </w:pPr>
      <w:rPr>
        <w:rFonts w:hint="eastAsia"/>
      </w:rPr>
    </w:lvl>
    <w:lvl w:ilvl="1">
      <w:start w:val="1"/>
      <w:numFmt w:val="decimal"/>
      <w:lvlText w:val="%1.%2"/>
      <w:lvlJc w:val="left"/>
      <w:pPr>
        <w:tabs>
          <w:tab w:val="num" w:leader="none" w:pos="992"/>
        </w:tabs>
        <w:ind w:left="992" w:hanging="567"/>
      </w:pPr>
      <w:rPr>
        <w:rFonts w:hint="eastAsia"/>
      </w:rPr>
    </w:lvl>
    <w:lvl w:ilvl="2">
      <w:start w:val="1"/>
      <w:numFmt w:val="decimalFullWidth"/>
      <w:pStyle w:val="178"/>
      <w:suff w:val="nothing"/>
      <w:lvlText w:val="問%3　"/>
      <w:lvlJc w:val="left"/>
      <w:pPr>
        <w:ind w:left="600" w:hanging="600"/>
      </w:pPr>
      <w:rPr>
        <w:rFonts w:hint="eastAsia" w:ascii="FG丸ｺﾞｼｯｸ体Ca-B" w:hAnsi="FG丸ｺﾞｼｯｸ体Ca-B" w:eastAsia="FG丸ｺﾞｼｯｸ体Ca-B"/>
        <w:b w:val="0"/>
        <w:i w:val="0"/>
        <w:sz w:val="22"/>
      </w:rPr>
    </w:lvl>
    <w:lvl w:ilvl="3">
      <w:start w:val="10"/>
      <w:numFmt w:val="decimal"/>
      <w:pStyle w:val="179"/>
      <w:suff w:val="nothing"/>
      <w:lvlText w:val="問%4　"/>
      <w:lvlJc w:val="left"/>
      <w:pPr>
        <w:ind w:left="600" w:hanging="600"/>
      </w:pPr>
      <w:rPr>
        <w:rFonts w:hint="eastAsia" w:ascii="FG丸ｺﾞｼｯｸ体Ca-B" w:hAnsi="FG丸ｺﾞｼｯｸ体Ca-B" w:eastAsia="FG丸ｺﾞｼｯｸ体Ca-B"/>
        <w:b w:val="0"/>
        <w:i w:val="0"/>
        <w:sz w:val="22"/>
      </w:rPr>
    </w:lvl>
    <w:lvl w:ilvl="4">
      <w:start w:val="1"/>
      <w:numFmt w:val="decimal"/>
      <w:lvlText w:val="%1.%2.%3.%4.%5"/>
      <w:lvlJc w:val="left"/>
      <w:pPr>
        <w:tabs>
          <w:tab w:val="num" w:leader="none" w:pos="4221"/>
        </w:tabs>
        <w:ind w:left="2551" w:hanging="850"/>
      </w:pPr>
      <w:rPr>
        <w:rFonts w:hint="eastAsia"/>
      </w:rPr>
    </w:lvl>
    <w:lvl w:ilvl="5">
      <w:start w:val="1"/>
      <w:numFmt w:val="decimal"/>
      <w:lvlText w:val="%1.%2.%3.%4.%5.%6"/>
      <w:lvlJc w:val="left"/>
      <w:pPr>
        <w:tabs>
          <w:tab w:val="num" w:leader="none" w:pos="5366"/>
        </w:tabs>
        <w:ind w:left="3260" w:hanging="1134"/>
      </w:pPr>
      <w:rPr>
        <w:rFonts w:hint="eastAsia"/>
      </w:rPr>
    </w:lvl>
    <w:lvl w:ilvl="6">
      <w:start w:val="1"/>
      <w:numFmt w:val="decimal"/>
      <w:lvlText w:val="%1.%2.%3.%4.%5.%6.%7"/>
      <w:lvlJc w:val="left"/>
      <w:pPr>
        <w:tabs>
          <w:tab w:val="num" w:leader="none" w:pos="6151"/>
        </w:tabs>
        <w:ind w:left="3827" w:hanging="1276"/>
      </w:pPr>
      <w:rPr>
        <w:rFonts w:hint="eastAsia"/>
      </w:rPr>
    </w:lvl>
    <w:lvl w:ilvl="7">
      <w:start w:val="1"/>
      <w:numFmt w:val="decimal"/>
      <w:lvlText w:val="%1.%2.%3.%4.%5.%6.%7.%8"/>
      <w:lvlJc w:val="left"/>
      <w:pPr>
        <w:tabs>
          <w:tab w:val="num" w:leader="none" w:pos="7296"/>
        </w:tabs>
        <w:ind w:left="4394" w:hanging="1418"/>
      </w:pPr>
      <w:rPr>
        <w:rFonts w:hint="eastAsia"/>
      </w:rPr>
    </w:lvl>
    <w:lvl w:ilvl="8">
      <w:start w:val="1"/>
      <w:numFmt w:val="decimal"/>
      <w:lvlText w:val="%1.%2.%3.%4.%5.%6.%7.%8.%9"/>
      <w:lvlJc w:val="left"/>
      <w:pPr>
        <w:tabs>
          <w:tab w:val="num" w:leader="none" w:pos="8442"/>
        </w:tabs>
        <w:ind w:left="5102" w:hanging="1700"/>
      </w:pPr>
      <w:rPr>
        <w:rFonts w:hint="eastAsia"/>
      </w:r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6"/>
  <w:bordersDoNotSurroundHeader/>
  <w:bordersDoNotSurroundFooter/>
  <w:defaultTabStop w:val="840"/>
  <w:drawingGridHorizontalSpacing w:val="112"/>
  <w:drawingGridVerticalSpacing w:val="18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jc w:val="both"/>
    </w:pPr>
    <w:rPr>
      <w:rFonts w:ascii="ＭＳ 明朝" w:hAnsi="ＭＳ 明朝"/>
      <w:kern w:val="2"/>
      <w:sz w:val="22"/>
    </w:rPr>
  </w:style>
  <w:style w:type="paragraph" w:styleId="1">
    <w:name w:val="heading 1"/>
    <w:basedOn w:val="0"/>
    <w:next w:val="0"/>
    <w:link w:val="15"/>
    <w:uiPriority w:val="0"/>
    <w:qFormat/>
    <w:pPr>
      <w:keepNext w:val="1"/>
      <w:outlineLvl w:val="0"/>
    </w:pPr>
    <w:rPr>
      <w:rFonts w:ascii="Arial" w:hAnsi="Arial" w:eastAsia="ＭＳ ゴシック"/>
      <w:sz w:val="24"/>
    </w:rPr>
  </w:style>
  <w:style w:type="paragraph" w:styleId="2">
    <w:name w:val="heading 2"/>
    <w:basedOn w:val="0"/>
    <w:next w:val="0"/>
    <w:link w:val="16"/>
    <w:uiPriority w:val="0"/>
    <w:qFormat/>
    <w:pPr>
      <w:keepNext w:val="1"/>
      <w:outlineLvl w:val="1"/>
    </w:pPr>
    <w:rPr>
      <w:rFonts w:ascii="Arial" w:hAnsi="Arial" w:eastAsia="ＭＳ ゴシック"/>
    </w:rPr>
  </w:style>
  <w:style w:type="paragraph" w:styleId="3">
    <w:name w:val="heading 3"/>
    <w:basedOn w:val="0"/>
    <w:next w:val="0"/>
    <w:link w:val="17"/>
    <w:uiPriority w:val="0"/>
    <w:qFormat/>
    <w:pPr>
      <w:keepNext w:val="1"/>
      <w:ind w:left="400" w:leftChars="400"/>
      <w:outlineLvl w:val="2"/>
    </w:pPr>
    <w:rPr>
      <w:rFonts w:ascii="Arial" w:hAnsi="Arial" w:eastAsia="ＭＳ ゴシック"/>
    </w:rPr>
  </w:style>
  <w:style w:type="paragraph" w:styleId="4">
    <w:name w:val="heading 4"/>
    <w:basedOn w:val="0"/>
    <w:next w:val="0"/>
    <w:link w:val="18"/>
    <w:uiPriority w:val="0"/>
    <w:qFormat/>
    <w:pPr>
      <w:keepNext w:val="1"/>
      <w:ind w:left="400" w:leftChars="400"/>
      <w:outlineLvl w:val="3"/>
    </w:pPr>
    <w:rPr>
      <w:b w:val="1"/>
      <w:sz w:val="2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customStyle="1">
    <w:name w:val="見出し 1 (文字)"/>
    <w:next w:val="15"/>
    <w:link w:val="1"/>
    <w:uiPriority w:val="0"/>
    <w:rPr>
      <w:rFonts w:ascii="Arial" w:hAnsi="Arial" w:eastAsia="ＭＳ ゴシック"/>
      <w:kern w:val="2"/>
      <w:sz w:val="24"/>
    </w:rPr>
  </w:style>
  <w:style w:type="character" w:styleId="16" w:customStyle="1">
    <w:name w:val="見出し 2 (文字)"/>
    <w:basedOn w:val="10"/>
    <w:next w:val="16"/>
    <w:link w:val="2"/>
    <w:uiPriority w:val="0"/>
    <w:rPr>
      <w:rFonts w:ascii="Arial" w:hAnsi="Arial" w:eastAsia="ＭＳ ゴシック"/>
      <w:kern w:val="2"/>
      <w:sz w:val="22"/>
    </w:rPr>
  </w:style>
  <w:style w:type="character" w:styleId="17" w:customStyle="1">
    <w:name w:val="見出し 3 (文字)"/>
    <w:basedOn w:val="10"/>
    <w:next w:val="17"/>
    <w:link w:val="3"/>
    <w:uiPriority w:val="0"/>
    <w:rPr>
      <w:rFonts w:ascii="Arial" w:hAnsi="Arial" w:eastAsia="ＭＳ ゴシック"/>
      <w:kern w:val="2"/>
      <w:sz w:val="22"/>
    </w:rPr>
  </w:style>
  <w:style w:type="character" w:styleId="18" w:customStyle="1">
    <w:name w:val="見出し 4 (文字)"/>
    <w:basedOn w:val="10"/>
    <w:next w:val="18"/>
    <w:link w:val="4"/>
    <w:uiPriority w:val="0"/>
    <w:rPr>
      <w:rFonts w:ascii="ＭＳ 明朝" w:hAnsi="ＭＳ 明朝"/>
      <w:b w:val="1"/>
      <w:kern w:val="2"/>
      <w:sz w:val="21"/>
    </w:rPr>
  </w:style>
  <w:style w:type="paragraph" w:styleId="19" w:customStyle="1">
    <w:name w:val="_0_0_本文"/>
    <w:basedOn w:val="0"/>
    <w:next w:val="19"/>
    <w:link w:val="20"/>
    <w:uiPriority w:val="0"/>
    <w:pPr>
      <w:tabs>
        <w:tab w:val="left" w:leader="none" w:pos="8288"/>
      </w:tabs>
      <w:ind w:left="336" w:leftChars="150" w:firstLine="214" w:firstLineChars="100"/>
    </w:pPr>
    <w:rPr>
      <w:sz w:val="21"/>
    </w:rPr>
  </w:style>
  <w:style w:type="character" w:styleId="20" w:customStyle="1">
    <w:name w:val="_0_0_本文 (文字)"/>
    <w:next w:val="20"/>
    <w:link w:val="19"/>
    <w:uiPriority w:val="0"/>
    <w:rPr>
      <w:rFonts w:ascii="ＭＳ 明朝" w:hAnsi="ＭＳ 明朝"/>
      <w:kern w:val="2"/>
      <w:sz w:val="21"/>
    </w:rPr>
  </w:style>
  <w:style w:type="paragraph" w:styleId="21" w:customStyle="1">
    <w:name w:val="_0_4_（１）＿障がい福祉計画用"/>
    <w:next w:val="21"/>
    <w:link w:val="0"/>
    <w:uiPriority w:val="0"/>
    <w:qFormat/>
    <w:pPr>
      <w:spacing w:after="111" w:afterLines="0" w:afterAutospacing="0"/>
      <w:ind w:left="227"/>
      <w:outlineLvl w:val="3"/>
    </w:pPr>
    <w:rPr>
      <w:rFonts w:ascii="ＭＳ ゴシック" w:hAnsi="ＭＳ ゴシック" w:eastAsia="ＭＳ ゴシック"/>
      <w:kern w:val="2"/>
      <w:sz w:val="23"/>
    </w:rPr>
  </w:style>
  <w:style w:type="paragraph" w:styleId="22" w:customStyle="1">
    <w:name w:val="_0_4_（１）＿障がい者計画用"/>
    <w:next w:val="22"/>
    <w:link w:val="0"/>
    <w:uiPriority w:val="0"/>
    <w:pPr>
      <w:pBdr>
        <w:top w:val="single" w:color="auto" w:sz="4" w:space="3"/>
        <w:left w:val="single" w:color="auto" w:sz="4" w:space="0"/>
        <w:bottom w:val="single" w:color="auto" w:sz="4" w:space="1"/>
        <w:right w:val="single" w:color="auto" w:sz="4" w:space="0"/>
      </w:pBdr>
      <w:spacing w:after="105" w:afterLines="30" w:afterAutospacing="0"/>
      <w:ind w:left="224" w:leftChars="100"/>
      <w:jc w:val="both"/>
      <w:textAlignment w:val="center"/>
      <w:outlineLvl w:val="3"/>
    </w:pPr>
    <w:rPr>
      <w:rFonts w:ascii="ＭＳ ゴシック" w:hAnsi="ＭＳ ゴシック" w:eastAsia="ＭＳ ゴシック"/>
      <w:kern w:val="2"/>
      <w:sz w:val="23"/>
    </w:rPr>
  </w:style>
  <w:style w:type="paragraph" w:styleId="23" w:customStyle="1">
    <w:name w:val="_0_3_１．"/>
    <w:next w:val="23"/>
    <w:link w:val="0"/>
    <w:uiPriority w:val="0"/>
    <w:pPr>
      <w:spacing w:after="105" w:afterLines="30" w:afterAutospacing="0"/>
      <w:outlineLvl w:val="2"/>
    </w:pPr>
    <w:rPr>
      <w:rFonts w:ascii="HGｺﾞｼｯｸM" w:hAnsi="HGｺﾞｼｯｸM" w:eastAsia="ＭＳ ゴシック"/>
      <w:kern w:val="2"/>
      <w:sz w:val="26"/>
    </w:rPr>
  </w:style>
  <w:style w:type="paragraph" w:styleId="24" w:customStyle="1">
    <w:name w:val="_0_1_章"/>
    <w:next w:val="24"/>
    <w:link w:val="0"/>
    <w:uiPriority w:val="0"/>
    <w:pPr>
      <w:pBdr>
        <w:top w:val="double" w:color="auto" w:sz="4" w:space="1"/>
        <w:left w:val="double" w:color="auto" w:sz="4" w:space="4"/>
        <w:bottom w:val="double" w:color="auto" w:sz="4" w:space="1"/>
        <w:right w:val="double" w:color="auto" w:sz="4" w:space="4"/>
      </w:pBdr>
      <w:spacing w:after="280" w:afterLines="80" w:afterAutospacing="0" w:line="0" w:lineRule="atLeast"/>
      <w:ind w:left="2185" w:hanging="2185" w:hangingChars="600"/>
      <w:jc w:val="center"/>
      <w:outlineLvl w:val="0"/>
    </w:pPr>
    <w:rPr>
      <w:rFonts w:ascii="ＭＳ ゴシック" w:hAnsi="ＭＳ ゴシック" w:eastAsia="ＭＳ ゴシック"/>
      <w:kern w:val="2"/>
      <w:sz w:val="36"/>
    </w:rPr>
  </w:style>
  <w:style w:type="paragraph" w:styleId="25" w:customStyle="1">
    <w:name w:val="_0_1_章の下"/>
    <w:next w:val="25"/>
    <w:link w:val="0"/>
    <w:uiPriority w:val="0"/>
    <w:pPr>
      <w:spacing w:line="120" w:lineRule="exact"/>
    </w:pPr>
    <w:rPr>
      <w:rFonts w:ascii="ＭＳ ゴシック" w:hAnsi="ＭＳ ゴシック" w:eastAsia="ＭＳ ゴシック"/>
      <w:kern w:val="2"/>
      <w:sz w:val="22"/>
    </w:rPr>
  </w:style>
  <w:style w:type="paragraph" w:styleId="26" w:customStyle="1">
    <w:name w:val="_0_5_①＿障がい福祉計画用"/>
    <w:next w:val="26"/>
    <w:link w:val="0"/>
    <w:uiPriority w:val="0"/>
    <w:pPr>
      <w:ind w:left="448" w:leftChars="200"/>
      <w:jc w:val="both"/>
      <w:outlineLvl w:val="5"/>
    </w:pPr>
    <w:rPr>
      <w:rFonts w:ascii="ＭＳ ゴシック" w:hAnsi="ＭＳ ゴシック" w:eastAsia="ＭＳ ゴシック"/>
      <w:color w:val="000000" w:themeColor="text1"/>
      <w:kern w:val="2"/>
      <w:sz w:val="22"/>
    </w:rPr>
  </w:style>
  <w:style w:type="paragraph" w:styleId="27">
    <w:name w:val="header"/>
    <w:basedOn w:val="0"/>
    <w:next w:val="27"/>
    <w:link w:val="28"/>
    <w:uiPriority w:val="0"/>
    <w:pPr>
      <w:tabs>
        <w:tab w:val="center" w:leader="none" w:pos="4252"/>
        <w:tab w:val="right" w:leader="none" w:pos="8504"/>
      </w:tabs>
      <w:snapToGrid w:val="0"/>
    </w:pPr>
  </w:style>
  <w:style w:type="character" w:styleId="28" w:customStyle="1">
    <w:name w:val="ヘッダー (文字)"/>
    <w:basedOn w:val="10"/>
    <w:next w:val="28"/>
    <w:link w:val="27"/>
    <w:uiPriority w:val="0"/>
    <w:rPr>
      <w:rFonts w:ascii="ＭＳ 明朝" w:hAnsi="ＭＳ 明朝"/>
      <w:kern w:val="2"/>
      <w:sz w:val="22"/>
    </w:rPr>
  </w:style>
  <w:style w:type="paragraph" w:styleId="29">
    <w:name w:val="footer"/>
    <w:basedOn w:val="0"/>
    <w:next w:val="29"/>
    <w:link w:val="30"/>
    <w:uiPriority w:val="0"/>
    <w:pPr>
      <w:tabs>
        <w:tab w:val="center" w:leader="none" w:pos="4252"/>
        <w:tab w:val="right" w:leader="none" w:pos="8504"/>
      </w:tabs>
      <w:snapToGrid w:val="0"/>
    </w:pPr>
  </w:style>
  <w:style w:type="character" w:styleId="30" w:customStyle="1">
    <w:name w:val="フッター (文字)"/>
    <w:next w:val="30"/>
    <w:link w:val="29"/>
    <w:uiPriority w:val="0"/>
    <w:rPr>
      <w:rFonts w:ascii="ＭＳ 明朝" w:hAnsi="ＭＳ 明朝"/>
      <w:kern w:val="2"/>
      <w:sz w:val="22"/>
    </w:rPr>
  </w:style>
  <w:style w:type="character" w:styleId="31">
    <w:name w:val="page number"/>
    <w:basedOn w:val="10"/>
    <w:next w:val="31"/>
    <w:link w:val="0"/>
    <w:uiPriority w:val="0"/>
  </w:style>
  <w:style w:type="paragraph" w:styleId="32">
    <w:name w:val="Date"/>
    <w:basedOn w:val="0"/>
    <w:next w:val="0"/>
    <w:link w:val="33"/>
    <w:uiPriority w:val="0"/>
  </w:style>
  <w:style w:type="character" w:styleId="33" w:customStyle="1">
    <w:name w:val="日付 (文字)"/>
    <w:basedOn w:val="10"/>
    <w:next w:val="33"/>
    <w:link w:val="32"/>
    <w:uiPriority w:val="0"/>
    <w:rPr>
      <w:rFonts w:ascii="ＭＳ 明朝" w:hAnsi="ＭＳ 明朝"/>
      <w:kern w:val="2"/>
      <w:sz w:val="22"/>
    </w:rPr>
  </w:style>
  <w:style w:type="paragraph" w:styleId="34">
    <w:name w:val="toc 1"/>
    <w:basedOn w:val="0"/>
    <w:next w:val="0"/>
    <w:link w:val="0"/>
    <w:uiPriority w:val="0"/>
    <w:pPr>
      <w:tabs>
        <w:tab w:val="right" w:leader="none" w:pos="22400"/>
      </w:tabs>
      <w:spacing w:before="105" w:beforeLines="30" w:beforeAutospacing="0"/>
      <w:ind w:right="-4485"/>
    </w:pPr>
    <w:rPr>
      <w:rFonts w:ascii="ＭＳ ゴシック" w:hAnsi="ＭＳ ゴシック" w:eastAsia="ＭＳ ゴシック"/>
      <w:sz w:val="26"/>
    </w:rPr>
  </w:style>
  <w:style w:type="paragraph" w:styleId="35">
    <w:name w:val="toc 2"/>
    <w:basedOn w:val="0"/>
    <w:next w:val="0"/>
    <w:link w:val="0"/>
    <w:uiPriority w:val="0"/>
    <w:pPr>
      <w:tabs>
        <w:tab w:val="right" w:leader="middleDot" w:pos="22400"/>
      </w:tabs>
      <w:spacing w:before="70" w:beforeLines="20" w:beforeAutospacing="0"/>
      <w:ind w:left="224" w:leftChars="100"/>
    </w:pPr>
  </w:style>
  <w:style w:type="paragraph" w:styleId="36">
    <w:name w:val="toc 3"/>
    <w:basedOn w:val="0"/>
    <w:next w:val="0"/>
    <w:link w:val="0"/>
    <w:uiPriority w:val="0"/>
    <w:pPr>
      <w:tabs>
        <w:tab w:val="right" w:leader="middleDot" w:pos="9632"/>
      </w:tabs>
      <w:ind w:left="200" w:leftChars="200"/>
    </w:pPr>
  </w:style>
  <w:style w:type="character" w:styleId="37">
    <w:name w:val="Hyperlink"/>
    <w:next w:val="37"/>
    <w:link w:val="0"/>
    <w:uiPriority w:val="0"/>
    <w:rPr>
      <w:color w:val="0000FF"/>
      <w:u w:val="single" w:color="auto"/>
    </w:rPr>
  </w:style>
  <w:style w:type="paragraph" w:styleId="38">
    <w:name w:val="toc 4"/>
    <w:basedOn w:val="0"/>
    <w:next w:val="0"/>
    <w:link w:val="0"/>
    <w:uiPriority w:val="0"/>
    <w:pPr>
      <w:tabs>
        <w:tab w:val="right" w:leader="middleDot" w:pos="9632"/>
      </w:tabs>
      <w:ind w:left="660" w:leftChars="300"/>
    </w:pPr>
  </w:style>
  <w:style w:type="paragraph" w:styleId="39">
    <w:name w:val="Balloon Text"/>
    <w:basedOn w:val="0"/>
    <w:next w:val="39"/>
    <w:link w:val="40"/>
    <w:uiPriority w:val="0"/>
    <w:semiHidden/>
    <w:rPr>
      <w:rFonts w:ascii="Arial" w:hAnsi="Arial" w:eastAsia="ＭＳ ゴシック"/>
      <w:sz w:val="18"/>
    </w:rPr>
  </w:style>
  <w:style w:type="character" w:styleId="40" w:customStyle="1">
    <w:name w:val="吹き出し (文字)"/>
    <w:basedOn w:val="10"/>
    <w:next w:val="40"/>
    <w:link w:val="39"/>
    <w:uiPriority w:val="0"/>
    <w:rPr>
      <w:rFonts w:ascii="Arial" w:hAnsi="Arial" w:eastAsia="ＭＳ ゴシック"/>
      <w:kern w:val="2"/>
      <w:sz w:val="18"/>
    </w:rPr>
  </w:style>
  <w:style w:type="paragraph" w:styleId="41">
    <w:name w:val="toc 9"/>
    <w:basedOn w:val="0"/>
    <w:next w:val="0"/>
    <w:link w:val="0"/>
    <w:uiPriority w:val="0"/>
    <w:pPr>
      <w:tabs>
        <w:tab w:val="left" w:leader="none" w:pos="22400"/>
      </w:tabs>
      <w:spacing w:line="0" w:lineRule="atLeast"/>
      <w:ind w:right="-24655" w:rightChars="-11000"/>
      <w:jc w:val="left"/>
    </w:pPr>
    <w:rPr>
      <w:rFonts w:ascii="ＭＳ ゴシック" w:hAnsi="ＭＳ ゴシック" w:eastAsia="ＭＳ ゴシック"/>
      <w:color w:val="FFFFFF" w:themeColor="background1"/>
      <w:sz w:val="20"/>
    </w:rPr>
  </w:style>
  <w:style w:type="character" w:styleId="42">
    <w:name w:val="FollowedHyperlink"/>
    <w:next w:val="42"/>
    <w:link w:val="0"/>
    <w:uiPriority w:val="0"/>
    <w:rPr>
      <w:color w:val="800080"/>
      <w:u w:val="single" w:color="auto"/>
    </w:rPr>
  </w:style>
  <w:style w:type="paragraph" w:styleId="43" w:customStyle="1">
    <w:name w:val="00_本文"/>
    <w:next w:val="43"/>
    <w:link w:val="0"/>
    <w:uiPriority w:val="0"/>
    <w:pPr>
      <w:ind w:left="200" w:leftChars="200" w:firstLine="100" w:firstLineChars="100"/>
      <w:jc w:val="both"/>
    </w:pPr>
    <w:rPr>
      <w:rFonts w:ascii="ＭＳ 明朝" w:hAnsi="ＭＳ 明朝"/>
      <w:kern w:val="2"/>
      <w:sz w:val="21"/>
    </w:rPr>
  </w:style>
  <w:style w:type="paragraph" w:styleId="44" w:customStyle="1">
    <w:name w:val="【表】項目"/>
    <w:next w:val="44"/>
    <w:link w:val="0"/>
    <w:uiPriority w:val="0"/>
    <w:pPr>
      <w:spacing w:before="35" w:beforeLines="10" w:beforeAutospacing="0" w:after="35" w:afterLines="10" w:afterAutospacing="0" w:line="0" w:lineRule="atLeast"/>
      <w:jc w:val="center"/>
    </w:pPr>
    <w:rPr>
      <w:rFonts w:ascii="ＭＳ 明朝" w:hAnsi="ＭＳ 明朝"/>
      <w:w w:val="80"/>
      <w:sz w:val="18"/>
    </w:rPr>
  </w:style>
  <w:style w:type="paragraph" w:styleId="45" w:customStyle="1">
    <w:name w:val="【表】項目_左詰め"/>
    <w:basedOn w:val="44"/>
    <w:next w:val="45"/>
    <w:link w:val="0"/>
    <w:uiPriority w:val="0"/>
    <w:pPr>
      <w:jc w:val="left"/>
    </w:pPr>
  </w:style>
  <w:style w:type="character" w:styleId="46">
    <w:name w:val="annotation reference"/>
    <w:next w:val="46"/>
    <w:link w:val="0"/>
    <w:uiPriority w:val="0"/>
    <w:semiHidden/>
    <w:rPr>
      <w:sz w:val="18"/>
    </w:rPr>
  </w:style>
  <w:style w:type="paragraph" w:styleId="47">
    <w:name w:val="annotation text"/>
    <w:basedOn w:val="0"/>
    <w:next w:val="47"/>
    <w:link w:val="48"/>
    <w:uiPriority w:val="0"/>
    <w:semiHidden/>
    <w:pPr>
      <w:jc w:val="left"/>
    </w:pPr>
  </w:style>
  <w:style w:type="character" w:styleId="48" w:customStyle="1">
    <w:name w:val="コメント文字列 (文字)"/>
    <w:next w:val="48"/>
    <w:link w:val="47"/>
    <w:uiPriority w:val="0"/>
    <w:rPr>
      <w:rFonts w:ascii="ＭＳ 明朝" w:hAnsi="ＭＳ 明朝"/>
      <w:kern w:val="2"/>
      <w:sz w:val="22"/>
    </w:rPr>
  </w:style>
  <w:style w:type="paragraph" w:styleId="49">
    <w:name w:val="annotation subject"/>
    <w:basedOn w:val="47"/>
    <w:next w:val="47"/>
    <w:link w:val="50"/>
    <w:uiPriority w:val="0"/>
    <w:semiHidden/>
    <w:rPr>
      <w:b w:val="1"/>
    </w:rPr>
  </w:style>
  <w:style w:type="character" w:styleId="50" w:customStyle="1">
    <w:name w:val="コメント内容 (文字)"/>
    <w:next w:val="50"/>
    <w:link w:val="49"/>
    <w:uiPriority w:val="0"/>
    <w:rPr>
      <w:rFonts w:ascii="ＭＳ 明朝" w:hAnsi="ＭＳ 明朝"/>
      <w:b w:val="1"/>
      <w:kern w:val="2"/>
      <w:sz w:val="22"/>
    </w:rPr>
  </w:style>
  <w:style w:type="paragraph" w:styleId="51" w:customStyle="1">
    <w:name w:val="日付1"/>
    <w:basedOn w:val="0"/>
    <w:next w:val="0"/>
    <w:link w:val="0"/>
    <w:uiPriority w:val="0"/>
    <w:pPr>
      <w:suppressAutoHyphens w:val="1"/>
    </w:pPr>
    <w:rPr>
      <w:kern w:val="1"/>
    </w:rPr>
  </w:style>
  <w:style w:type="paragraph" w:styleId="52">
    <w:name w:val="TOC Heading"/>
    <w:basedOn w:val="1"/>
    <w:next w:val="0"/>
    <w:link w:val="0"/>
    <w:uiPriority w:val="0"/>
    <w:qFormat/>
    <w:pPr>
      <w:keepLines w:val="1"/>
      <w:widowControl w:val="1"/>
      <w:spacing w:before="240" w:beforeLines="0" w:beforeAutospacing="0" w:line="259" w:lineRule="auto"/>
      <w:jc w:val="left"/>
      <w:outlineLvl w:val="9"/>
    </w:pPr>
    <w:rPr>
      <w:color w:val="2E74B5"/>
      <w:kern w:val="0"/>
      <w:sz w:val="32"/>
    </w:rPr>
  </w:style>
  <w:style w:type="paragraph" w:styleId="53" w:customStyle="1">
    <w:name w:val="_1_0　標準"/>
    <w:next w:val="53"/>
    <w:link w:val="0"/>
    <w:uiPriority w:val="0"/>
    <w:pPr>
      <w:ind w:left="344" w:leftChars="150" w:firstLine="239" w:firstLineChars="100"/>
      <w:jc w:val="both"/>
    </w:pPr>
    <w:rPr>
      <w:rFonts w:ascii="ＭＳ 明朝" w:hAnsi="ＭＳ 明朝"/>
      <w:color w:val="ED7D31"/>
      <w:sz w:val="22"/>
    </w:rPr>
  </w:style>
  <w:style w:type="paragraph" w:styleId="54" w:customStyle="1">
    <w:name w:val="_0_0_表：単位"/>
    <w:next w:val="54"/>
    <w:link w:val="0"/>
    <w:uiPriority w:val="0"/>
    <w:pPr>
      <w:widowControl w:val="0"/>
      <w:suppressAutoHyphens w:val="1"/>
      <w:spacing w:line="260" w:lineRule="exact"/>
      <w:jc w:val="right"/>
    </w:pPr>
    <w:rPr>
      <w:rFonts w:ascii="ＭＳ ゴシック" w:hAnsi="ＭＳ ゴシック" w:eastAsia="ＭＳ ゴシック"/>
      <w:kern w:val="1"/>
      <w:sz w:val="18"/>
    </w:rPr>
  </w:style>
  <w:style w:type="paragraph" w:styleId="55">
    <w:name w:val="Document Map"/>
    <w:basedOn w:val="0"/>
    <w:next w:val="55"/>
    <w:link w:val="56"/>
    <w:uiPriority w:val="0"/>
    <w:semiHidden/>
    <w:pPr>
      <w:shd w:val="clear" w:color="auto" w:fill="000080"/>
    </w:pPr>
    <w:rPr>
      <w:rFonts w:ascii="Arial" w:hAnsi="Arial" w:eastAsia="ＭＳ ゴシック"/>
      <w:sz w:val="21"/>
    </w:rPr>
  </w:style>
  <w:style w:type="character" w:styleId="56" w:customStyle="1">
    <w:name w:val="見出しマップ (文字)"/>
    <w:basedOn w:val="10"/>
    <w:next w:val="56"/>
    <w:link w:val="55"/>
    <w:uiPriority w:val="0"/>
    <w:rPr>
      <w:rFonts w:ascii="Arial" w:hAnsi="Arial" w:eastAsia="ＭＳ ゴシック"/>
      <w:kern w:val="2"/>
      <w:sz w:val="21"/>
      <w:shd w:val="clear" w:color="auto" w:fill="000080"/>
    </w:rPr>
  </w:style>
  <w:style w:type="paragraph" w:styleId="57">
    <w:name w:val="Normal (Web)"/>
    <w:basedOn w:val="0"/>
    <w:next w:val="57"/>
    <w:link w:val="0"/>
    <w:uiPriority w:val="0"/>
    <w:pPr>
      <w:widowControl w:val="1"/>
      <w:spacing w:before="100" w:beforeLines="0" w:beforeAutospacing="1" w:after="100" w:afterLines="0" w:afterAutospacing="1"/>
      <w:jc w:val="left"/>
    </w:pPr>
    <w:rPr>
      <w:rFonts w:ascii="ＭＳ Ｐゴシック" w:hAnsi="ＭＳ Ｐゴシック" w:eastAsia="ＭＳ Ｐゴシック"/>
      <w:kern w:val="0"/>
      <w:sz w:val="24"/>
    </w:rPr>
  </w:style>
  <w:style w:type="paragraph" w:styleId="58">
    <w:name w:val="Plain Text"/>
    <w:basedOn w:val="0"/>
    <w:next w:val="58"/>
    <w:link w:val="59"/>
    <w:uiPriority w:val="0"/>
    <w:rPr>
      <w:sz w:val="21"/>
    </w:rPr>
  </w:style>
  <w:style w:type="character" w:styleId="59" w:customStyle="1">
    <w:name w:val="書式なし (文字)"/>
    <w:basedOn w:val="10"/>
    <w:next w:val="59"/>
    <w:link w:val="58"/>
    <w:uiPriority w:val="0"/>
    <w:rPr>
      <w:rFonts w:ascii="ＭＳ 明朝" w:hAnsi="ＭＳ 明朝"/>
      <w:kern w:val="2"/>
      <w:sz w:val="21"/>
    </w:rPr>
  </w:style>
  <w:style w:type="character" w:styleId="60">
    <w:name w:val="Strong"/>
    <w:next w:val="60"/>
    <w:link w:val="0"/>
    <w:uiPriority w:val="0"/>
    <w:qFormat/>
    <w:rPr>
      <w:b w:val="1"/>
    </w:rPr>
  </w:style>
  <w:style w:type="paragraph" w:styleId="61">
    <w:name w:val="toc 5"/>
    <w:basedOn w:val="0"/>
    <w:next w:val="0"/>
    <w:link w:val="0"/>
    <w:uiPriority w:val="0"/>
    <w:pPr>
      <w:ind w:left="840" w:leftChars="400"/>
    </w:pPr>
    <w:rPr>
      <w:rFonts w:ascii="Century" w:hAnsi="Century"/>
      <w:sz w:val="21"/>
    </w:rPr>
  </w:style>
  <w:style w:type="paragraph" w:styleId="62">
    <w:name w:val="toc 6"/>
    <w:basedOn w:val="0"/>
    <w:next w:val="0"/>
    <w:link w:val="0"/>
    <w:uiPriority w:val="0"/>
    <w:pPr>
      <w:ind w:left="1050" w:leftChars="500"/>
    </w:pPr>
    <w:rPr>
      <w:rFonts w:ascii="Century" w:hAnsi="Century"/>
      <w:sz w:val="21"/>
    </w:rPr>
  </w:style>
  <w:style w:type="paragraph" w:styleId="63">
    <w:name w:val="toc 7"/>
    <w:basedOn w:val="0"/>
    <w:next w:val="0"/>
    <w:link w:val="0"/>
    <w:uiPriority w:val="0"/>
    <w:pPr>
      <w:ind w:left="1260" w:leftChars="600"/>
    </w:pPr>
    <w:rPr>
      <w:rFonts w:ascii="Century" w:hAnsi="Century"/>
      <w:sz w:val="21"/>
    </w:rPr>
  </w:style>
  <w:style w:type="paragraph" w:styleId="64">
    <w:name w:val="toc 8"/>
    <w:basedOn w:val="0"/>
    <w:next w:val="0"/>
    <w:link w:val="0"/>
    <w:uiPriority w:val="0"/>
    <w:pPr>
      <w:tabs>
        <w:tab w:val="right" w:leader="none" w:pos="22400"/>
      </w:tabs>
      <w:spacing w:before="350" w:beforeLines="100" w:beforeAutospacing="0" w:after="350" w:afterLines="100" w:afterAutospacing="0"/>
      <w:ind w:left="426" w:leftChars="190" w:right="-4485"/>
    </w:pPr>
    <w:rPr>
      <w:rFonts w:ascii="Century" w:hAnsi="Century" w:eastAsia="ＭＳ ゴシック"/>
      <w:sz w:val="28"/>
    </w:rPr>
  </w:style>
  <w:style w:type="paragraph" w:styleId="65">
    <w:name w:val="List Paragraph"/>
    <w:basedOn w:val="0"/>
    <w:next w:val="65"/>
    <w:link w:val="0"/>
    <w:uiPriority w:val="0"/>
    <w:qFormat/>
    <w:pPr>
      <w:ind w:left="840" w:leftChars="400"/>
    </w:pPr>
  </w:style>
  <w:style w:type="paragraph" w:styleId="66" w:customStyle="1">
    <w:name w:val="(１)_"/>
    <w:basedOn w:val="0"/>
    <w:next w:val="66"/>
    <w:link w:val="0"/>
    <w:uiPriority w:val="0"/>
    <w:qFormat/>
    <w:pPr>
      <w:spacing w:after="70" w:afterLines="20" w:afterAutospacing="0"/>
      <w:ind w:left="107" w:leftChars="50"/>
    </w:pPr>
    <w:rPr>
      <w:rFonts w:ascii="ＭＳ ゴシック" w:hAnsi="ＭＳ ゴシック" w:eastAsia="ＭＳ ゴシック"/>
      <w:color w:val="000000" w:themeColor="text1"/>
      <w:sz w:val="24"/>
    </w:rPr>
  </w:style>
  <w:style w:type="paragraph" w:styleId="67" w:customStyle="1">
    <w:name w:val="本文①"/>
    <w:basedOn w:val="0"/>
    <w:next w:val="67"/>
    <w:link w:val="0"/>
    <w:uiPriority w:val="0"/>
    <w:qFormat/>
    <w:pPr>
      <w:ind w:left="642" w:leftChars="200" w:hanging="214" w:hangingChars="100"/>
    </w:pPr>
    <w:rPr>
      <w:sz w:val="21"/>
    </w:rPr>
  </w:style>
  <w:style w:type="paragraph" w:styleId="68" w:customStyle="1">
    <w:name w:val="表下_資料"/>
    <w:basedOn w:val="0"/>
    <w:next w:val="68"/>
    <w:link w:val="0"/>
    <w:uiPriority w:val="0"/>
    <w:qFormat/>
    <w:pPr>
      <w:spacing w:before="35" w:beforeLines="10" w:beforeAutospacing="0" w:after="350" w:afterLines="100" w:afterAutospacing="0" w:line="0" w:lineRule="atLeast"/>
      <w:ind w:left="1147" w:leftChars="250" w:hanging="612" w:hangingChars="300"/>
    </w:pPr>
    <w:rPr>
      <w:rFonts w:ascii="ＭＳ ゴシック" w:hAnsi="ＭＳ ゴシック" w:eastAsia="ＭＳ ゴシック"/>
      <w:sz w:val="20"/>
    </w:rPr>
  </w:style>
  <w:style w:type="paragraph" w:styleId="69">
    <w:name w:val="Body Text Indent"/>
    <w:basedOn w:val="0"/>
    <w:next w:val="69"/>
    <w:link w:val="70"/>
    <w:uiPriority w:val="0"/>
    <w:pPr>
      <w:spacing w:line="400" w:lineRule="exact"/>
      <w:ind w:left="630" w:hanging="630"/>
    </w:pPr>
    <w:rPr>
      <w:rFonts w:ascii="Century" w:hAnsi="Century"/>
      <w:sz w:val="21"/>
    </w:rPr>
  </w:style>
  <w:style w:type="character" w:styleId="70" w:customStyle="1">
    <w:name w:val="本文インデント (文字)"/>
    <w:basedOn w:val="10"/>
    <w:next w:val="70"/>
    <w:link w:val="69"/>
    <w:uiPriority w:val="0"/>
    <w:rPr>
      <w:kern w:val="2"/>
      <w:sz w:val="21"/>
    </w:rPr>
  </w:style>
  <w:style w:type="paragraph" w:styleId="71">
    <w:name w:val="Body Text"/>
    <w:basedOn w:val="0"/>
    <w:next w:val="71"/>
    <w:link w:val="72"/>
    <w:uiPriority w:val="0"/>
    <w:pPr>
      <w:spacing w:line="400" w:lineRule="exact"/>
    </w:pPr>
    <w:rPr>
      <w:rFonts w:ascii="ＭＳ ゴシック" w:hAnsi="ＭＳ ゴシック" w:eastAsia="ＭＳ ゴシック"/>
      <w:sz w:val="28"/>
    </w:rPr>
  </w:style>
  <w:style w:type="character" w:styleId="72" w:customStyle="1">
    <w:name w:val="本文 (文字)"/>
    <w:basedOn w:val="10"/>
    <w:next w:val="72"/>
    <w:link w:val="71"/>
    <w:uiPriority w:val="0"/>
    <w:rPr>
      <w:rFonts w:ascii="ＭＳ ゴシック" w:hAnsi="ＭＳ ゴシック" w:eastAsia="ＭＳ ゴシック"/>
      <w:kern w:val="2"/>
      <w:sz w:val="28"/>
    </w:rPr>
  </w:style>
  <w:style w:type="paragraph" w:styleId="73">
    <w:name w:val="Body Text 2"/>
    <w:basedOn w:val="0"/>
    <w:next w:val="73"/>
    <w:link w:val="74"/>
    <w:uiPriority w:val="0"/>
    <w:pPr>
      <w:autoSpaceDE w:val="0"/>
      <w:autoSpaceDN w:val="0"/>
      <w:adjustRightInd w:val="0"/>
      <w:spacing w:line="400" w:lineRule="exact"/>
      <w:jc w:val="left"/>
    </w:pPr>
    <w:rPr>
      <w:rFonts w:ascii="HG丸ｺﾞｼｯｸM-PRO" w:hAnsi="HG丸ｺﾞｼｯｸM-PRO" w:eastAsia="FG丸ｺﾞｼｯｸ体Ca-B"/>
      <w:kern w:val="0"/>
      <w:sz w:val="21"/>
    </w:rPr>
  </w:style>
  <w:style w:type="character" w:styleId="74" w:customStyle="1">
    <w:name w:val="本文 2 (文字)"/>
    <w:basedOn w:val="10"/>
    <w:next w:val="74"/>
    <w:link w:val="73"/>
    <w:uiPriority w:val="0"/>
    <w:rPr>
      <w:rFonts w:ascii="HG丸ｺﾞｼｯｸM-PRO" w:hAnsi="HG丸ｺﾞｼｯｸM-PRO" w:eastAsia="FG丸ｺﾞｼｯｸ体Ca-B"/>
      <w:sz w:val="21"/>
    </w:rPr>
  </w:style>
  <w:style w:type="paragraph" w:styleId="75">
    <w:name w:val="Block Text"/>
    <w:basedOn w:val="0"/>
    <w:next w:val="75"/>
    <w:link w:val="0"/>
    <w:uiPriority w:val="0"/>
    <w:pPr>
      <w:spacing w:line="360" w:lineRule="exact"/>
      <w:ind w:left="550" w:leftChars="50" w:right="110" w:rightChars="50" w:hanging="440" w:hangingChars="200"/>
    </w:pPr>
  </w:style>
  <w:style w:type="paragraph" w:styleId="76" w:customStyle="1">
    <w:name w:val="①_"/>
    <w:basedOn w:val="0"/>
    <w:next w:val="76"/>
    <w:link w:val="0"/>
    <w:uiPriority w:val="0"/>
    <w:qFormat/>
    <w:pPr>
      <w:spacing w:after="70" w:afterLines="20" w:afterAutospacing="0"/>
      <w:ind w:left="428" w:leftChars="200"/>
    </w:pPr>
    <w:rPr>
      <w:rFonts w:ascii="ＭＳ ゴシック" w:hAnsi="ＭＳ ゴシック" w:eastAsia="ＭＳ ゴシック"/>
      <w:color w:val="000000" w:themeColor="text1"/>
      <w:sz w:val="21"/>
    </w:rPr>
  </w:style>
  <w:style w:type="paragraph" w:styleId="77" w:customStyle="1">
    <w:name w:val="_00_本文(北谷障害者)"/>
    <w:next w:val="77"/>
    <w:link w:val="78"/>
    <w:uiPriority w:val="0"/>
    <w:pPr>
      <w:ind w:left="200" w:leftChars="200" w:firstLine="100" w:firstLineChars="100"/>
      <w:jc w:val="both"/>
    </w:pPr>
    <w:rPr>
      <w:rFonts w:ascii="ＭＳ 明朝" w:hAnsi="ＭＳ 明朝"/>
      <w:spacing w:val="4"/>
      <w:sz w:val="22"/>
    </w:rPr>
  </w:style>
  <w:style w:type="character" w:styleId="78" w:customStyle="1">
    <w:name w:val="_00_本文(北谷障害者) (文字) (文字)"/>
    <w:next w:val="78"/>
    <w:link w:val="77"/>
    <w:uiPriority w:val="0"/>
    <w:rPr>
      <w:rFonts w:ascii="ＭＳ 明朝" w:hAnsi="ＭＳ 明朝"/>
      <w:spacing w:val="4"/>
      <w:sz w:val="22"/>
    </w:rPr>
  </w:style>
  <w:style w:type="paragraph" w:styleId="79" w:customStyle="1">
    <w:name w:val="_0_2_節"/>
    <w:next w:val="79"/>
    <w:link w:val="0"/>
    <w:uiPriority w:val="0"/>
    <w:qFormat/>
    <w:pPr>
      <w:spacing w:before="105" w:beforeLines="30" w:beforeAutospacing="0" w:line="0" w:lineRule="atLeast"/>
      <w:jc w:val="both"/>
      <w:outlineLvl w:val="1"/>
    </w:pPr>
    <w:rPr>
      <w:rFonts w:ascii="ＭＳ ゴシック" w:hAnsi="ＭＳ ゴシック" w:eastAsia="ＭＳ ゴシック"/>
      <w:kern w:val="2"/>
      <w:sz w:val="32"/>
    </w:rPr>
  </w:style>
  <w:style w:type="paragraph" w:styleId="80" w:customStyle="1">
    <w:name w:val="00_本文○"/>
    <w:next w:val="80"/>
    <w:link w:val="0"/>
    <w:uiPriority w:val="0"/>
    <w:pPr>
      <w:ind w:left="350" w:leftChars="250" w:hanging="100" w:hangingChars="100"/>
      <w:jc w:val="both"/>
    </w:pPr>
    <w:rPr>
      <w:rFonts w:ascii="ＭＳ 明朝" w:hAnsi="ＭＳ 明朝"/>
      <w:kern w:val="2"/>
      <w:sz w:val="21"/>
    </w:rPr>
  </w:style>
  <w:style w:type="paragraph" w:styleId="81" w:customStyle="1">
    <w:name w:val="_0_5_2今後の取り組み"/>
    <w:next w:val="81"/>
    <w:link w:val="0"/>
    <w:uiPriority w:val="0"/>
    <w:qFormat/>
    <w:pPr>
      <w:ind w:left="123" w:leftChars="55" w:right="-20" w:rightChars="-9"/>
      <w:jc w:val="center"/>
      <w:outlineLvl w:val="4"/>
    </w:pPr>
    <w:rPr>
      <w:rFonts w:ascii="ＭＳ ゴシック" w:hAnsi="ＭＳ ゴシック" w:eastAsia="ＭＳ ゴシック"/>
      <w:color w:val="FFFFFF" w:themeColor="background1"/>
      <w:kern w:val="2"/>
      <w:sz w:val="22"/>
    </w:rPr>
  </w:style>
  <w:style w:type="paragraph" w:styleId="82" w:customStyle="1">
    <w:name w:val="_0_5_1 【現状・課題】第４章"/>
    <w:next w:val="82"/>
    <w:link w:val="0"/>
    <w:uiPriority w:val="0"/>
    <w:qFormat/>
    <w:pPr>
      <w:ind w:left="224" w:leftChars="100"/>
      <w:jc w:val="both"/>
    </w:pPr>
    <w:rPr>
      <w:rFonts w:ascii="ＭＳ ゴシック" w:hAnsi="ＭＳ ゴシック" w:eastAsia="ＭＳ ゴシック"/>
      <w:kern w:val="2"/>
      <w:sz w:val="22"/>
    </w:rPr>
  </w:style>
  <w:style w:type="paragraph" w:styleId="83" w:customStyle="1">
    <w:name w:val="_0_6_①＿障がい者計画の４章用"/>
    <w:next w:val="83"/>
    <w:link w:val="0"/>
    <w:uiPriority w:val="0"/>
    <w:pPr>
      <w:adjustRightInd w:val="0"/>
      <w:ind w:left="200" w:leftChars="200"/>
      <w:jc w:val="both"/>
      <w:outlineLvl w:val="5"/>
    </w:pPr>
    <w:rPr>
      <w:rFonts w:ascii="ＭＳ ゴシック" w:hAnsi="ＭＳ ゴシック" w:eastAsia="ＭＳ ゴシック"/>
      <w:color w:val="000000" w:themeColor="text1"/>
      <w:kern w:val="2"/>
      <w:sz w:val="22"/>
    </w:rPr>
  </w:style>
  <w:style w:type="paragraph" w:styleId="84" w:customStyle="1">
    <w:name w:val="_0_6_現状・課題の▶"/>
    <w:next w:val="84"/>
    <w:link w:val="0"/>
    <w:uiPriority w:val="0"/>
    <w:qFormat/>
    <w:pPr>
      <w:ind w:left="662" w:leftChars="200" w:hanging="214" w:hangingChars="100"/>
      <w:jc w:val="both"/>
      <w:outlineLvl w:val="5"/>
    </w:pPr>
    <w:rPr>
      <w:rFonts w:ascii="ＭＳ ゴシック" w:hAnsi="ＭＳ ゴシック" w:eastAsia="ＭＳ ゴシック"/>
      <w:color w:val="000000" w:themeColor="text1"/>
      <w:kern w:val="2"/>
      <w:sz w:val="21"/>
    </w:rPr>
  </w:style>
  <w:style w:type="paragraph" w:styleId="85" w:customStyle="1">
    <w:name w:val="_0_0_※の文章"/>
    <w:next w:val="85"/>
    <w:link w:val="0"/>
    <w:uiPriority w:val="0"/>
    <w:qFormat/>
    <w:pPr>
      <w:spacing w:line="0" w:lineRule="atLeast"/>
      <w:ind w:left="200" w:leftChars="200" w:firstLine="100" w:firstLineChars="100"/>
      <w:jc w:val="both"/>
      <w:textAlignment w:val="center"/>
    </w:pPr>
    <w:rPr>
      <w:rFonts w:ascii="ＭＳ 明朝" w:hAnsi="ＭＳ 明朝"/>
      <w:color w:val="000000" w:themeColor="text1"/>
      <w:kern w:val="2"/>
    </w:rPr>
  </w:style>
  <w:style w:type="paragraph" w:styleId="86" w:customStyle="1">
    <w:name w:val="_0_0_※のタイトル"/>
    <w:next w:val="86"/>
    <w:link w:val="0"/>
    <w:uiPriority w:val="0"/>
    <w:qFormat/>
    <w:pPr>
      <w:spacing w:before="70" w:beforeLines="20" w:beforeAutospacing="0"/>
      <w:ind w:left="224" w:leftChars="100"/>
      <w:jc w:val="both"/>
      <w:textAlignment w:val="center"/>
    </w:pPr>
    <w:rPr>
      <w:rFonts w:ascii="ＭＳ ゴシック" w:hAnsi="ＭＳ ゴシック" w:eastAsia="ＭＳ ゴシック"/>
      <w:color w:val="000000" w:themeColor="text1"/>
      <w:kern w:val="2"/>
    </w:rPr>
  </w:style>
  <w:style w:type="paragraph" w:styleId="87" w:customStyle="1">
    <w:name w:val="_0_9_目次のスペース用"/>
    <w:next w:val="87"/>
    <w:link w:val="0"/>
    <w:uiPriority w:val="0"/>
    <w:qFormat/>
    <w:pPr>
      <w:ind w:left="10490" w:right="-2000" w:rightChars="-2000"/>
      <w:outlineLvl w:val="8"/>
    </w:pPr>
    <w:rPr>
      <w:rFonts w:ascii="ＭＳ 明朝" w:hAnsi="ＭＳ 明朝"/>
      <w:color w:val="FFFFFF" w:themeColor="background1"/>
      <w:kern w:val="2"/>
      <w:sz w:val="21"/>
    </w:rPr>
  </w:style>
  <w:style w:type="paragraph" w:styleId="88" w:customStyle="1">
    <w:name w:val="_0_8_合紙タイトル（計画名）"/>
    <w:basedOn w:val="0"/>
    <w:next w:val="88"/>
    <w:link w:val="0"/>
    <w:uiPriority w:val="0"/>
    <w:qFormat/>
    <w:pPr>
      <w:widowControl w:val="1"/>
      <w:ind w:left="426" w:leftChars="190"/>
      <w:jc w:val="center"/>
      <w:outlineLvl w:val="0"/>
    </w:pPr>
    <w:rPr>
      <w:rFonts w:ascii="ＭＳ ゴシック" w:hAnsi="ＭＳ ゴシック" w:eastAsia="ＭＳ ゴシック"/>
      <w:spacing w:val="-8"/>
      <w:w w:val="80"/>
      <w:sz w:val="64"/>
    </w:rPr>
  </w:style>
  <w:style w:type="paragraph" w:styleId="89">
    <w:name w:val="Revision"/>
    <w:next w:val="89"/>
    <w:link w:val="0"/>
    <w:uiPriority w:val="0"/>
    <w:rPr>
      <w:rFonts w:ascii="ＭＳ 明朝" w:hAnsi="ＭＳ 明朝"/>
      <w:kern w:val="2"/>
      <w:sz w:val="22"/>
    </w:rPr>
  </w:style>
  <w:style w:type="character" w:styleId="90">
    <w:name w:val="footnote reference"/>
    <w:basedOn w:val="10"/>
    <w:next w:val="90"/>
    <w:link w:val="0"/>
    <w:uiPriority w:val="0"/>
    <w:semiHidden/>
    <w:rPr>
      <w:vertAlign w:val="superscript"/>
    </w:rPr>
  </w:style>
  <w:style w:type="character" w:styleId="91">
    <w:name w:val="endnote reference"/>
    <w:basedOn w:val="10"/>
    <w:next w:val="91"/>
    <w:link w:val="0"/>
    <w:uiPriority w:val="0"/>
    <w:semiHidden/>
    <w:rPr>
      <w:vertAlign w:val="superscript"/>
    </w:rPr>
  </w:style>
  <w:style w:type="paragraph" w:styleId="92" w:customStyle="1">
    <w:name w:val="_0_5_●"/>
    <w:basedOn w:val="0"/>
    <w:next w:val="92"/>
    <w:link w:val="0"/>
    <w:uiPriority w:val="0"/>
    <w:pPr>
      <w:widowControl w:val="1"/>
      <w:ind w:left="224" w:leftChars="100"/>
      <w:jc w:val="left"/>
      <w:outlineLvl w:val="4"/>
    </w:pPr>
    <w:rPr>
      <w:rFonts w:ascii="ＭＳ ゴシック" w:hAnsi="ＭＳ ゴシック" w:eastAsia="ＭＳ ゴシック"/>
      <w:sz w:val="24"/>
    </w:rPr>
  </w:style>
  <w:style w:type="paragraph" w:styleId="93" w:customStyle="1">
    <w:name w:val="_0_合紙用"/>
    <w:next w:val="93"/>
    <w:link w:val="0"/>
    <w:uiPriority w:val="0"/>
    <w:pPr>
      <w:jc w:val="center"/>
    </w:pPr>
    <w:rPr>
      <w:rFonts w:ascii="ＭＳ ゴシック" w:hAnsi="ＭＳ ゴシック" w:eastAsia="ＭＳ ゴシック"/>
      <w:kern w:val="2"/>
      <w:sz w:val="56"/>
    </w:rPr>
  </w:style>
  <w:style w:type="paragraph" w:styleId="94" w:customStyle="1">
    <w:name w:val="_0_4_（１）"/>
    <w:next w:val="94"/>
    <w:link w:val="0"/>
    <w:uiPriority w:val="0"/>
    <w:pPr>
      <w:spacing w:after="105" w:afterLines="30" w:afterAutospacing="0"/>
      <w:ind w:left="112" w:leftChars="50"/>
      <w:outlineLvl w:val="3"/>
    </w:pPr>
    <w:rPr>
      <w:rFonts w:ascii="ＭＳ ゴシック" w:hAnsi="ＭＳ ゴシック" w:eastAsia="ＭＳ ゴシック"/>
      <w:kern w:val="2"/>
      <w:sz w:val="24"/>
    </w:rPr>
  </w:style>
  <w:style w:type="paragraph" w:styleId="95" w:customStyle="1">
    <w:name w:val="_00：枠内用語説明(■)"/>
    <w:next w:val="95"/>
    <w:link w:val="0"/>
    <w:uiPriority w:val="0"/>
    <w:pPr>
      <w:widowControl w:val="0"/>
      <w:spacing w:before="175" w:beforeLines="50" w:beforeAutospacing="0" w:line="0" w:lineRule="atLeast"/>
      <w:ind w:left="224" w:leftChars="100"/>
    </w:pPr>
    <w:rPr>
      <w:rFonts w:ascii="ＭＳ ゴシック" w:hAnsi="ＭＳ ゴシック" w:eastAsia="ＭＳ ゴシック"/>
      <w:kern w:val="2"/>
    </w:rPr>
  </w:style>
  <w:style w:type="paragraph" w:styleId="96" w:customStyle="1">
    <w:name w:val="_00：枠内用語説明（内容）"/>
    <w:next w:val="96"/>
    <w:link w:val="0"/>
    <w:uiPriority w:val="0"/>
    <w:pPr>
      <w:widowControl w:val="0"/>
      <w:spacing w:line="320" w:lineRule="exact"/>
      <w:ind w:left="448" w:leftChars="200" w:firstLine="204" w:firstLineChars="100"/>
      <w:jc w:val="both"/>
    </w:pPr>
    <w:rPr>
      <w:rFonts w:ascii="ＭＳ 明朝" w:hAnsi="ＭＳ 明朝"/>
      <w:kern w:val="2"/>
    </w:rPr>
  </w:style>
  <w:style w:type="paragraph" w:styleId="97" w:customStyle="1">
    <w:name w:val="_0_2_節の下"/>
    <w:next w:val="97"/>
    <w:link w:val="0"/>
    <w:uiPriority w:val="0"/>
    <w:pPr>
      <w:spacing w:after="525" w:afterLines="150" w:afterAutospacing="0" w:line="120" w:lineRule="exact"/>
    </w:pPr>
    <w:rPr>
      <w:rFonts w:ascii="ＭＳ 明朝" w:hAnsi="ＭＳ 明朝"/>
      <w:kern w:val="2"/>
      <w:sz w:val="22"/>
    </w:rPr>
  </w:style>
  <w:style w:type="paragraph" w:styleId="98" w:customStyle="1">
    <w:name w:val="_0_3_１．の下"/>
    <w:next w:val="98"/>
    <w:link w:val="0"/>
    <w:uiPriority w:val="0"/>
    <w:pPr>
      <w:spacing w:after="105" w:afterLines="30" w:afterAutospacing="0" w:line="160" w:lineRule="exact"/>
      <w:ind w:left="227" w:firstLine="227"/>
    </w:pPr>
    <w:rPr>
      <w:rFonts w:ascii="ＭＳ 明朝" w:hAnsi="ＭＳ 明朝"/>
      <w:kern w:val="2"/>
      <w:sz w:val="22"/>
    </w:rPr>
  </w:style>
  <w:style w:type="paragraph" w:styleId="99" w:customStyle="1">
    <w:name w:val="_1_2_１．"/>
    <w:next w:val="99"/>
    <w:link w:val="0"/>
    <w:uiPriority w:val="0"/>
    <w:pPr>
      <w:shd w:val="clear" w:color="auto" w:fill="CC99FF"/>
      <w:outlineLvl w:val="1"/>
    </w:pPr>
    <w:rPr>
      <w:rFonts w:ascii="ＭＳ ゴシック" w:hAnsi="ＭＳ ゴシック" w:eastAsia="ＭＳ ゴシック"/>
      <w:kern w:val="2"/>
      <w:sz w:val="24"/>
    </w:rPr>
  </w:style>
  <w:style w:type="paragraph" w:styleId="100" w:customStyle="1">
    <w:name w:val="_0_5_①"/>
    <w:next w:val="100"/>
    <w:link w:val="0"/>
    <w:uiPriority w:val="0"/>
    <w:pPr>
      <w:ind w:left="448" w:leftChars="200"/>
      <w:jc w:val="both"/>
      <w:outlineLvl w:val="4"/>
    </w:pPr>
    <w:rPr>
      <w:rFonts w:ascii="ＭＳ ゴシック" w:hAnsi="ＭＳ ゴシック" w:eastAsia="ＭＳ ゴシック"/>
      <w:kern w:val="2"/>
      <w:sz w:val="22"/>
    </w:rPr>
  </w:style>
  <w:style w:type="paragraph" w:styleId="101" w:customStyle="1">
    <w:name w:val="_1_1_章"/>
    <w:next w:val="101"/>
    <w:link w:val="0"/>
    <w:uiPriority w:val="0"/>
    <w:pPr>
      <w:jc w:val="center"/>
      <w:outlineLvl w:val="0"/>
    </w:pPr>
    <w:rPr>
      <w:rFonts w:ascii="ＭＳ ゴシック" w:hAnsi="ＭＳ ゴシック" w:eastAsia="ＭＳ ゴシック"/>
      <w:kern w:val="2"/>
      <w:sz w:val="32"/>
    </w:rPr>
  </w:style>
  <w:style w:type="paragraph" w:styleId="102" w:customStyle="1">
    <w:name w:val="_1_3_（１）"/>
    <w:next w:val="102"/>
    <w:link w:val="117"/>
    <w:uiPriority w:val="0"/>
    <w:pPr>
      <w:spacing w:after="120" w:afterLines="0" w:afterAutospacing="0"/>
      <w:outlineLvl w:val="2"/>
    </w:pPr>
    <w:rPr>
      <w:rFonts w:ascii="ＭＳ ゴシック" w:hAnsi="ＭＳ ゴシック" w:eastAsia="ＭＳ ゴシック"/>
      <w:kern w:val="2"/>
      <w:sz w:val="24"/>
    </w:rPr>
  </w:style>
  <w:style w:type="paragraph" w:styleId="103" w:customStyle="1">
    <w:name w:val="_1_5_①"/>
    <w:next w:val="103"/>
    <w:link w:val="0"/>
    <w:uiPriority w:val="0"/>
    <w:pPr>
      <w:ind w:left="448" w:leftChars="200"/>
      <w:jc w:val="both"/>
      <w:outlineLvl w:val="4"/>
    </w:pPr>
    <w:rPr>
      <w:rFonts w:ascii="ＭＳ ゴシック" w:hAnsi="ＭＳ ゴシック" w:eastAsia="ＭＳ ゴシック"/>
      <w:kern w:val="2"/>
      <w:sz w:val="22"/>
    </w:rPr>
  </w:style>
  <w:style w:type="paragraph" w:styleId="104" w:customStyle="1">
    <w:name w:val="スタイル _00：枠内用語説明（内容） + 段落前 :  2 字 最初の行 :  1 字"/>
    <w:basedOn w:val="96"/>
    <w:next w:val="104"/>
    <w:link w:val="0"/>
    <w:uiPriority w:val="0"/>
    <w:pPr>
      <w:spacing w:line="280" w:lineRule="exact"/>
    </w:pPr>
  </w:style>
  <w:style w:type="paragraph" w:styleId="105" w:customStyle="1">
    <w:name w:val="スタイル スタイル _00：枠内用語説明（内容） + 段落前 :  2 字 最初の行 :  1 字 + 段落前 :  2 字 最初..."/>
    <w:basedOn w:val="104"/>
    <w:next w:val="105"/>
    <w:link w:val="0"/>
    <w:uiPriority w:val="0"/>
    <w:pPr>
      <w:spacing w:line="300" w:lineRule="exact"/>
    </w:pPr>
  </w:style>
  <w:style w:type="paragraph" w:styleId="106" w:customStyle="1">
    <w:name w:val="_０_本文"/>
    <w:next w:val="106"/>
    <w:link w:val="107"/>
    <w:uiPriority w:val="0"/>
    <w:pPr>
      <w:spacing w:line="360" w:lineRule="exact"/>
      <w:ind w:left="629" w:leftChars="300" w:firstLine="230" w:firstLineChars="100"/>
      <w:jc w:val="both"/>
    </w:pPr>
    <w:rPr>
      <w:rFonts w:ascii="ＭＳ 明朝" w:hAnsi="ＭＳ 明朝"/>
      <w:spacing w:val="10"/>
      <w:sz w:val="22"/>
    </w:rPr>
  </w:style>
  <w:style w:type="character" w:styleId="107" w:customStyle="1">
    <w:name w:val="_０_本文 (文字)"/>
    <w:next w:val="107"/>
    <w:link w:val="106"/>
    <w:uiPriority w:val="0"/>
    <w:rPr>
      <w:rFonts w:ascii="ＭＳ 明朝" w:hAnsi="ＭＳ 明朝"/>
      <w:spacing w:val="10"/>
      <w:sz w:val="22"/>
    </w:rPr>
  </w:style>
  <w:style w:type="paragraph" w:styleId="108" w:customStyle="1">
    <w:name w:val="_0_体系２"/>
    <w:next w:val="108"/>
    <w:link w:val="0"/>
    <w:uiPriority w:val="0"/>
    <w:pPr>
      <w:widowControl w:val="0"/>
      <w:tabs>
        <w:tab w:val="left" w:leader="none" w:pos="459"/>
      </w:tabs>
      <w:spacing w:before="245" w:beforeLines="70" w:beforeAutospacing="0" w:after="105" w:afterLines="30" w:afterAutospacing="0"/>
      <w:jc w:val="both"/>
    </w:pPr>
    <w:rPr>
      <w:rFonts w:ascii="ＭＳ ゴシック" w:hAnsi="ＭＳ ゴシック" w:eastAsia="ＭＳ ゴシック"/>
      <w:spacing w:val="10"/>
      <w:w w:val="90"/>
      <w:sz w:val="22"/>
    </w:rPr>
  </w:style>
  <w:style w:type="paragraph" w:styleId="109" w:customStyle="1">
    <w:name w:val="_0_体系３"/>
    <w:next w:val="109"/>
    <w:link w:val="0"/>
    <w:uiPriority w:val="0"/>
    <w:pPr>
      <w:widowControl w:val="0"/>
      <w:spacing w:line="320" w:lineRule="exact"/>
      <w:ind w:left="897" w:leftChars="400"/>
      <w:jc w:val="both"/>
    </w:pPr>
    <w:rPr>
      <w:rFonts w:ascii="ＭＳ ゴシック" w:hAnsi="ＭＳ ゴシック" w:eastAsia="ＭＳ ゴシック"/>
      <w:spacing w:val="10"/>
      <w:w w:val="90"/>
      <w:sz w:val="22"/>
    </w:rPr>
  </w:style>
  <w:style w:type="paragraph" w:styleId="110" w:customStyle="1">
    <w:name w:val="_０_2_１．の下"/>
    <w:next w:val="110"/>
    <w:link w:val="0"/>
    <w:uiPriority w:val="0"/>
    <w:pPr>
      <w:spacing w:line="240" w:lineRule="exact"/>
    </w:pPr>
    <w:rPr>
      <w:rFonts w:ascii="ＭＳ 明朝" w:hAnsi="ＭＳ 明朝"/>
      <w:color w:val="FF0000"/>
      <w:sz w:val="12"/>
    </w:rPr>
  </w:style>
  <w:style w:type="paragraph" w:styleId="111" w:customStyle="1">
    <w:name w:val="スタイル _0_0_【方針＆推進】 + 12 pt 左 :  1 字 段落後 :  0.5 行"/>
    <w:basedOn w:val="0"/>
    <w:next w:val="111"/>
    <w:link w:val="0"/>
    <w:uiPriority w:val="0"/>
    <w:pPr>
      <w:widowControl w:val="1"/>
      <w:spacing w:before="175" w:beforeLines="50" w:beforeAutospacing="0"/>
      <w:ind w:left="100" w:leftChars="100"/>
      <w:jc w:val="left"/>
    </w:pPr>
    <w:rPr>
      <w:rFonts w:ascii="ＭＳ ゴシック" w:hAnsi="ＭＳ ゴシック" w:eastAsia="ＭＳ ゴシック"/>
      <w:sz w:val="24"/>
    </w:rPr>
  </w:style>
  <w:style w:type="paragraph" w:styleId="112" w:customStyle="1">
    <w:name w:val="☆自由回答区分(3)"/>
    <w:next w:val="112"/>
    <w:link w:val="0"/>
    <w:uiPriority w:val="0"/>
    <w:pPr>
      <w:ind w:left="229" w:leftChars="100"/>
    </w:pPr>
    <w:rPr>
      <w:rFonts w:ascii="ＭＳ ゴシック" w:hAnsi="ＭＳ ゴシック" w:eastAsia="ＭＳ ゴシック"/>
      <w:kern w:val="2"/>
      <w:sz w:val="21"/>
    </w:rPr>
  </w:style>
  <w:style w:type="paragraph" w:styleId="113" w:customStyle="1">
    <w:name w:val="スタイル _0_0_本文○ + 段落前 :  0.3 行"/>
    <w:basedOn w:val="0"/>
    <w:next w:val="113"/>
    <w:link w:val="0"/>
    <w:uiPriority w:val="0"/>
    <w:pPr>
      <w:tabs>
        <w:tab w:val="left" w:leader="none" w:pos="724"/>
        <w:tab w:val="left" w:leader="none" w:pos="8288"/>
      </w:tabs>
      <w:spacing w:after="70" w:afterLines="20" w:afterAutospacing="0"/>
    </w:pPr>
    <w:rPr>
      <w:sz w:val="21"/>
    </w:rPr>
  </w:style>
  <w:style w:type="paragraph" w:styleId="114" w:customStyle="1">
    <w:name w:val="スタイル _0_0_【方針＆推進】 + 左 :  1 字 段落後 :  0.5 行"/>
    <w:basedOn w:val="0"/>
    <w:next w:val="114"/>
    <w:link w:val="0"/>
    <w:uiPriority w:val="0"/>
    <w:pPr>
      <w:widowControl w:val="1"/>
      <w:spacing w:before="175" w:beforeLines="50" w:beforeAutospacing="0"/>
      <w:ind w:left="100" w:leftChars="100"/>
      <w:jc w:val="left"/>
    </w:pPr>
    <w:rPr>
      <w:rFonts w:ascii="ＭＳ ゴシック" w:hAnsi="ＭＳ ゴシック" w:eastAsia="ＭＳ ゴシック"/>
    </w:rPr>
  </w:style>
  <w:style w:type="paragraph" w:styleId="115" w:customStyle="1">
    <w:name w:val="資料編"/>
    <w:basedOn w:val="0"/>
    <w:next w:val="115"/>
    <w:link w:val="0"/>
    <w:uiPriority w:val="0"/>
    <w:qFormat/>
    <w:pPr>
      <w:jc w:val="center"/>
      <w:outlineLvl w:val="0"/>
    </w:pPr>
    <w:rPr>
      <w:rFonts w:ascii="ＭＳ ゴシック" w:hAnsi="ＭＳ ゴシック" w:eastAsia="ＭＳ ゴシック"/>
      <w:sz w:val="72"/>
    </w:rPr>
  </w:style>
  <w:style w:type="paragraph" w:styleId="116" w:customStyle="1">
    <w:name w:val="資料編_○"/>
    <w:basedOn w:val="23"/>
    <w:next w:val="116"/>
    <w:link w:val="0"/>
    <w:uiPriority w:val="0"/>
    <w:pPr>
      <w:jc w:val="center"/>
    </w:pPr>
  </w:style>
  <w:style w:type="character" w:styleId="117" w:customStyle="1">
    <w:name w:val="_1_3_（１） (文字)"/>
    <w:next w:val="117"/>
    <w:link w:val="102"/>
    <w:uiPriority w:val="0"/>
    <w:rPr>
      <w:rFonts w:ascii="ＭＳ ゴシック" w:hAnsi="ＭＳ ゴシック" w:eastAsia="ＭＳ ゴシック"/>
      <w:kern w:val="2"/>
      <w:sz w:val="24"/>
    </w:rPr>
  </w:style>
  <w:style w:type="paragraph" w:styleId="118" w:customStyle="1">
    <w:name w:val="☆調査項目(2)"/>
    <w:basedOn w:val="0"/>
    <w:next w:val="118"/>
    <w:link w:val="0"/>
    <w:uiPriority w:val="0"/>
    <w:rPr>
      <w:rFonts w:ascii="ＭＳ ゴシック" w:hAnsi="ＭＳ ゴシック" w:eastAsia="ＭＳ ゴシック"/>
      <w:sz w:val="24"/>
    </w:rPr>
  </w:style>
  <w:style w:type="paragraph" w:styleId="119" w:customStyle="1">
    <w:name w:val="03_（１）"/>
    <w:basedOn w:val="0"/>
    <w:next w:val="119"/>
    <w:link w:val="120"/>
    <w:uiPriority w:val="0"/>
    <w:qFormat/>
    <w:pPr>
      <w:widowControl w:val="1"/>
      <w:autoSpaceDE w:val="0"/>
      <w:autoSpaceDN w:val="0"/>
      <w:ind w:left="224" w:leftChars="100"/>
    </w:pPr>
    <w:rPr>
      <w:rFonts w:ascii="ＭＳ ゴシック" w:hAnsi="ＭＳ ゴシック" w:eastAsia="ＭＳ ゴシック"/>
    </w:rPr>
  </w:style>
  <w:style w:type="character" w:styleId="120" w:customStyle="1">
    <w:name w:val="03_（１） (文字)"/>
    <w:next w:val="120"/>
    <w:link w:val="119"/>
    <w:uiPriority w:val="0"/>
    <w:rPr>
      <w:rFonts w:ascii="ＭＳ ゴシック" w:hAnsi="ＭＳ ゴシック" w:eastAsia="ＭＳ ゴシック"/>
      <w:kern w:val="2"/>
      <w:sz w:val="22"/>
    </w:rPr>
  </w:style>
  <w:style w:type="paragraph" w:styleId="121" w:customStyle="1">
    <w:name w:val="09_Ⅲの本文(左3.5字-字下げ)"/>
    <w:next w:val="121"/>
    <w:link w:val="0"/>
    <w:uiPriority w:val="0"/>
    <w:pPr>
      <w:autoSpaceDE w:val="0"/>
      <w:autoSpaceDN w:val="0"/>
      <w:ind w:left="784" w:leftChars="350" w:firstLine="224" w:firstLineChars="100"/>
      <w:jc w:val="both"/>
    </w:pPr>
    <w:rPr>
      <w:rFonts w:ascii="ＭＳ 明朝" w:hAnsi="ＭＳ 明朝"/>
      <w:kern w:val="2"/>
      <w:sz w:val="21"/>
    </w:rPr>
  </w:style>
  <w:style w:type="paragraph" w:styleId="122" w:customStyle="1">
    <w:name w:val="02_1."/>
    <w:basedOn w:val="0"/>
    <w:next w:val="122"/>
    <w:link w:val="0"/>
    <w:uiPriority w:val="0"/>
    <w:pPr>
      <w:spacing w:after="70" w:afterLines="20" w:afterAutospacing="0"/>
    </w:pPr>
    <w:rPr>
      <w:rFonts w:ascii="ＭＳ ゴシック" w:hAnsi="ＭＳ ゴシック" w:eastAsia="ＭＳ ゴシック"/>
      <w:sz w:val="25"/>
    </w:rPr>
  </w:style>
  <w:style w:type="paragraph" w:styleId="123" w:customStyle="1">
    <w:name w:val="企業実習集録：氏名＆実習先"/>
    <w:next w:val="123"/>
    <w:link w:val="0"/>
    <w:uiPriority w:val="0"/>
    <w:pPr>
      <w:spacing w:line="0" w:lineRule="atLeast"/>
      <w:jc w:val="center"/>
    </w:pPr>
    <w:rPr>
      <w:rFonts w:ascii="ＭＳ 明朝" w:hAnsi="ＭＳ 明朝"/>
      <w:color w:val="FFFFFF"/>
      <w:sz w:val="21"/>
    </w:rPr>
  </w:style>
  <w:style w:type="paragraph" w:styleId="124" w:customStyle="1">
    <w:name w:val="_1_5　（１）"/>
    <w:next w:val="124"/>
    <w:link w:val="0"/>
    <w:uiPriority w:val="0"/>
    <w:pPr>
      <w:spacing w:after="105" w:afterLines="30" w:afterAutospacing="0" w:line="0" w:lineRule="atLeast"/>
      <w:outlineLvl w:val="3"/>
    </w:pPr>
    <w:rPr>
      <w:rFonts w:ascii="ＭＳ ゴシック" w:hAnsi="ＭＳ ゴシック" w:eastAsia="ＭＳ ゴシック"/>
      <w:color w:val="000000"/>
      <w:sz w:val="22"/>
    </w:rPr>
  </w:style>
  <w:style w:type="paragraph" w:styleId="125" w:customStyle="1">
    <w:name w:val="タイトル"/>
    <w:next w:val="125"/>
    <w:link w:val="0"/>
    <w:uiPriority w:val="0"/>
    <w:qFormat/>
    <w:pPr>
      <w:spacing w:line="0" w:lineRule="atLeast"/>
      <w:jc w:val="center"/>
      <w:outlineLvl w:val="0"/>
    </w:pPr>
    <w:rPr>
      <w:rFonts w:ascii="平成明朝体W3" w:hAnsi="平成明朝体W3" w:eastAsia="平成明朝体W3"/>
      <w:sz w:val="44"/>
    </w:rPr>
  </w:style>
  <w:style w:type="character" w:styleId="126" w:customStyle="1">
    <w:name w:val="space_lft11"/>
    <w:basedOn w:val="10"/>
    <w:next w:val="126"/>
    <w:link w:val="0"/>
    <w:uiPriority w:val="0"/>
  </w:style>
  <w:style w:type="paragraph" w:styleId="127" w:customStyle="1">
    <w:name w:val="_0_資料編"/>
    <w:basedOn w:val="93"/>
    <w:next w:val="127"/>
    <w:link w:val="0"/>
    <w:uiPriority w:val="0"/>
    <w:rPr>
      <w:sz w:val="72"/>
    </w:rPr>
  </w:style>
  <w:style w:type="paragraph" w:styleId="128" w:customStyle="1">
    <w:name w:val="_0_資料編_■"/>
    <w:basedOn w:val="0"/>
    <w:next w:val="128"/>
    <w:link w:val="0"/>
    <w:uiPriority w:val="0"/>
    <w:pPr>
      <w:spacing w:line="0" w:lineRule="atLeast"/>
      <w:ind w:left="254" w:hanging="254" w:hangingChars="100"/>
    </w:pPr>
    <w:rPr>
      <w:rFonts w:ascii="ＭＳ ゴシック" w:hAnsi="ＭＳ ゴシック" w:eastAsia="ＭＳ ゴシック"/>
      <w:sz w:val="28"/>
    </w:rPr>
  </w:style>
  <w:style w:type="paragraph" w:styleId="129" w:customStyle="1">
    <w:name w:val="_0_本文（4）"/>
    <w:next w:val="129"/>
    <w:link w:val="130"/>
    <w:uiPriority w:val="0"/>
    <w:pPr>
      <w:spacing w:line="360" w:lineRule="exact"/>
      <w:ind w:left="629" w:leftChars="300" w:firstLine="250" w:firstLineChars="100"/>
      <w:jc w:val="both"/>
    </w:pPr>
    <w:rPr>
      <w:rFonts w:ascii="ＭＳ 明朝" w:hAnsi="ＭＳ 明朝"/>
      <w:spacing w:val="10"/>
      <w:sz w:val="24"/>
    </w:rPr>
  </w:style>
  <w:style w:type="character" w:styleId="130" w:customStyle="1">
    <w:name w:val="_0_本文（4） (文字) (文字)"/>
    <w:next w:val="130"/>
    <w:link w:val="129"/>
    <w:uiPriority w:val="0"/>
    <w:rPr>
      <w:rFonts w:ascii="ＭＳ 明朝" w:hAnsi="ＭＳ 明朝"/>
      <w:spacing w:val="10"/>
      <w:sz w:val="24"/>
    </w:rPr>
  </w:style>
  <w:style w:type="paragraph" w:styleId="131" w:customStyle="1">
    <w:name w:val="◯本文"/>
    <w:basedOn w:val="0"/>
    <w:next w:val="131"/>
    <w:link w:val="0"/>
    <w:uiPriority w:val="0"/>
    <w:qFormat/>
    <w:pPr>
      <w:ind w:left="642" w:leftChars="300" w:firstLine="214" w:firstLineChars="100"/>
    </w:pPr>
    <w:rPr>
      <w:color w:val="000000" w:themeColor="text1"/>
      <w:sz w:val="21"/>
    </w:rPr>
  </w:style>
  <w:style w:type="paragraph" w:styleId="132" w:customStyle="1">
    <w:name w:val="_08_本文"/>
    <w:next w:val="132"/>
    <w:link w:val="133"/>
    <w:uiPriority w:val="0"/>
    <w:pPr>
      <w:ind w:left="400" w:leftChars="400" w:right="-50" w:rightChars="-50" w:firstLine="100" w:firstLineChars="100"/>
      <w:jc w:val="both"/>
    </w:pPr>
    <w:rPr>
      <w:rFonts w:ascii="ＭＳ 明朝" w:hAnsi="ＭＳ 明朝"/>
      <w:spacing w:val="-4"/>
      <w:kern w:val="2"/>
      <w:sz w:val="21"/>
    </w:rPr>
  </w:style>
  <w:style w:type="character" w:styleId="133" w:customStyle="1">
    <w:name w:val="_08_本文 (文字) (文字)"/>
    <w:basedOn w:val="10"/>
    <w:next w:val="133"/>
    <w:link w:val="132"/>
    <w:uiPriority w:val="0"/>
    <w:rPr>
      <w:rFonts w:ascii="ＭＳ 明朝" w:hAnsi="ＭＳ 明朝"/>
      <w:spacing w:val="-4"/>
      <w:kern w:val="2"/>
      <w:sz w:val="21"/>
    </w:rPr>
  </w:style>
  <w:style w:type="paragraph" w:styleId="134" w:customStyle="1">
    <w:name w:val="_06_■"/>
    <w:next w:val="134"/>
    <w:link w:val="0"/>
    <w:uiPriority w:val="0"/>
    <w:pPr>
      <w:ind w:left="857" w:leftChars="400" w:right="-214" w:rightChars="-100"/>
    </w:pPr>
    <w:rPr>
      <w:rFonts w:ascii="ＭＳ 明朝" w:hAnsi="ＭＳ 明朝" w:eastAsia="ＭＳ ゴシック"/>
      <w:kern w:val="2"/>
      <w:sz w:val="21"/>
    </w:rPr>
  </w:style>
  <w:style w:type="paragraph" w:styleId="135" w:customStyle="1">
    <w:name w:val="■タイトル"/>
    <w:basedOn w:val="0"/>
    <w:next w:val="135"/>
    <w:link w:val="136"/>
    <w:uiPriority w:val="0"/>
    <w:pPr>
      <w:spacing w:before="105" w:beforeLines="30" w:beforeAutospacing="0" w:after="70" w:afterLines="20" w:afterAutospacing="0"/>
      <w:ind w:left="321" w:leftChars="150" w:firstLine="214" w:firstLineChars="100"/>
    </w:pPr>
    <w:rPr>
      <w:rFonts w:ascii="ＭＳ ゴシック" w:hAnsi="ＭＳ ゴシック" w:eastAsia="ＭＳ ゴシック"/>
      <w:color w:val="000000" w:themeColor="text1"/>
      <w:sz w:val="21"/>
    </w:rPr>
  </w:style>
  <w:style w:type="character" w:styleId="136" w:customStyle="1">
    <w:name w:val="■タイトル (文字)"/>
    <w:basedOn w:val="10"/>
    <w:next w:val="136"/>
    <w:link w:val="135"/>
    <w:uiPriority w:val="0"/>
    <w:rPr>
      <w:rFonts w:ascii="ＭＳ ゴシック" w:hAnsi="ＭＳ ゴシック" w:eastAsia="ＭＳ ゴシック"/>
      <w:color w:val="000000" w:themeColor="text1"/>
      <w:kern w:val="2"/>
      <w:sz w:val="21"/>
    </w:rPr>
  </w:style>
  <w:style w:type="paragraph" w:styleId="137" w:customStyle="1">
    <w:name w:val="章"/>
    <w:basedOn w:val="0"/>
    <w:next w:val="137"/>
    <w:link w:val="0"/>
    <w:uiPriority w:val="0"/>
    <w:qFormat/>
    <w:pPr>
      <w:pBdr>
        <w:top w:val="double" w:color="000000" w:themeColor="text1" w:sz="4" w:space="1"/>
        <w:bottom w:val="double" w:color="000000" w:themeColor="text1" w:sz="4" w:space="6"/>
      </w:pBdr>
      <w:shd w:val="clear" w:color="auto" w:themeFill="background1" w:themeFillTint="FF" w:themeFillShade="D9"/>
      <w:spacing w:after="175" w:afterLines="50" w:afterAutospacing="0" w:line="500" w:lineRule="exact"/>
      <w:ind w:left="428" w:leftChars="200" w:firstLine="214" w:firstLineChars="100"/>
      <w:jc w:val="center"/>
    </w:pPr>
    <w:rPr>
      <w:rFonts w:ascii="ＭＳ ゴシック" w:hAnsi="ＭＳ ゴシック" w:eastAsia="ＭＳ ゴシック"/>
      <w:color w:val="000000" w:themeColor="text1"/>
      <w:sz w:val="36"/>
    </w:rPr>
  </w:style>
  <w:style w:type="paragraph" w:styleId="138" w:customStyle="1">
    <w:name w:val="１．"/>
    <w:basedOn w:val="0"/>
    <w:next w:val="138"/>
    <w:link w:val="0"/>
    <w:uiPriority w:val="0"/>
    <w:qFormat/>
    <w:pPr>
      <w:spacing w:after="175" w:afterLines="50" w:afterAutospacing="0"/>
      <w:ind w:left="214" w:leftChars="100"/>
    </w:pPr>
    <w:rPr>
      <w:rFonts w:ascii="ＭＳ ゴシック" w:hAnsi="ＭＳ ゴシック" w:eastAsia="ＭＳ ゴシック"/>
      <w:color w:val="000000" w:themeColor="text1"/>
      <w:sz w:val="24"/>
    </w:rPr>
  </w:style>
  <w:style w:type="paragraph" w:styleId="139" w:customStyle="1">
    <w:name w:val="◯_本文"/>
    <w:basedOn w:val="0"/>
    <w:next w:val="139"/>
    <w:link w:val="0"/>
    <w:uiPriority w:val="0"/>
    <w:qFormat/>
    <w:pPr>
      <w:ind w:left="749" w:leftChars="250" w:hanging="214" w:hangingChars="100"/>
    </w:pPr>
    <w:rPr>
      <w:color w:val="000000" w:themeColor="text1"/>
      <w:sz w:val="21"/>
    </w:rPr>
  </w:style>
  <w:style w:type="paragraph" w:styleId="140" w:customStyle="1">
    <w:name w:val="１．＿"/>
    <w:basedOn w:val="0"/>
    <w:next w:val="140"/>
    <w:link w:val="0"/>
    <w:uiPriority w:val="0"/>
    <w:pPr>
      <w:pBdr>
        <w:top w:val="single" w:color="auto" w:sz="4" w:space="1"/>
        <w:left w:val="single" w:color="auto" w:sz="4" w:space="4"/>
        <w:bottom w:val="single" w:color="auto" w:sz="4" w:space="1"/>
        <w:right w:val="single" w:color="auto" w:sz="4" w:space="0"/>
      </w:pBdr>
      <w:spacing w:after="175" w:afterLines="50" w:afterAutospacing="0"/>
      <w:ind w:left="639" w:leftChars="50" w:hanging="519" w:hangingChars="200"/>
      <w:outlineLvl w:val="2"/>
    </w:pPr>
    <w:rPr>
      <w:rFonts w:ascii="Calibri" w:hAnsi="Calibri" w:eastAsia="ＭＳ ゴシック"/>
      <w:color w:val="000000"/>
      <w:sz w:val="24"/>
    </w:rPr>
  </w:style>
  <w:style w:type="paragraph" w:styleId="141" w:customStyle="1">
    <w:name w:val="節"/>
    <w:basedOn w:val="0"/>
    <w:next w:val="141"/>
    <w:link w:val="0"/>
    <w:uiPriority w:val="0"/>
    <w:qFormat/>
    <w:pPr>
      <w:spacing w:after="175" w:afterLines="50" w:afterAutospacing="0"/>
      <w:ind w:left="214" w:leftChars="100" w:firstLine="214" w:firstLineChars="100"/>
    </w:pPr>
    <w:rPr>
      <w:rFonts w:ascii="ＭＳ ゴシック" w:hAnsi="ＭＳ ゴシック" w:eastAsia="ＭＳ ゴシック"/>
      <w:color w:val="000000" w:themeColor="text1"/>
      <w:sz w:val="24"/>
    </w:rPr>
  </w:style>
  <w:style w:type="paragraph" w:styleId="142" w:customStyle="1">
    <w:name w:val="①本文"/>
    <w:basedOn w:val="0"/>
    <w:next w:val="142"/>
    <w:link w:val="0"/>
    <w:uiPriority w:val="0"/>
    <w:qFormat/>
    <w:pPr>
      <w:ind w:left="428" w:leftChars="200" w:firstLine="214" w:firstLineChars="100"/>
    </w:pPr>
    <w:rPr>
      <w:color w:val="000000" w:themeColor="text1"/>
    </w:rPr>
  </w:style>
  <w:style w:type="paragraph" w:styleId="143" w:customStyle="1">
    <w:name w:val="１．_本文"/>
    <w:basedOn w:val="131"/>
    <w:next w:val="143"/>
    <w:link w:val="0"/>
    <w:uiPriority w:val="0"/>
    <w:qFormat/>
    <w:pPr>
      <w:ind w:left="200" w:leftChars="200"/>
    </w:pPr>
    <w:rPr>
      <w:sz w:val="22"/>
    </w:rPr>
  </w:style>
  <w:style w:type="paragraph" w:styleId="144" w:customStyle="1">
    <w:name w:val="_表(タイトル)"/>
    <w:next w:val="144"/>
    <w:link w:val="0"/>
    <w:uiPriority w:val="0"/>
    <w:pPr>
      <w:spacing w:before="105" w:beforeLines="30" w:beforeAutospacing="0" w:after="70" w:afterLines="20" w:afterAutospacing="0" w:line="0" w:lineRule="atLeast"/>
      <w:ind w:left="574" w:leftChars="250"/>
      <w:jc w:val="center"/>
    </w:pPr>
    <w:rPr>
      <w:rFonts w:ascii="ＭＳ 明朝" w:hAnsi="ＭＳ 明朝" w:eastAsia="ＭＳ ゴシック"/>
      <w:kern w:val="2"/>
    </w:rPr>
  </w:style>
  <w:style w:type="paragraph" w:styleId="145" w:customStyle="1">
    <w:name w:val="１．_"/>
    <w:basedOn w:val="0"/>
    <w:next w:val="145"/>
    <w:link w:val="0"/>
    <w:uiPriority w:val="0"/>
    <w:qFormat/>
    <w:pPr>
      <w:widowControl w:val="1"/>
      <w:pBdr>
        <w:top w:val="double" w:color="auto" w:sz="4" w:space="1"/>
        <w:bottom w:val="thinThickSmallGap" w:color="auto" w:sz="12" w:space="2"/>
      </w:pBdr>
      <w:shd w:val="clear" w:color="auto" w:themeFill="background1" w:themeFillTint="FF" w:themeFillShade="F2"/>
      <w:spacing w:line="360" w:lineRule="auto"/>
      <w:ind w:left="428" w:leftChars="200" w:firstLine="214" w:firstLineChars="100"/>
      <w:jc w:val="center"/>
    </w:pPr>
    <w:rPr>
      <w:rFonts w:ascii="ＭＳ ゴシック" w:hAnsi="ＭＳ ゴシック" w:eastAsia="ＭＳ ゴシック"/>
      <w:color w:val="000000" w:themeColor="text1"/>
      <w:sz w:val="24"/>
    </w:rPr>
  </w:style>
  <w:style w:type="paragraph" w:styleId="146" w:customStyle="1">
    <w:name w:val="01_Ⅰ"/>
    <w:basedOn w:val="0"/>
    <w:next w:val="146"/>
    <w:link w:val="0"/>
    <w:uiPriority w:val="0"/>
    <w:pPr>
      <w:ind w:left="428" w:leftChars="200" w:firstLine="214" w:firstLineChars="100"/>
      <w:jc w:val="center"/>
      <w:outlineLvl w:val="0"/>
    </w:pPr>
    <w:rPr>
      <w:rFonts w:ascii="FG角ｺﾞｼｯｸ体Ca-M" w:hAnsi="FG角ｺﾞｼｯｸ体Ca-M" w:eastAsia="FG角ｺﾞｼｯｸ体Ca-M"/>
      <w:color w:val="000000" w:themeColor="text1"/>
      <w:sz w:val="32"/>
    </w:rPr>
  </w:style>
  <w:style w:type="paragraph" w:styleId="147" w:customStyle="1">
    <w:name w:val="_0_タイトル（グラフ）"/>
    <w:next w:val="147"/>
    <w:link w:val="0"/>
    <w:uiPriority w:val="0"/>
    <w:pPr>
      <w:shd w:val="solid" w:color="FFFFFF" w:fill="FFFFFF"/>
      <w:spacing w:line="0" w:lineRule="atLeast"/>
      <w:jc w:val="center"/>
    </w:pPr>
    <w:rPr>
      <w:rFonts w:ascii="ＭＳ 明朝" w:hAnsi="ＭＳ 明朝"/>
      <w:kern w:val="2"/>
    </w:rPr>
  </w:style>
  <w:style w:type="paragraph" w:styleId="148" w:customStyle="1">
    <w:name w:val="09_目次スペース用"/>
    <w:next w:val="148"/>
    <w:link w:val="0"/>
    <w:uiPriority w:val="0"/>
    <w:pPr>
      <w:spacing w:line="100" w:lineRule="exact"/>
      <w:ind w:left="459" w:leftChars="200" w:firstLine="219" w:firstLineChars="100"/>
    </w:pPr>
    <w:rPr>
      <w:rFonts w:ascii="ＭＳ 明朝" w:hAnsi="ＭＳ 明朝"/>
      <w:color w:val="FFFFFF"/>
      <w:kern w:val="2"/>
      <w:sz w:val="21"/>
    </w:rPr>
  </w:style>
  <w:style w:type="paragraph" w:styleId="149" w:customStyle="1">
    <w:name w:val="※注訳"/>
    <w:next w:val="149"/>
    <w:link w:val="0"/>
    <w:uiPriority w:val="0"/>
    <w:pPr>
      <w:spacing w:line="0" w:lineRule="atLeast"/>
      <w:ind w:left="400" w:leftChars="200" w:hanging="200" w:hangingChars="200"/>
      <w:jc w:val="both"/>
    </w:pPr>
    <w:rPr>
      <w:rFonts w:ascii="ＭＳ ゴシック" w:hAnsi="ＭＳ ゴシック" w:eastAsia="ＭＳ ゴシック"/>
      <w:kern w:val="2"/>
      <w:sz w:val="18"/>
    </w:rPr>
  </w:style>
  <w:style w:type="paragraph" w:styleId="150" w:customStyle="1">
    <w:name w:val="_Ⅴ_意見記述内容"/>
    <w:next w:val="150"/>
    <w:link w:val="151"/>
    <w:uiPriority w:val="0"/>
    <w:pPr>
      <w:widowControl w:val="0"/>
      <w:spacing w:line="0" w:lineRule="atLeast"/>
      <w:jc w:val="both"/>
    </w:pPr>
    <w:rPr>
      <w:rFonts w:ascii="ＭＳ 明朝" w:hAnsi="ＭＳ 明朝"/>
      <w:spacing w:val="-4"/>
    </w:rPr>
  </w:style>
  <w:style w:type="character" w:styleId="151" w:customStyle="1">
    <w:name w:val="_Ⅴ_意見記述内容 (文字)"/>
    <w:basedOn w:val="10"/>
    <w:next w:val="151"/>
    <w:link w:val="150"/>
    <w:uiPriority w:val="0"/>
    <w:rPr>
      <w:rFonts w:ascii="ＭＳ 明朝" w:hAnsi="ＭＳ 明朝"/>
      <w:spacing w:val="-4"/>
    </w:rPr>
  </w:style>
  <w:style w:type="paragraph" w:styleId="152" w:customStyle="1">
    <w:name w:val="_Ⅴ_(箇条)意見記述内容"/>
    <w:basedOn w:val="150"/>
    <w:next w:val="152"/>
    <w:link w:val="153"/>
    <w:uiPriority w:val="0"/>
    <w:pPr>
      <w:ind w:left="100" w:hanging="100" w:hangingChars="100"/>
    </w:pPr>
  </w:style>
  <w:style w:type="character" w:styleId="153" w:customStyle="1">
    <w:name w:val="_Ⅴ_(箇条)意見記述内容 (文字)"/>
    <w:basedOn w:val="151"/>
    <w:next w:val="153"/>
    <w:link w:val="152"/>
    <w:uiPriority w:val="0"/>
    <w:rPr>
      <w:rFonts w:ascii="ＭＳ 明朝" w:hAnsi="ＭＳ 明朝"/>
      <w:spacing w:val="-4"/>
    </w:rPr>
  </w:style>
  <w:style w:type="paragraph" w:styleId="154" w:customStyle="1">
    <w:name w:val="00_※"/>
    <w:next w:val="154"/>
    <w:link w:val="0"/>
    <w:uiPriority w:val="0"/>
    <w:pPr>
      <w:spacing w:line="0" w:lineRule="atLeast"/>
      <w:ind w:left="574" w:leftChars="250"/>
    </w:pPr>
    <w:rPr>
      <w:rFonts w:ascii="ＭＳ 明朝" w:hAnsi="ＭＳ 明朝" w:eastAsia="ＭＳ ゴシック"/>
      <w:kern w:val="2"/>
      <w:sz w:val="18"/>
    </w:rPr>
  </w:style>
  <w:style w:type="paragraph" w:styleId="155" w:customStyle="1">
    <w:name w:val="00_本文＜＞"/>
    <w:next w:val="155"/>
    <w:link w:val="0"/>
    <w:uiPriority w:val="0"/>
    <w:pPr>
      <w:spacing w:before="140" w:beforeLines="40" w:beforeAutospacing="0"/>
      <w:ind w:left="793" w:leftChars="250" w:hanging="219" w:hangingChars="100"/>
    </w:pPr>
    <w:rPr>
      <w:rFonts w:ascii="ＭＳ 明朝" w:hAnsi="ＭＳ 明朝" w:eastAsia="ＭＳ ゴシック"/>
      <w:kern w:val="2"/>
      <w:sz w:val="21"/>
    </w:rPr>
  </w:style>
  <w:style w:type="paragraph" w:styleId="156" w:customStyle="1">
    <w:name w:val="00_本文①"/>
    <w:next w:val="156"/>
    <w:link w:val="0"/>
    <w:uiPriority w:val="0"/>
    <w:pPr>
      <w:ind w:left="1022" w:leftChars="350" w:hanging="219" w:hangingChars="100"/>
    </w:pPr>
    <w:rPr>
      <w:rFonts w:ascii="ＭＳ 明朝" w:hAnsi="ＭＳ 明朝"/>
      <w:kern w:val="2"/>
      <w:sz w:val="21"/>
    </w:rPr>
  </w:style>
  <w:style w:type="paragraph" w:styleId="157" w:customStyle="1">
    <w:name w:val="00_本文２"/>
    <w:next w:val="157"/>
    <w:link w:val="0"/>
    <w:uiPriority w:val="0"/>
    <w:pPr>
      <w:ind w:left="574" w:leftChars="250" w:firstLine="219" w:firstLineChars="100"/>
    </w:pPr>
    <w:rPr>
      <w:rFonts w:ascii="ＭＳ 明朝" w:hAnsi="ＭＳ 明朝"/>
      <w:kern w:val="2"/>
      <w:sz w:val="21"/>
    </w:rPr>
  </w:style>
  <w:style w:type="paragraph" w:styleId="158" w:customStyle="1">
    <w:name w:val="00_本文３"/>
    <w:next w:val="158"/>
    <w:link w:val="0"/>
    <w:uiPriority w:val="0"/>
    <w:pPr>
      <w:ind w:left="1033" w:leftChars="450" w:firstLine="219" w:firstLineChars="100"/>
    </w:pPr>
    <w:rPr>
      <w:rFonts w:ascii="ＭＳ 明朝" w:hAnsi="ＭＳ 明朝"/>
      <w:kern w:val="2"/>
      <w:sz w:val="21"/>
    </w:rPr>
  </w:style>
  <w:style w:type="paragraph" w:styleId="159" w:customStyle="1">
    <w:name w:val="03_(1)"/>
    <w:next w:val="159"/>
    <w:link w:val="0"/>
    <w:uiPriority w:val="0"/>
    <w:pPr>
      <w:spacing w:before="35" w:beforeLines="10" w:beforeAutospacing="0" w:after="70" w:afterLines="20" w:afterAutospacing="0"/>
      <w:ind w:left="321" w:leftChars="150"/>
      <w:outlineLvl w:val="2"/>
    </w:pPr>
    <w:rPr>
      <w:rFonts w:asciiTheme="majorEastAsia" w:hAnsiTheme="majorEastAsia" w:eastAsiaTheme="majorEastAsia"/>
      <w:kern w:val="2"/>
      <w:sz w:val="22"/>
    </w:rPr>
  </w:style>
  <w:style w:type="paragraph" w:styleId="160" w:customStyle="1">
    <w:name w:val="04_①"/>
    <w:next w:val="160"/>
    <w:link w:val="0"/>
    <w:uiPriority w:val="0"/>
    <w:pPr>
      <w:spacing w:before="350" w:beforeLines="100" w:beforeAutospacing="0" w:after="70" w:afterLines="20" w:afterAutospacing="0"/>
      <w:ind w:left="573" w:leftChars="150" w:hanging="229" w:hangingChars="100"/>
      <w:outlineLvl w:val="3"/>
    </w:pPr>
    <w:rPr>
      <w:rFonts w:ascii="ＭＳ 明朝" w:hAnsi="ＭＳ 明朝" w:eastAsia="ＭＳ ゴシック"/>
      <w:kern w:val="2"/>
      <w:sz w:val="22"/>
    </w:rPr>
  </w:style>
  <w:style w:type="paragraph" w:styleId="161" w:customStyle="1">
    <w:name w:val="_0_本文"/>
    <w:next w:val="161"/>
    <w:link w:val="0"/>
    <w:uiPriority w:val="0"/>
    <w:pPr>
      <w:ind w:left="209" w:leftChars="100" w:firstLine="209" w:firstLineChars="100"/>
      <w:jc w:val="both"/>
    </w:pPr>
    <w:rPr>
      <w:rFonts w:ascii="ＭＳ 明朝" w:hAnsi="ＭＳ 明朝"/>
      <w:sz w:val="21"/>
    </w:rPr>
  </w:style>
  <w:style w:type="paragraph" w:styleId="162" w:customStyle="1">
    <w:name w:val="_表(項目_左寄せ)VBA"/>
    <w:next w:val="162"/>
    <w:link w:val="0"/>
    <w:uiPriority w:val="0"/>
    <w:pPr>
      <w:spacing w:line="0" w:lineRule="atLeast"/>
      <w:jc w:val="both"/>
    </w:pPr>
    <w:rPr>
      <w:rFonts w:ascii="ＭＳ ゴシック" w:hAnsi="ＭＳ ゴシック" w:eastAsia="ＭＳ ゴシック"/>
      <w:sz w:val="18"/>
    </w:rPr>
  </w:style>
  <w:style w:type="paragraph" w:styleId="163" w:customStyle="1">
    <w:name w:val="_表(項目_中央)VBA"/>
    <w:next w:val="163"/>
    <w:link w:val="0"/>
    <w:uiPriority w:val="0"/>
    <w:pPr>
      <w:widowControl w:val="0"/>
      <w:spacing w:line="0" w:lineRule="atLeast"/>
      <w:jc w:val="center"/>
    </w:pPr>
    <w:rPr>
      <w:rFonts w:ascii="ＭＳ ゴシック" w:hAnsi="ＭＳ ゴシック" w:eastAsia="ＭＳ ゴシック"/>
      <w:sz w:val="18"/>
    </w:rPr>
  </w:style>
  <w:style w:type="paragraph" w:styleId="164" w:customStyle="1">
    <w:name w:val="_表(数値)VBA"/>
    <w:next w:val="164"/>
    <w:link w:val="0"/>
    <w:uiPriority w:val="0"/>
    <w:pPr>
      <w:autoSpaceDE w:val="0"/>
      <w:autoSpaceDN w:val="0"/>
      <w:spacing w:line="0" w:lineRule="atLeast"/>
      <w:ind w:left="-10" w:leftChars="-10" w:right="-10" w:rightChars="-10"/>
      <w:jc w:val="right"/>
    </w:pPr>
    <w:rPr>
      <w:rFonts w:ascii="ＭＳ ゴシック" w:hAnsi="ＭＳ ゴシック" w:eastAsia="ＭＳ ゴシック"/>
      <w:spacing w:val="-4"/>
      <w:w w:val="85"/>
      <w:sz w:val="18"/>
    </w:rPr>
  </w:style>
  <w:style w:type="paragraph" w:styleId="165" w:customStyle="1">
    <w:name w:val="_表(数値_中央)VBA"/>
    <w:basedOn w:val="164"/>
    <w:next w:val="165"/>
    <w:link w:val="0"/>
    <w:uiPriority w:val="0"/>
    <w:pPr>
      <w:widowControl w:val="0"/>
      <w:ind w:left="-22" w:right="-22"/>
      <w:jc w:val="center"/>
    </w:pPr>
  </w:style>
  <w:style w:type="paragraph" w:styleId="166" w:customStyle="1">
    <w:name w:val="_表(タイトル前と間の行)"/>
    <w:next w:val="166"/>
    <w:link w:val="0"/>
    <w:uiPriority w:val="0"/>
    <w:pPr>
      <w:spacing w:line="0" w:lineRule="atLeast"/>
      <w:ind w:left="574" w:leftChars="250"/>
    </w:pPr>
    <w:rPr>
      <w:rFonts w:ascii="ＭＳ 明朝" w:hAnsi="ＭＳ 明朝" w:eastAsia="ＭＳ ゴシック"/>
      <w:kern w:val="2"/>
    </w:rPr>
  </w:style>
  <w:style w:type="paragraph" w:styleId="167" w:customStyle="1">
    <w:name w:val="考察02_1."/>
    <w:basedOn w:val="0"/>
    <w:next w:val="167"/>
    <w:link w:val="0"/>
    <w:uiPriority w:val="0"/>
    <w:pPr>
      <w:ind w:left="428" w:leftChars="200" w:firstLine="214" w:firstLineChars="100"/>
    </w:pPr>
    <w:rPr>
      <w:rFonts w:ascii="ＭＳ ゴシック" w:hAnsi="ＭＳ ゴシック" w:eastAsia="ＭＳ ゴシック"/>
      <w:color w:val="000000" w:themeColor="text1"/>
      <w:sz w:val="24"/>
    </w:rPr>
  </w:style>
  <w:style w:type="paragraph" w:styleId="168" w:customStyle="1">
    <w:name w:val="_意見（03＜タイトル＞）"/>
    <w:next w:val="168"/>
    <w:link w:val="169"/>
    <w:uiPriority w:val="0"/>
    <w:pPr>
      <w:ind w:left="150" w:leftChars="150"/>
      <w:jc w:val="both"/>
      <w:textAlignment w:val="center"/>
      <w:outlineLvl w:val="3"/>
    </w:pPr>
    <w:rPr>
      <w:rFonts w:ascii="ＭＳ ゴシック" w:hAnsi="ＭＳ ゴシック" w:eastAsia="ＭＳ ゴシック"/>
      <w:color w:val="000000"/>
      <w:kern w:val="2"/>
      <w:sz w:val="21"/>
    </w:rPr>
  </w:style>
  <w:style w:type="character" w:styleId="169" w:customStyle="1">
    <w:name w:val="_意見（03＜タイトル＞） (文字)"/>
    <w:basedOn w:val="10"/>
    <w:next w:val="169"/>
    <w:link w:val="168"/>
    <w:uiPriority w:val="0"/>
    <w:rPr>
      <w:rFonts w:ascii="ＭＳ ゴシック" w:hAnsi="ＭＳ ゴシック" w:eastAsia="ＭＳ ゴシック"/>
      <w:color w:val="000000"/>
      <w:kern w:val="2"/>
      <w:sz w:val="21"/>
    </w:rPr>
  </w:style>
  <w:style w:type="paragraph" w:styleId="170" w:customStyle="1">
    <w:name w:val="_意見（04上項目）"/>
    <w:next w:val="170"/>
    <w:link w:val="171"/>
    <w:uiPriority w:val="0"/>
    <w:pPr>
      <w:jc w:val="center"/>
      <w:textAlignment w:val="center"/>
    </w:pPr>
    <w:rPr>
      <w:rFonts w:ascii="ＭＳ ゴシック" w:hAnsi="ＭＳ ゴシック" w:eastAsia="ＭＳ ゴシック"/>
      <w:color w:val="000000"/>
      <w:kern w:val="2"/>
      <w:sz w:val="21"/>
    </w:rPr>
  </w:style>
  <w:style w:type="character" w:styleId="171" w:customStyle="1">
    <w:name w:val="_意見（04上項目） (文字)"/>
    <w:basedOn w:val="10"/>
    <w:next w:val="171"/>
    <w:link w:val="170"/>
    <w:uiPriority w:val="0"/>
    <w:rPr>
      <w:rFonts w:ascii="ＭＳ ゴシック" w:hAnsi="ＭＳ ゴシック" w:eastAsia="ＭＳ ゴシック"/>
      <w:color w:val="000000"/>
      <w:kern w:val="2"/>
      <w:sz w:val="21"/>
    </w:rPr>
  </w:style>
  <w:style w:type="paragraph" w:styleId="172" w:customStyle="1">
    <w:name w:val="_意見（04左項目）"/>
    <w:next w:val="172"/>
    <w:link w:val="173"/>
    <w:uiPriority w:val="0"/>
    <w:pPr>
      <w:spacing w:line="320" w:lineRule="exact"/>
      <w:jc w:val="center"/>
      <w:textAlignment w:val="center"/>
    </w:pPr>
    <w:rPr>
      <w:rFonts w:ascii="ＭＳ 明朝" w:hAnsi="ＭＳ 明朝"/>
      <w:color w:val="000000"/>
      <w:kern w:val="2"/>
    </w:rPr>
  </w:style>
  <w:style w:type="character" w:styleId="173" w:customStyle="1">
    <w:name w:val="_意見（04左項目） (文字)"/>
    <w:basedOn w:val="10"/>
    <w:next w:val="173"/>
    <w:link w:val="172"/>
    <w:uiPriority w:val="0"/>
    <w:rPr>
      <w:rFonts w:ascii="ＭＳ 明朝" w:hAnsi="ＭＳ 明朝"/>
      <w:color w:val="000000"/>
      <w:kern w:val="2"/>
    </w:rPr>
  </w:style>
  <w:style w:type="paragraph" w:styleId="174" w:customStyle="1">
    <w:name w:val="_意見（04記述）"/>
    <w:next w:val="174"/>
    <w:link w:val="175"/>
    <w:uiPriority w:val="0"/>
    <w:pPr>
      <w:spacing w:line="320" w:lineRule="exact"/>
      <w:jc w:val="both"/>
      <w:textAlignment w:val="center"/>
    </w:pPr>
    <w:rPr>
      <w:rFonts w:ascii="ＭＳ 明朝" w:hAnsi="ＭＳ 明朝"/>
      <w:color w:val="000000"/>
      <w:kern w:val="2"/>
    </w:rPr>
  </w:style>
  <w:style w:type="character" w:styleId="175" w:customStyle="1">
    <w:name w:val="_意見（04記述） (文字)"/>
    <w:basedOn w:val="10"/>
    <w:next w:val="175"/>
    <w:link w:val="174"/>
    <w:uiPriority w:val="0"/>
    <w:rPr>
      <w:rFonts w:ascii="ＭＳ 明朝" w:hAnsi="ＭＳ 明朝"/>
      <w:color w:val="000000"/>
      <w:kern w:val="2"/>
    </w:rPr>
  </w:style>
  <w:style w:type="paragraph" w:styleId="176" w:customStyle="1">
    <w:name w:val="_意見（04カテゴリ）"/>
    <w:next w:val="176"/>
    <w:link w:val="177"/>
    <w:uiPriority w:val="0"/>
    <w:pPr>
      <w:spacing w:line="320" w:lineRule="exact"/>
      <w:jc w:val="both"/>
      <w:textAlignment w:val="center"/>
    </w:pPr>
    <w:rPr>
      <w:rFonts w:ascii="ＭＳ 明朝" w:hAnsi="ＭＳ 明朝"/>
      <w:color w:val="FFFFFF"/>
      <w:w w:val="90"/>
      <w:kern w:val="2"/>
      <w:sz w:val="18"/>
    </w:rPr>
  </w:style>
  <w:style w:type="character" w:styleId="177" w:customStyle="1">
    <w:name w:val="_意見（04カテゴリ） (文字)"/>
    <w:basedOn w:val="10"/>
    <w:next w:val="177"/>
    <w:link w:val="176"/>
    <w:uiPriority w:val="0"/>
    <w:rPr>
      <w:rFonts w:ascii="ＭＳ 明朝" w:hAnsi="ＭＳ 明朝"/>
      <w:color w:val="FFFFFF"/>
      <w:w w:val="90"/>
      <w:kern w:val="2"/>
      <w:sz w:val="18"/>
    </w:rPr>
  </w:style>
  <w:style w:type="paragraph" w:styleId="178" w:customStyle="1">
    <w:name w:val="01_03_問１"/>
    <w:next w:val="178"/>
    <w:link w:val="0"/>
    <w:uiPriority w:val="0"/>
    <w:pPr>
      <w:numPr>
        <w:ilvl w:val="2"/>
        <w:numId w:val="1"/>
      </w:numPr>
      <w:spacing w:after="105" w:afterLines="30" w:afterAutospacing="0"/>
      <w:jc w:val="both"/>
      <w:outlineLvl w:val="2"/>
    </w:pPr>
    <w:rPr>
      <w:rFonts w:ascii="FG丸ｺﾞｼｯｸ体Ca-B" w:hAnsi="FG丸ｺﾞｼｯｸ体Ca-B" w:eastAsia="FG丸ｺﾞｼｯｸ体Ca-B"/>
      <w:color w:val="008000"/>
      <w:sz w:val="22"/>
    </w:rPr>
  </w:style>
  <w:style w:type="paragraph" w:styleId="179" w:customStyle="1">
    <w:name w:val="01_04_問10"/>
    <w:next w:val="179"/>
    <w:link w:val="0"/>
    <w:uiPriority w:val="0"/>
    <w:pPr>
      <w:numPr>
        <w:ilvl w:val="3"/>
        <w:numId w:val="1"/>
      </w:numPr>
      <w:spacing w:after="105" w:afterLines="30" w:afterAutospacing="0"/>
      <w:jc w:val="both"/>
      <w:outlineLvl w:val="2"/>
    </w:pPr>
    <w:rPr>
      <w:rFonts w:ascii="FG丸ｺﾞｼｯｸ体Ca-B" w:hAnsi="FG丸ｺﾞｼｯｸ体Ca-B" w:eastAsia="FG丸ｺﾞｼｯｸ体Ca-B"/>
      <w:color w:val="FF0000"/>
      <w:sz w:val="22"/>
    </w:rPr>
  </w:style>
  <w:style w:type="paragraph" w:styleId="180" w:customStyle="1">
    <w:name w:val="01_10_選択肢"/>
    <w:next w:val="180"/>
    <w:link w:val="0"/>
    <w:uiPriority w:val="0"/>
    <w:pPr>
      <w:autoSpaceDE w:val="0"/>
      <w:autoSpaceDN w:val="0"/>
      <w:ind w:left="500" w:leftChars="300" w:hanging="200" w:hangingChars="200"/>
    </w:pPr>
    <w:rPr>
      <w:rFonts w:ascii="ＭＳ 明朝" w:hAnsi="ＭＳ 明朝"/>
      <w:color w:val="0000FF"/>
      <w:sz w:val="22"/>
    </w:rPr>
  </w:style>
  <w:style w:type="paragraph" w:styleId="181" w:customStyle="1">
    <w:name w:val="行スペース"/>
    <w:next w:val="181"/>
    <w:link w:val="0"/>
    <w:uiPriority w:val="0"/>
    <w:pPr>
      <w:snapToGrid w:val="0"/>
      <w:spacing w:line="0" w:lineRule="atLeast"/>
      <w:ind w:firstLine="100" w:firstLineChars="100"/>
    </w:pPr>
    <w:rPr>
      <w:color w:val="FF0000"/>
      <w:sz w:val="10"/>
    </w:rPr>
  </w:style>
  <w:style w:type="paragraph" w:styleId="182" w:customStyle="1">
    <w:name w:val="01_05_（１）"/>
    <w:next w:val="182"/>
    <w:link w:val="0"/>
    <w:uiPriority w:val="0"/>
    <w:pPr>
      <w:ind w:left="300" w:hanging="300" w:hangingChars="300"/>
      <w:jc w:val="both"/>
      <w:outlineLvl w:val="4"/>
    </w:pPr>
    <w:rPr>
      <w:rFonts w:ascii="FG丸ｺﾞｼｯｸ体Ca-M" w:hAnsi="FG丸ｺﾞｼｯｸ体Ca-M" w:eastAsia="FG丸ｺﾞｼｯｸ体Ca-M"/>
      <w:color w:val="800000"/>
      <w:sz w:val="22"/>
    </w:rPr>
  </w:style>
  <w:style w:type="paragraph" w:styleId="183" w:customStyle="1">
    <w:name w:val="01_11_＜　＞"/>
    <w:next w:val="183"/>
    <w:link w:val="0"/>
    <w:uiPriority w:val="0"/>
    <w:pPr>
      <w:spacing w:after="105" w:afterLines="30" w:afterAutospacing="0" w:line="0" w:lineRule="atLeast"/>
    </w:pPr>
    <w:rPr>
      <w:rFonts w:ascii="FG丸ｺﾞｼｯｸ体Ca-U" w:hAnsi="FG丸ｺﾞｼｯｸ体Ca-U" w:eastAsia="FG丸ｺﾞｼｯｸ体Ca-U"/>
      <w:sz w:val="24"/>
    </w:rPr>
  </w:style>
  <w:style w:type="paragraph" w:styleId="184" w:customStyle="1">
    <w:name w:val="章２"/>
    <w:basedOn w:val="137"/>
    <w:next w:val="184"/>
    <w:link w:val="0"/>
    <w:uiPriority w:val="0"/>
    <w:qFormat/>
    <w:pPr>
      <w:shd w:val="clear" w:color="auto" w:fill="auto"/>
    </w:pPr>
  </w:style>
  <w:style w:type="paragraph" w:styleId="185" w:customStyle="1">
    <w:name w:val="現状・課題"/>
    <w:next w:val="185"/>
    <w:link w:val="0"/>
    <w:uiPriority w:val="0"/>
    <w:qFormat/>
    <w:pPr>
      <w:spacing w:after="350" w:afterLines="100" w:afterAutospacing="0"/>
      <w:ind w:left="150" w:leftChars="150"/>
    </w:pPr>
    <w:rPr>
      <w:rFonts w:ascii="ＭＳ ゴシック" w:hAnsi="ＭＳ ゴシック" w:eastAsia="ＭＳ ゴシック"/>
      <w:kern w:val="2"/>
      <w:sz w:val="22"/>
    </w:rPr>
  </w:style>
  <w:style w:type="paragraph" w:styleId="186" w:customStyle="1">
    <w:name w:val="■_文"/>
    <w:basedOn w:val="0"/>
    <w:next w:val="186"/>
    <w:link w:val="0"/>
    <w:uiPriority w:val="0"/>
    <w:qFormat/>
    <w:pPr>
      <w:spacing w:line="340" w:lineRule="exact"/>
      <w:ind w:left="749" w:leftChars="350" w:right="107" w:rightChars="50" w:firstLine="214" w:firstLineChars="100"/>
    </w:pPr>
    <w:rPr>
      <w:color w:val="000000" w:themeColor="text1"/>
      <w:sz w:val="21"/>
    </w:rPr>
  </w:style>
  <w:style w:type="paragraph" w:styleId="187" w:customStyle="1">
    <w:name w:val="１）_"/>
    <w:basedOn w:val="131"/>
    <w:next w:val="187"/>
    <w:link w:val="0"/>
    <w:uiPriority w:val="0"/>
    <w:qFormat/>
  </w:style>
  <w:style w:type="paragraph" w:styleId="188" w:customStyle="1">
    <w:name w:val="00_保険料部分_表(項目_中央揃え）（糸満市障がいサービス）"/>
    <w:next w:val="188"/>
    <w:link w:val="0"/>
    <w:uiPriority w:val="0"/>
    <w:pPr>
      <w:spacing w:before="17" w:beforeLines="5" w:beforeAutospacing="0" w:after="17" w:afterLines="5" w:afterAutospacing="0" w:line="0" w:lineRule="atLeast"/>
      <w:jc w:val="center"/>
    </w:pPr>
    <w:rPr>
      <w:rFonts w:ascii="ＭＳ 明朝" w:hAnsi="ＭＳ 明朝"/>
      <w:spacing w:val="-4"/>
      <w:sz w:val="21"/>
    </w:rPr>
  </w:style>
  <w:style w:type="paragraph" w:styleId="189" w:customStyle="1">
    <w:name w:val="1._"/>
    <w:basedOn w:val="0"/>
    <w:next w:val="189"/>
    <w:link w:val="0"/>
    <w:uiPriority w:val="0"/>
    <w:qFormat/>
    <w:pPr>
      <w:spacing w:before="175" w:beforeLines="50" w:beforeAutospacing="0" w:after="350" w:afterLines="100" w:afterAutospacing="0" w:line="0" w:lineRule="atLeast"/>
    </w:pPr>
    <w:rPr>
      <w:rFonts w:ascii="ＭＳ ゴシック" w:hAnsi="ＭＳ ゴシック" w:eastAsia="ＭＳ ゴシック"/>
      <w:sz w:val="24"/>
    </w:rPr>
  </w:style>
  <w:style w:type="paragraph" w:styleId="190" w:customStyle="1">
    <w:name w:val="表中_本文"/>
    <w:basedOn w:val="142"/>
    <w:next w:val="190"/>
    <w:link w:val="0"/>
    <w:uiPriority w:val="0"/>
    <w:qFormat/>
    <w:pPr>
      <w:spacing w:before="105" w:beforeLines="30" w:beforeAutospacing="0" w:after="175" w:afterLines="50" w:afterAutospacing="0"/>
      <w:ind w:left="491" w:leftChars="20" w:right="43" w:rightChars="20" w:hanging="448" w:hangingChars="200"/>
    </w:pPr>
    <w:rPr>
      <w:color w:val="auto"/>
    </w:rPr>
  </w:style>
  <w:style w:type="paragraph" w:styleId="191" w:customStyle="1">
    <w:name w:val="【１】_"/>
    <w:basedOn w:val="142"/>
    <w:next w:val="191"/>
    <w:link w:val="0"/>
    <w:uiPriority w:val="0"/>
    <w:qFormat/>
    <w:pPr>
      <w:spacing w:before="175" w:beforeLines="50" w:beforeAutospacing="0" w:after="70" w:afterLines="20" w:afterAutospacing="0"/>
      <w:ind w:left="214" w:leftChars="100" w:firstLine="0" w:firstLineChars="0"/>
    </w:pPr>
    <w:rPr>
      <w:rFonts w:ascii="ＭＳ ゴシック" w:hAnsi="ＭＳ ゴシック" w:eastAsia="ＭＳ ゴシック"/>
      <w:color w:val="auto"/>
      <w:sz w:val="24"/>
    </w:rPr>
  </w:style>
  <w:style w:type="paragraph" w:styleId="192" w:customStyle="1">
    <w:name w:val="○本文_"/>
    <w:basedOn w:val="142"/>
    <w:next w:val="192"/>
    <w:link w:val="0"/>
    <w:uiPriority w:val="0"/>
    <w:qFormat/>
    <w:pPr>
      <w:ind w:left="866" w:leftChars="300" w:hanging="224" w:hangingChars="100"/>
    </w:pPr>
    <w:rPr>
      <w:color w:val="auto"/>
    </w:rPr>
  </w:style>
  <w:style w:type="paragraph" w:styleId="193" w:customStyle="1">
    <w:name w:val="表上_行"/>
    <w:basedOn w:val="0"/>
    <w:next w:val="193"/>
    <w:link w:val="0"/>
    <w:uiPriority w:val="0"/>
    <w:qFormat/>
    <w:pPr>
      <w:spacing w:line="0" w:lineRule="atLeast"/>
      <w:ind w:left="552" w:leftChars="200" w:hanging="124" w:hangingChars="100"/>
    </w:pPr>
    <w:rPr>
      <w:sz w:val="12"/>
    </w:rPr>
  </w:style>
  <w:style w:type="paragraph" w:styleId="194" w:customStyle="1">
    <w:name w:val="章(調査票)"/>
    <w:basedOn w:val="137"/>
    <w:next w:val="194"/>
    <w:link w:val="0"/>
    <w:uiPriority w:val="0"/>
    <w:qFormat/>
    <w:pPr>
      <w:shd w:val="clear" w:color="auto" w:fill="auto"/>
      <w:spacing w:line="0" w:lineRule="atLeast"/>
      <w:ind w:left="0" w:leftChars="0" w:firstLine="0" w:firstLineChars="0"/>
    </w:pPr>
    <w:rPr>
      <w:color w:val="auto"/>
      <w:sz w:val="32"/>
    </w:rPr>
  </w:style>
  <w:style w:type="paragraph" w:styleId="195" w:customStyle="1">
    <w:name w:val="設問_分"/>
    <w:basedOn w:val="0"/>
    <w:next w:val="195"/>
    <w:link w:val="0"/>
    <w:uiPriority w:val="0"/>
    <w:qFormat/>
    <w:pPr>
      <w:spacing w:line="0" w:lineRule="atLeast"/>
      <w:ind w:left="612" w:hanging="612" w:hangingChars="300"/>
    </w:pPr>
    <w:rPr>
      <w:rFonts w:ascii="ＭＳ ゴシック" w:hAnsi="ＭＳ ゴシック" w:eastAsia="ＭＳ ゴシック"/>
      <w:color w:val="000000" w:themeColor="text1"/>
      <w:sz w:val="20"/>
    </w:rPr>
  </w:style>
  <w:style w:type="paragraph" w:styleId="196" w:customStyle="1">
    <w:name w:val="01_03_＜問１＞"/>
    <w:next w:val="196"/>
    <w:link w:val="0"/>
    <w:uiPriority w:val="0"/>
    <w:pPr>
      <w:spacing w:line="360" w:lineRule="exact"/>
      <w:ind w:left="300" w:hanging="300" w:hangingChars="300"/>
      <w:jc w:val="both"/>
      <w:outlineLvl w:val="2"/>
    </w:pPr>
    <w:rPr>
      <w:rFonts w:ascii="FGP丸ｺﾞｼｯｸ体Ca-B" w:hAnsi="FGP丸ｺﾞｼｯｸ体Ca-B" w:eastAsia="FGP丸ｺﾞｼｯｸ体Ca-B"/>
      <w:spacing w:val="-8"/>
      <w:sz w:val="23"/>
    </w:rPr>
  </w:style>
  <w:style w:type="paragraph" w:styleId="197" w:customStyle="1">
    <w:name w:val="01_04_＜問10＞"/>
    <w:next w:val="197"/>
    <w:link w:val="0"/>
    <w:uiPriority w:val="0"/>
    <w:pPr>
      <w:spacing w:line="360" w:lineRule="exact"/>
      <w:ind w:left="300" w:hanging="300" w:hangingChars="300"/>
      <w:jc w:val="both"/>
      <w:outlineLvl w:val="3"/>
    </w:pPr>
    <w:rPr>
      <w:rFonts w:ascii="FGP丸ｺﾞｼｯｸ体Ca-B" w:hAnsi="FGP丸ｺﾞｼｯｸ体Ca-B" w:eastAsia="FGP丸ｺﾞｼｯｸ体Ca-B"/>
      <w:spacing w:val="-8"/>
      <w:sz w:val="23"/>
    </w:rPr>
  </w:style>
  <w:style w:type="paragraph" w:styleId="198" w:customStyle="1">
    <w:name w:val="01_11_≪　≫"/>
    <w:next w:val="198"/>
    <w:link w:val="0"/>
    <w:uiPriority w:val="0"/>
    <w:pPr>
      <w:spacing w:before="70" w:beforeLines="20" w:beforeAutospacing="0" w:after="70" w:afterLines="20" w:afterAutospacing="0" w:line="0" w:lineRule="atLeast"/>
      <w:jc w:val="center"/>
      <w:outlineLvl w:val="1"/>
    </w:pPr>
    <w:rPr>
      <w:rFonts w:ascii="FG丸ｺﾞｼｯｸ体Ca-B" w:hAnsi="FG丸ｺﾞｼｯｸ体Ca-B" w:eastAsia="FG丸ｺﾞｼｯｸ体Ca-B"/>
      <w:sz w:val="30"/>
    </w:rPr>
  </w:style>
  <w:style w:type="paragraph" w:styleId="199" w:customStyle="1">
    <w:name w:val="01_05_＜問１-1＞"/>
    <w:next w:val="199"/>
    <w:link w:val="0"/>
    <w:uiPriority w:val="0"/>
    <w:pPr>
      <w:spacing w:line="360" w:lineRule="exact"/>
      <w:ind w:left="700" w:leftChars="400" w:hanging="300" w:hangingChars="300"/>
      <w:outlineLvl w:val="4"/>
    </w:pPr>
    <w:rPr>
      <w:rFonts w:ascii="FGP丸ｺﾞｼｯｸ体Ca-B" w:hAnsi="FGP丸ｺﾞｼｯｸ体Ca-B" w:eastAsia="FGP丸ｺﾞｼｯｸ体Ca-B"/>
      <w:spacing w:val="-8"/>
      <w:sz w:val="23"/>
    </w:rPr>
  </w:style>
  <w:style w:type="paragraph" w:styleId="200" w:customStyle="1">
    <w:name w:val="01_06_＜問10-1＞"/>
    <w:next w:val="200"/>
    <w:link w:val="0"/>
    <w:uiPriority w:val="0"/>
    <w:pPr>
      <w:spacing w:line="360" w:lineRule="exact"/>
      <w:ind w:left="300" w:hanging="300" w:hangingChars="300"/>
      <w:outlineLvl w:val="5"/>
    </w:pPr>
    <w:rPr>
      <w:rFonts w:ascii="FGP丸ｺﾞｼｯｸ体Ca-B" w:hAnsi="FGP丸ｺﾞｼｯｸ体Ca-B" w:eastAsia="FGP丸ｺﾞｼｯｸ体Ca-B"/>
      <w:spacing w:val="-8"/>
      <w:sz w:val="23"/>
    </w:rPr>
  </w:style>
  <w:style w:type="paragraph" w:styleId="201" w:customStyle="1">
    <w:name w:val="01_10_選択肢（表内）"/>
    <w:basedOn w:val="180"/>
    <w:next w:val="201"/>
    <w:link w:val="0"/>
    <w:uiPriority w:val="0"/>
    <w:pPr>
      <w:spacing w:line="460" w:lineRule="exact"/>
      <w:ind w:left="150" w:leftChars="0" w:right="30" w:rightChars="30" w:hanging="150" w:hangingChars="150"/>
      <w:jc w:val="both"/>
    </w:pPr>
    <w:rPr>
      <w:rFonts w:ascii="FG丸ｺﾞｼｯｸ体Ca-M" w:hAnsi="FG丸ｺﾞｼｯｸ体Ca-M" w:eastAsia="FG丸ｺﾞｼｯｸ体Ca-M"/>
      <w:color w:val="auto"/>
      <w:spacing w:val="-10"/>
      <w:sz w:val="23"/>
    </w:rPr>
  </w:style>
  <w:style w:type="paragraph" w:styleId="202" w:customStyle="1">
    <w:name w:val="Default"/>
    <w:next w:val="202"/>
    <w:link w:val="0"/>
    <w:uiPriority w:val="0"/>
    <w:pPr>
      <w:widowControl w:val="0"/>
      <w:autoSpaceDE w:val="0"/>
      <w:autoSpaceDN w:val="0"/>
      <w:adjustRightInd w:val="0"/>
    </w:pPr>
    <w:rPr>
      <w:rFonts w:ascii="" w:hAnsi="" w:eastAsia=""/>
      <w:color w:val="000000"/>
      <w:sz w:val="24"/>
    </w:rPr>
  </w:style>
  <w:style w:type="paragraph" w:styleId="203" w:customStyle="1">
    <w:name w:val="問１"/>
    <w:basedOn w:val="0"/>
    <w:next w:val="203"/>
    <w:link w:val="0"/>
    <w:uiPriority w:val="0"/>
    <w:pPr>
      <w:spacing w:after="70" w:afterLines="20" w:afterAutospacing="0"/>
      <w:ind w:left="710" w:hanging="710" w:hangingChars="296"/>
      <w:jc w:val="left"/>
    </w:pPr>
    <w:rPr>
      <w:rFonts w:ascii="FG丸ｺﾞｼｯｸ体Ca-M" w:hAnsi="FG丸ｺﾞｼｯｸ体Ca-M" w:eastAsia="FG丸ｺﾞｼｯｸ体Ca-M"/>
      <w:sz w:val="24"/>
    </w:rPr>
  </w:style>
  <w:style w:type="paragraph" w:styleId="204" w:customStyle="1">
    <w:name w:val="問○"/>
    <w:basedOn w:val="0"/>
    <w:next w:val="204"/>
    <w:link w:val="0"/>
    <w:uiPriority w:val="0"/>
    <w:pPr>
      <w:pBdr>
        <w:top w:val="single" w:color="auto" w:sz="4" w:space="1"/>
        <w:left w:val="single" w:color="auto" w:sz="4" w:space="4"/>
        <w:bottom w:val="single" w:color="auto" w:sz="4" w:space="1"/>
        <w:right w:val="single" w:color="auto" w:sz="4" w:space="4"/>
      </w:pBdr>
      <w:spacing w:before="35" w:beforeLines="10" w:beforeAutospacing="0" w:after="35" w:afterLines="10" w:afterAutospacing="0"/>
      <w:ind w:left="672" w:leftChars="320" w:right="109" w:rightChars="52" w:firstLine="53" w:firstLineChars="24"/>
      <w:jc w:val="left"/>
    </w:pPr>
    <w:rPr>
      <w:rFonts w:ascii="FG丸ｺﾞｼｯｸ体Ca-L" w:hAnsi="FG丸ｺﾞｼｯｸ体Ca-L" w:eastAsia="FG丸ｺﾞｼｯｸ体Ca-L"/>
    </w:rPr>
  </w:style>
  <w:style w:type="paragraph" w:styleId="205" w:customStyle="1">
    <w:name w:val="問○スペース"/>
    <w:basedOn w:val="204"/>
    <w:next w:val="205"/>
    <w:link w:val="0"/>
    <w:uiPriority w:val="0"/>
    <w:pPr>
      <w:spacing w:before="0" w:beforeLines="0" w:beforeAutospacing="0" w:after="0" w:afterLines="0" w:afterAutospacing="0" w:line="100" w:lineRule="exact"/>
      <w:ind w:firstLine="58"/>
    </w:pPr>
    <w:rPr>
      <w:sz w:val="24"/>
    </w:rPr>
  </w:style>
  <w:style w:type="paragraph" w:styleId="206" w:customStyle="1">
    <w:name w:val="余白"/>
    <w:next w:val="206"/>
    <w:link w:val="0"/>
    <w:uiPriority w:val="0"/>
    <w:qFormat/>
    <w:pPr>
      <w:spacing w:line="0" w:lineRule="atLeast"/>
      <w:ind w:left="535" w:leftChars="250" w:firstLine="104"/>
    </w:pPr>
    <w:rPr>
      <w:rFonts w:ascii="ＭＳ 明朝" w:hAnsi="ＭＳ 明朝"/>
      <w:kern w:val="2"/>
      <w:sz w:val="10"/>
    </w:rPr>
  </w:style>
  <w:style w:type="paragraph" w:styleId="207" w:customStyle="1">
    <w:name w:val="【現状・課題】"/>
    <w:next w:val="207"/>
    <w:link w:val="0"/>
    <w:uiPriority w:val="0"/>
    <w:qFormat/>
    <w:pPr>
      <w:spacing w:before="175" w:beforeLines="50" w:beforeAutospacing="0" w:after="105" w:afterLines="30" w:afterAutospacing="0"/>
      <w:ind w:left="321" w:leftChars="150"/>
    </w:pPr>
    <w:rPr>
      <w:rFonts w:ascii="ＭＳ ゴシック" w:hAnsi="ＭＳ ゴシック" w:eastAsia="ＭＳ ゴシック"/>
      <w:kern w:val="2"/>
      <w:sz w:val="22"/>
    </w:rPr>
  </w:style>
  <w:style w:type="paragraph" w:styleId="208" w:customStyle="1">
    <w:name w:val="スタイル1"/>
    <w:next w:val="208"/>
    <w:link w:val="0"/>
    <w:uiPriority w:val="0"/>
    <w:qFormat/>
    <w:pPr>
      <w:spacing w:before="245" w:beforeLines="70" w:beforeAutospacing="0"/>
    </w:pPr>
    <w:rPr>
      <w:rFonts w:ascii="ＭＳ ゴシック" w:hAnsi="ＭＳ ゴシック" w:eastAsia="ＭＳ ゴシック"/>
      <w:kern w:val="2"/>
      <w:sz w:val="24"/>
    </w:rPr>
  </w:style>
  <w:style w:type="character" w:styleId="209" w:customStyle="1">
    <w:name w:val="smrart"/>
    <w:basedOn w:val="10"/>
    <w:next w:val="209"/>
    <w:link w:val="0"/>
    <w:uiPriority w:val="0"/>
  </w:style>
  <w:style w:type="paragraph" w:styleId="210" w:customStyle="1">
    <w:name w:val="1)_"/>
    <w:basedOn w:val="0"/>
    <w:next w:val="210"/>
    <w:link w:val="0"/>
    <w:uiPriority w:val="0"/>
    <w:qFormat/>
    <w:pPr>
      <w:spacing w:after="70" w:afterLines="20" w:afterAutospacing="0"/>
      <w:ind w:left="321" w:leftChars="150"/>
    </w:pPr>
    <w:rPr>
      <w:rFonts w:ascii="ＭＳ ゴシック" w:hAnsi="ＭＳ ゴシック" w:eastAsia="ＭＳ ゴシック"/>
      <w:color w:val="000000" w:themeColor="text1"/>
    </w:rPr>
  </w:style>
  <w:style w:type="paragraph" w:styleId="211" w:customStyle="1">
    <w:name w:val="基本方針"/>
    <w:next w:val="211"/>
    <w:link w:val="0"/>
    <w:uiPriority w:val="0"/>
    <w:qFormat/>
    <w:pPr>
      <w:spacing w:before="70" w:beforeLines="20" w:beforeAutospacing="0" w:after="105" w:afterLines="30" w:afterAutospacing="0"/>
      <w:ind w:left="535" w:leftChars="250"/>
    </w:pPr>
    <w:rPr>
      <w:rFonts w:ascii="ＭＳ ゴシック" w:hAnsi="ＭＳ ゴシック" w:eastAsia="ＭＳ ゴシック"/>
      <w:color w:val="000000" w:themeColor="text1"/>
      <w:sz w:val="21"/>
    </w:rPr>
  </w:style>
  <w:style w:type="paragraph" w:styleId="212" w:customStyle="1">
    <w:name w:val="基本方針_文"/>
    <w:basedOn w:val="0"/>
    <w:next w:val="212"/>
    <w:link w:val="0"/>
    <w:uiPriority w:val="0"/>
    <w:qFormat/>
    <w:pPr>
      <w:ind w:left="642" w:leftChars="300" w:right="107" w:rightChars="50" w:firstLine="214" w:firstLineChars="100"/>
    </w:pPr>
    <w:rPr>
      <w:color w:val="000000" w:themeColor="text1"/>
      <w:sz w:val="21"/>
    </w:rPr>
  </w:style>
  <w:style w:type="paragraph" w:styleId="213" w:customStyle="1">
    <w:name w:val="資料_1"/>
    <w:basedOn w:val="0"/>
    <w:next w:val="213"/>
    <w:link w:val="0"/>
    <w:uiPriority w:val="0"/>
    <w:qFormat/>
    <w:pPr>
      <w:pBdr>
        <w:top w:val="double" w:color="auto" w:sz="4" w:space="1"/>
        <w:bottom w:val="double" w:color="auto" w:sz="4" w:space="1"/>
      </w:pBdr>
      <w:spacing w:after="240" w:afterLines="0" w:afterAutospacing="0"/>
      <w:jc w:val="left"/>
    </w:pPr>
    <w:rPr>
      <w:rFonts w:ascii="ＭＳ ゴシック" w:hAnsi="ＭＳ ゴシック" w:eastAsia="ＭＳ ゴシック"/>
      <w:color w:val="000000" w:themeColor="text1"/>
      <w:sz w:val="28"/>
    </w:rPr>
  </w:style>
  <w:style w:type="paragraph" w:styleId="214" w:customStyle="1">
    <w:name w:val="_意見（01大見出し）"/>
    <w:next w:val="214"/>
    <w:link w:val="215"/>
    <w:uiPriority w:val="0"/>
    <w:pPr>
      <w:autoSpaceDE w:val="0"/>
      <w:autoSpaceDN w:val="0"/>
      <w:jc w:val="both"/>
      <w:textAlignment w:val="center"/>
      <w:outlineLvl w:val="0"/>
    </w:pPr>
    <w:rPr>
      <w:rFonts w:ascii="ＭＳ ゴシック" w:hAnsi="ＭＳ ゴシック" w:eastAsia="ＭＳ ゴシック"/>
      <w:color w:val="000000"/>
      <w:kern w:val="2"/>
      <w:sz w:val="24"/>
    </w:rPr>
  </w:style>
  <w:style w:type="character" w:styleId="215" w:customStyle="1">
    <w:name w:val="_意見（01大見出し） (文字)"/>
    <w:basedOn w:val="10"/>
    <w:next w:val="215"/>
    <w:link w:val="214"/>
    <w:uiPriority w:val="0"/>
    <w:rPr>
      <w:rFonts w:ascii="ＭＳ ゴシック" w:hAnsi="ＭＳ ゴシック" w:eastAsia="ＭＳ ゴシック"/>
      <w:color w:val="000000"/>
      <w:kern w:val="2"/>
      <w:sz w:val="24"/>
    </w:rPr>
  </w:style>
  <w:style w:type="paragraph" w:styleId="216" w:customStyle="1">
    <w:name w:val="_意見（02中見出し）"/>
    <w:next w:val="216"/>
    <w:link w:val="217"/>
    <w:uiPriority w:val="0"/>
    <w:pPr>
      <w:autoSpaceDE w:val="0"/>
      <w:autoSpaceDN w:val="0"/>
      <w:ind w:left="50" w:leftChars="50"/>
      <w:jc w:val="both"/>
      <w:textAlignment w:val="center"/>
      <w:outlineLvl w:val="1"/>
    </w:pPr>
    <w:rPr>
      <w:rFonts w:ascii="ＭＳ ゴシック" w:hAnsi="ＭＳ ゴシック" w:eastAsia="ＭＳ ゴシック"/>
      <w:color w:val="000000"/>
      <w:kern w:val="2"/>
      <w:sz w:val="22"/>
    </w:rPr>
  </w:style>
  <w:style w:type="character" w:styleId="217" w:customStyle="1">
    <w:name w:val="_意見（02中見出し） (文字)"/>
    <w:basedOn w:val="10"/>
    <w:next w:val="217"/>
    <w:link w:val="216"/>
    <w:uiPriority w:val="0"/>
    <w:rPr>
      <w:rFonts w:ascii="ＭＳ ゴシック" w:hAnsi="ＭＳ ゴシック" w:eastAsia="ＭＳ ゴシック"/>
      <w:color w:val="000000"/>
      <w:kern w:val="2"/>
      <w:sz w:val="22"/>
    </w:rPr>
  </w:style>
  <w:style w:type="paragraph" w:styleId="218" w:customStyle="1">
    <w:name w:val="_意見（03_小見出し）"/>
    <w:next w:val="218"/>
    <w:link w:val="219"/>
    <w:uiPriority w:val="0"/>
    <w:pPr>
      <w:autoSpaceDE w:val="0"/>
      <w:autoSpaceDN w:val="0"/>
      <w:ind w:left="100" w:leftChars="100"/>
      <w:jc w:val="both"/>
      <w:textAlignment w:val="center"/>
      <w:outlineLvl w:val="2"/>
    </w:pPr>
    <w:rPr>
      <w:rFonts w:ascii="ＭＳ ゴシック" w:hAnsi="ＭＳ ゴシック" w:eastAsia="ＭＳ ゴシック"/>
      <w:color w:val="000000"/>
      <w:kern w:val="2"/>
      <w:sz w:val="21"/>
    </w:rPr>
  </w:style>
  <w:style w:type="character" w:styleId="219" w:customStyle="1">
    <w:name w:val="_意見（03_小見出し） (文字)"/>
    <w:basedOn w:val="10"/>
    <w:next w:val="219"/>
    <w:link w:val="218"/>
    <w:uiPriority w:val="0"/>
    <w:rPr>
      <w:rFonts w:ascii="ＭＳ ゴシック" w:hAnsi="ＭＳ ゴシック" w:eastAsia="ＭＳ ゴシック"/>
      <w:color w:val="000000"/>
      <w:kern w:val="2"/>
      <w:sz w:val="21"/>
    </w:rPr>
  </w:style>
  <w:style w:type="paragraph" w:styleId="220" w:customStyle="1">
    <w:name w:val="≪　≫"/>
    <w:basedOn w:val="138"/>
    <w:next w:val="220"/>
    <w:link w:val="0"/>
    <w:uiPriority w:val="0"/>
    <w:qFormat/>
    <w:pPr>
      <w:spacing w:after="105" w:afterLines="30" w:afterAutospacing="0"/>
      <w:ind w:left="0" w:leftChars="0"/>
    </w:pPr>
    <w:rPr>
      <w:color w:val="auto"/>
    </w:rPr>
  </w:style>
  <w:style w:type="paragraph" w:styleId="221" w:customStyle="1">
    <w:name w:val="点検1"/>
    <w:basedOn w:val="0"/>
    <w:next w:val="221"/>
    <w:link w:val="0"/>
    <w:uiPriority w:val="0"/>
    <w:qFormat/>
    <w:pPr>
      <w:widowControl w:val="1"/>
      <w:jc w:val="left"/>
    </w:pPr>
    <w:rPr>
      <w:rFonts w:ascii="ＭＳ ゴシック" w:hAnsi="ＭＳ ゴシック" w:eastAsia="ＭＳ ゴシック"/>
    </w:rPr>
  </w:style>
  <w:style w:type="paragraph" w:styleId="222" w:customStyle="1">
    <w:name w:val="テーマ"/>
    <w:basedOn w:val="0"/>
    <w:next w:val="222"/>
    <w:link w:val="0"/>
    <w:uiPriority w:val="0"/>
    <w:qFormat/>
    <w:pPr>
      <w:tabs>
        <w:tab w:val="left" w:leader="none" w:pos="3210"/>
      </w:tabs>
      <w:spacing w:line="0" w:lineRule="atLeast"/>
      <w:ind w:firstLine="364"/>
    </w:pPr>
    <w:rPr>
      <w:rFonts w:ascii="FGP丸ｺﾞｼｯｸ体Ca-U" w:hAnsi="FGP丸ｺﾞｼｯｸ体Ca-U" w:eastAsia="FGP丸ｺﾞｼｯｸ体Ca-U"/>
      <w:sz w:val="28"/>
    </w:rPr>
  </w:style>
  <w:style w:type="paragraph" w:styleId="223" w:customStyle="1">
    <w:name w:val="02_１．"/>
    <w:basedOn w:val="0"/>
    <w:next w:val="223"/>
    <w:link w:val="0"/>
    <w:uiPriority w:val="0"/>
    <w:qFormat/>
    <w:pPr>
      <w:widowControl w:val="1"/>
      <w:spacing w:after="87" w:afterLines="25" w:afterAutospacing="0"/>
      <w:outlineLvl w:val="1"/>
    </w:pPr>
    <w:rPr>
      <w:rFonts w:ascii="ＭＳ ゴシック" w:hAnsi="ＭＳ ゴシック" w:eastAsia="ＭＳ ゴシック"/>
      <w:kern w:val="0"/>
      <w:sz w:val="24"/>
    </w:rPr>
  </w:style>
  <w:style w:type="paragraph" w:styleId="224" w:customStyle="1">
    <w:name w:val="【現状と課題】"/>
    <w:basedOn w:val="19"/>
    <w:next w:val="224"/>
    <w:link w:val="0"/>
    <w:uiPriority w:val="0"/>
    <w:qFormat/>
    <w:pPr>
      <w:ind w:left="662" w:leftChars="200" w:hanging="214" w:hangingChars="100"/>
    </w:pPr>
  </w:style>
  <w:style w:type="paragraph" w:styleId="225" w:customStyle="1">
    <w:name w:val="施策_(１)"/>
    <w:basedOn w:val="0"/>
    <w:next w:val="225"/>
    <w:link w:val="0"/>
    <w:uiPriority w:val="0"/>
    <w:qFormat/>
    <w:pPr>
      <w:widowControl w:val="1"/>
      <w:tabs>
        <w:tab w:val="num" w:leader="none" w:pos="519"/>
      </w:tabs>
      <w:ind w:left="224" w:leftChars="100"/>
    </w:pPr>
    <w:rPr>
      <w:rFonts w:ascii="ＭＳ ゴシック" w:hAnsi="ＭＳ ゴシック" w:eastAsia="ＭＳ ゴシック"/>
      <w:sz w:val="24"/>
    </w:rPr>
  </w:style>
  <w:style w:type="paragraph" w:styleId="226" w:customStyle="1">
    <w:name w:val="今後_①"/>
    <w:next w:val="226"/>
    <w:link w:val="0"/>
    <w:uiPriority w:val="0"/>
    <w:qFormat/>
    <w:pPr>
      <w:ind w:left="672"/>
    </w:pPr>
    <w:rPr>
      <w:rFonts w:ascii="ＭＳ ゴシック" w:hAnsi="ＭＳ ゴシック" w:eastAsia="ＭＳ ゴシック"/>
      <w:kern w:val="2"/>
      <w:sz w:val="21"/>
    </w:rPr>
  </w:style>
  <w:style w:type="paragraph" w:styleId="227" w:customStyle="1">
    <w:name w:val="_05_①(北谷障害者)"/>
    <w:next w:val="227"/>
    <w:link w:val="228"/>
    <w:uiPriority w:val="0"/>
    <w:pPr>
      <w:ind w:left="344" w:leftChars="150"/>
      <w:jc w:val="both"/>
    </w:pPr>
    <w:rPr>
      <w:rFonts w:ascii="HG丸ｺﾞｼｯｸM-PRO" w:hAnsi="HG丸ｺﾞｼｯｸM-PRO" w:eastAsia="HG丸ｺﾞｼｯｸM-PRO"/>
      <w:kern w:val="2"/>
      <w:sz w:val="22"/>
    </w:rPr>
  </w:style>
  <w:style w:type="character" w:styleId="228" w:customStyle="1">
    <w:name w:val="_05_①(北谷障害者) (文字)"/>
    <w:next w:val="228"/>
    <w:link w:val="227"/>
    <w:uiPriority w:val="0"/>
    <w:rPr>
      <w:rFonts w:ascii="HG丸ｺﾞｼｯｸM-PRO" w:hAnsi="HG丸ｺﾞｼｯｸM-PRO" w:eastAsia="HG丸ｺﾞｼｯｸM-PRO"/>
      <w:kern w:val="2"/>
      <w:sz w:val="22"/>
    </w:rPr>
  </w:style>
  <w:style w:type="paragraph" w:styleId="229" w:customStyle="1">
    <w:name w:val="_00_表:本文"/>
    <w:next w:val="229"/>
    <w:link w:val="0"/>
    <w:uiPriority w:val="0"/>
    <w:qFormat/>
    <w:pPr>
      <w:spacing w:line="360" w:lineRule="exact"/>
      <w:ind w:firstLine="229"/>
      <w:jc w:val="both"/>
    </w:pPr>
    <w:rPr>
      <w:rFonts w:ascii="ＭＳ 明朝" w:hAnsi="ＭＳ 明朝"/>
      <w:sz w:val="22"/>
    </w:rPr>
  </w:style>
  <w:style w:type="paragraph" w:styleId="230" w:customStyle="1">
    <w:name w:val="_04_(1)(北谷障害者)"/>
    <w:next w:val="230"/>
    <w:link w:val="231"/>
    <w:uiPriority w:val="0"/>
    <w:pPr>
      <w:ind w:left="977" w:leftChars="100" w:hanging="748" w:hangingChars="300"/>
      <w:jc w:val="both"/>
    </w:pPr>
    <w:rPr>
      <w:rFonts w:ascii="HG丸ｺﾞｼｯｸM-PRO" w:hAnsi="HG丸ｺﾞｼｯｸM-PRO" w:eastAsia="HG丸ｺﾞｼｯｸM-PRO"/>
      <w:kern w:val="2"/>
      <w:sz w:val="24"/>
    </w:rPr>
  </w:style>
  <w:style w:type="character" w:styleId="231" w:customStyle="1">
    <w:name w:val="_04_(1)(北谷障害者) (文字)"/>
    <w:next w:val="231"/>
    <w:link w:val="230"/>
    <w:uiPriority w:val="0"/>
    <w:rPr>
      <w:rFonts w:ascii="HG丸ｺﾞｼｯｸM-PRO" w:hAnsi="HG丸ｺﾞｼｯｸM-PRO" w:eastAsia="HG丸ｺﾞｼｯｸM-PRO"/>
      <w:kern w:val="2"/>
      <w:sz w:val="24"/>
    </w:rPr>
  </w:style>
  <w:style w:type="paragraph" w:styleId="232" w:customStyle="1">
    <w:name w:val="_00_表：本文_担当課"/>
    <w:next w:val="232"/>
    <w:link w:val="0"/>
    <w:uiPriority w:val="0"/>
    <w:qFormat/>
    <w:pPr>
      <w:spacing w:line="0" w:lineRule="atLeast"/>
      <w:ind w:left="-66" w:leftChars="-30" w:right="-66" w:rightChars="-30"/>
      <w:jc w:val="center"/>
    </w:pPr>
    <w:rPr>
      <w:rFonts w:ascii="ＭＳ 明朝" w:hAnsi="ＭＳ 明朝"/>
      <w:w w:val="85"/>
    </w:rPr>
  </w:style>
  <w:style w:type="paragraph" w:styleId="233" w:customStyle="1">
    <w:name w:val="_00_表：取組内容、担当課"/>
    <w:next w:val="233"/>
    <w:link w:val="0"/>
    <w:uiPriority w:val="0"/>
    <w:qFormat/>
    <w:pPr>
      <w:jc w:val="center"/>
    </w:pPr>
    <w:rPr>
      <w:rFonts w:ascii="ＭＳ ゴシック" w:hAnsi="ＭＳ ゴシック" w:eastAsia="ＭＳ ゴシック"/>
      <w:kern w:val="2"/>
      <w:sz w:val="22"/>
    </w:rPr>
  </w:style>
  <w:style w:type="paragraph" w:styleId="234" w:customStyle="1">
    <w:name w:val="contents-lineheight-2"/>
    <w:basedOn w:val="0"/>
    <w:next w:val="234"/>
    <w:link w:val="0"/>
    <w:uiPriority w:val="0"/>
    <w:qFormat/>
    <w:pPr>
      <w:spacing w:line="408" w:lineRule="atLeast"/>
    </w:pPr>
    <w:rPr>
      <w:rFonts w:ascii="ＭＳ Ｐゴシック" w:hAnsi="ＭＳ Ｐゴシック" w:eastAsia="ＭＳ Ｐゴシック"/>
      <w:color w:val="111111"/>
      <w:sz w:val="18"/>
    </w:rPr>
  </w:style>
  <w:style w:type="paragraph" w:styleId="235" w:customStyle="1">
    <w:name w:val="dbase_tag_list_0 &gt; a_dbase_stickyIcon"/>
    <w:basedOn w:val="0"/>
    <w:next w:val="235"/>
    <w:link w:val="0"/>
    <w:uiPriority w:val="0"/>
    <w:qFormat/>
    <w:pPr>
      <w:spacing w:line="252" w:lineRule="atLeast"/>
    </w:pPr>
    <w:rPr>
      <w:rFonts w:ascii="ＭＳ Ｐゴシック" w:hAnsi="ＭＳ Ｐゴシック" w:eastAsia="ＭＳ Ｐゴシック"/>
      <w:color w:val="111111"/>
      <w:sz w:val="18"/>
    </w:rPr>
  </w:style>
  <w:style w:type="paragraph" w:styleId="236" w:customStyle="1">
    <w:name w:val="a_dbase_stickyIcon_off2"/>
    <w:basedOn w:val="0"/>
    <w:next w:val="236"/>
    <w:link w:val="0"/>
    <w:uiPriority w:val="0"/>
    <w:qFormat/>
    <w:pPr>
      <w:spacing w:line="252" w:lineRule="atLeast"/>
    </w:pPr>
    <w:rPr>
      <w:rFonts w:ascii="ＭＳ Ｐゴシック" w:hAnsi="ＭＳ Ｐゴシック" w:eastAsia="ＭＳ Ｐゴシック"/>
      <w:color w:val="0055AA"/>
      <w:sz w:val="18"/>
    </w:rPr>
  </w:style>
  <w:style w:type="character" w:styleId="237" w:customStyle="1">
    <w:name w:val="any"/>
    <w:basedOn w:val="10"/>
    <w:next w:val="237"/>
    <w:link w:val="0"/>
    <w:uiPriority w:val="0"/>
    <w:qFormat/>
  </w:style>
  <w:style w:type="character" w:styleId="238" w:customStyle="1">
    <w:name w:val="a_link"/>
    <w:basedOn w:val="10"/>
    <w:next w:val="238"/>
    <w:link w:val="0"/>
    <w:uiPriority w:val="0"/>
    <w:qFormat/>
    <w:rPr>
      <w:color w:val="0055AA"/>
    </w:rPr>
  </w:style>
  <w:style w:type="paragraph" w:styleId="239" w:customStyle="1">
    <w:name w:val="調査結果◯本文"/>
    <w:basedOn w:val="0"/>
    <w:next w:val="239"/>
    <w:link w:val="0"/>
    <w:uiPriority w:val="0"/>
    <w:qFormat/>
    <w:pPr>
      <w:ind w:left="300" w:leftChars="300" w:firstLine="100" w:firstLineChars="100"/>
    </w:pPr>
    <w:rPr>
      <w:sz w:val="21"/>
    </w:rPr>
  </w:style>
  <w:style w:type="paragraph" w:styleId="240" w:customStyle="1">
    <w:name w:val="調査結果(１)"/>
    <w:basedOn w:val="239"/>
    <w:next w:val="240"/>
    <w:link w:val="0"/>
    <w:uiPriority w:val="0"/>
    <w:qFormat/>
    <w:pPr>
      <w:spacing w:after="175" w:afterLines="50" w:afterAutospacing="0"/>
      <w:ind w:left="672" w:firstLine="0" w:firstLineChars="0"/>
      <w:outlineLvl w:val="3"/>
    </w:pPr>
    <w:rPr>
      <w:rFonts w:ascii="ＭＳ ゴシック" w:hAnsi="ＭＳ ゴシック" w:eastAsia="ＭＳ ゴシック"/>
    </w:rPr>
  </w:style>
  <w:style w:type="paragraph" w:styleId="241" w:customStyle="1">
    <w:name w:val="_0_2_１．"/>
    <w:basedOn w:val="0"/>
    <w:next w:val="241"/>
    <w:link w:val="0"/>
    <w:uiPriority w:val="0"/>
    <w:pPr>
      <w:spacing w:after="87" w:afterLines="25" w:afterAutospacing="0"/>
      <w:outlineLvl w:val="1"/>
    </w:pPr>
    <w:rPr>
      <w:rFonts w:ascii="ＭＳ ゴシック" w:hAnsi="ＭＳ ゴシック" w:eastAsia="ＭＳ ゴシック"/>
      <w:sz w:val="24"/>
    </w:rPr>
  </w:style>
  <w:style w:type="paragraph" w:styleId="242" w:customStyle="1">
    <w:name w:val="_0_3_（１）"/>
    <w:next w:val="242"/>
    <w:link w:val="0"/>
    <w:uiPriority w:val="0"/>
    <w:pPr>
      <w:spacing w:after="35" w:afterLines="10" w:afterAutospacing="0"/>
      <w:ind w:left="219" w:leftChars="100"/>
      <w:outlineLvl w:val="2"/>
    </w:pPr>
    <w:rPr>
      <w:rFonts w:ascii="ＭＳ ゴシック" w:hAnsi="ＭＳ ゴシック" w:eastAsia="ＭＳ ゴシック"/>
      <w:kern w:val="2"/>
      <w:sz w:val="24"/>
    </w:rPr>
  </w:style>
  <w:style w:type="paragraph" w:styleId="243" w:customStyle="1">
    <w:name w:val="_0_4_①"/>
    <w:next w:val="243"/>
    <w:link w:val="0"/>
    <w:uiPriority w:val="0"/>
    <w:pPr>
      <w:ind w:left="807" w:leftChars="200" w:hanging="329" w:hangingChars="150"/>
      <w:jc w:val="both"/>
      <w:outlineLvl w:val="3"/>
    </w:pPr>
    <w:rPr>
      <w:rFonts w:ascii="ＭＳ ゴシック" w:hAnsi="ＭＳ ゴシック" w:eastAsia="ＭＳ ゴシック"/>
      <w:kern w:val="2"/>
      <w:sz w:val="22"/>
    </w:rPr>
  </w:style>
  <w:style w:type="paragraph" w:styleId="244" w:customStyle="1">
    <w:name w:val="_0_1_資料編"/>
    <w:next w:val="244"/>
    <w:link w:val="0"/>
    <w:uiPriority w:val="0"/>
    <w:qFormat/>
    <w:pPr>
      <w:spacing w:line="0" w:lineRule="atLeast"/>
      <w:jc w:val="center"/>
      <w:outlineLvl w:val="0"/>
    </w:pPr>
    <w:rPr>
      <w:rFonts w:asciiTheme="majorEastAsia" w:hAnsiTheme="majorEastAsia" w:eastAsiaTheme="majorEastAsia"/>
      <w:color w:val="000000" w:themeColor="text1"/>
      <w:kern w:val="2"/>
      <w:sz w:val="90"/>
    </w:rPr>
  </w:style>
  <w:style w:type="paragraph" w:styleId="245" w:customStyle="1">
    <w:name w:val="_0_0_本文_３字＆字下げ"/>
    <w:basedOn w:val="0"/>
    <w:next w:val="245"/>
    <w:link w:val="0"/>
    <w:uiPriority w:val="0"/>
    <w:pPr>
      <w:widowControl w:val="1"/>
      <w:ind w:left="300" w:leftChars="300" w:firstLine="100" w:firstLineChars="100"/>
    </w:pPr>
  </w:style>
  <w:style w:type="paragraph" w:styleId="246" w:customStyle="1">
    <w:name w:val="_0_5_ｱ)"/>
    <w:next w:val="246"/>
    <w:link w:val="0"/>
    <w:uiPriority w:val="0"/>
    <w:pPr>
      <w:ind w:left="657" w:leftChars="300"/>
      <w:jc w:val="both"/>
      <w:outlineLvl w:val="4"/>
    </w:pPr>
    <w:rPr>
      <w:rFonts w:ascii="ＭＳ ゴシック" w:hAnsi="ＭＳ ゴシック" w:eastAsia="ＭＳ ゴシック"/>
      <w:kern w:val="2"/>
      <w:sz w:val="22"/>
    </w:rPr>
  </w:style>
  <w:style w:type="paragraph" w:styleId="247" w:customStyle="1">
    <w:name w:val="_09_グラフのタイトル"/>
    <w:next w:val="247"/>
    <w:link w:val="0"/>
    <w:uiPriority w:val="0"/>
    <w:pPr>
      <w:ind w:left="200" w:leftChars="200"/>
      <w:jc w:val="both"/>
    </w:pPr>
    <w:rPr>
      <w:rFonts w:ascii="HG丸ｺﾞｼｯｸM-PRO" w:hAnsi="HG丸ｺﾞｼｯｸM-PRO" w:eastAsia="ＭＳ ゴシック"/>
      <w:kern w:val="2"/>
      <w:sz w:val="22"/>
      <w:u w:val="single" w:color="auto"/>
    </w:rPr>
  </w:style>
  <w:style w:type="paragraph" w:styleId="248" w:customStyle="1">
    <w:name w:val="00_保険料部分_表(項目_中央揃え）"/>
    <w:next w:val="248"/>
    <w:link w:val="0"/>
    <w:uiPriority w:val="0"/>
    <w:pPr>
      <w:spacing w:before="17" w:beforeLines="5" w:beforeAutospacing="0" w:after="17" w:afterLines="5" w:afterAutospacing="0" w:line="0" w:lineRule="atLeast"/>
      <w:jc w:val="center"/>
    </w:pPr>
    <w:rPr>
      <w:rFonts w:ascii="ＭＳ 明朝" w:hAnsi="ＭＳ 明朝"/>
      <w:spacing w:val="-4"/>
      <w:sz w:val="21"/>
    </w:rPr>
  </w:style>
  <w:style w:type="paragraph" w:styleId="249" w:customStyle="1">
    <w:name w:val="00_保険料部分_表(資料：）"/>
    <w:next w:val="249"/>
    <w:link w:val="0"/>
    <w:uiPriority w:val="0"/>
    <w:pPr>
      <w:spacing w:before="35" w:beforeLines="10" w:beforeAutospacing="0" w:after="35" w:afterLines="10" w:afterAutospacing="0" w:line="0" w:lineRule="atLeast"/>
    </w:pPr>
    <w:rPr>
      <w:rFonts w:ascii="ＭＳ 明朝" w:hAnsi="ＭＳ 明朝"/>
      <w:spacing w:val="-8"/>
    </w:rPr>
  </w:style>
  <w:style w:type="paragraph" w:styleId="250" w:customStyle="1">
    <w:name w:val="00_保険料部分_表(数値_右揃え）"/>
    <w:basedOn w:val="0"/>
    <w:next w:val="250"/>
    <w:link w:val="0"/>
    <w:uiPriority w:val="0"/>
    <w:pPr>
      <w:widowControl w:val="1"/>
      <w:spacing w:before="18" w:beforeLines="0" w:beforeAutospacing="0" w:after="18" w:afterLines="0" w:afterAutospacing="0" w:line="0" w:lineRule="atLeast"/>
      <w:jc w:val="right"/>
    </w:pPr>
    <w:rPr>
      <w:kern w:val="0"/>
      <w:sz w:val="21"/>
    </w:rPr>
  </w:style>
  <w:style w:type="paragraph" w:styleId="251" w:customStyle="1">
    <w:name w:val="_5章の本文"/>
    <w:next w:val="251"/>
    <w:link w:val="0"/>
    <w:uiPriority w:val="0"/>
    <w:pPr>
      <w:spacing w:line="330" w:lineRule="exact"/>
      <w:ind w:left="200" w:leftChars="200" w:firstLine="100" w:firstLineChars="100"/>
      <w:jc w:val="both"/>
    </w:pPr>
    <w:rPr>
      <w:rFonts w:ascii="ＭＳ 明朝" w:hAnsi="ＭＳ 明朝"/>
      <w:spacing w:val="-2"/>
      <w:kern w:val="2"/>
      <w:sz w:val="21"/>
    </w:rPr>
  </w:style>
  <w:style w:type="paragraph" w:styleId="252">
    <w:name w:val="macro"/>
    <w:next w:val="252"/>
    <w:link w:val="253"/>
    <w:uiPriority w:val="0"/>
    <w:semiHidden/>
    <w:pPr>
      <w:widowControl w:val="0"/>
      <w:tabs>
        <w:tab w:val="left" w:leader="none" w:pos="425"/>
        <w:tab w:val="left" w:leader="none" w:pos="851"/>
        <w:tab w:val="left" w:leader="none" w:pos="1276"/>
        <w:tab w:val="left" w:leader="none" w:pos="1701"/>
        <w:tab w:val="left" w:leader="none" w:pos="2126"/>
        <w:tab w:val="left" w:leader="none" w:pos="2551"/>
        <w:tab w:val="left" w:leader="none" w:pos="2976"/>
        <w:tab w:val="left" w:leader="none" w:pos="3402"/>
        <w:tab w:val="left" w:leader="none" w:pos="3827"/>
        <w:tab w:val="left" w:leader="none" w:pos="4252"/>
        <w:tab w:val="left" w:leader="none" w:pos="4677"/>
        <w:tab w:val="left" w:leader="none" w:pos="5102"/>
      </w:tabs>
      <w:kinsoku w:val="0"/>
      <w:overflowPunct w:val="0"/>
      <w:autoSpaceDE w:val="0"/>
      <w:autoSpaceDN w:val="0"/>
      <w:snapToGrid w:val="0"/>
    </w:pPr>
    <w:rPr>
      <w:rFonts w:ascii="Courier New" w:hAnsi="Courier New"/>
      <w:kern w:val="2"/>
      <w:sz w:val="18"/>
    </w:rPr>
  </w:style>
  <w:style w:type="character" w:styleId="253" w:customStyle="1">
    <w:name w:val="マクロ文字列 (文字)"/>
    <w:basedOn w:val="10"/>
    <w:next w:val="253"/>
    <w:link w:val="252"/>
    <w:uiPriority w:val="0"/>
    <w:rPr>
      <w:rFonts w:ascii="Courier New" w:hAnsi="Courier New"/>
      <w:kern w:val="2"/>
      <w:sz w:val="18"/>
    </w:rPr>
  </w:style>
  <w:style w:type="paragraph" w:styleId="254">
    <w:name w:val="table of authorities"/>
    <w:basedOn w:val="0"/>
    <w:next w:val="0"/>
    <w:link w:val="0"/>
    <w:uiPriority w:val="0"/>
    <w:semiHidden/>
    <w:pPr>
      <w:ind w:left="220" w:hanging="220" w:hangingChars="100"/>
    </w:pPr>
  </w:style>
  <w:style w:type="paragraph" w:styleId="255">
    <w:name w:val="toa heading"/>
    <w:basedOn w:val="0"/>
    <w:next w:val="0"/>
    <w:link w:val="0"/>
    <w:uiPriority w:val="0"/>
    <w:semiHidden/>
    <w:pPr>
      <w:spacing w:before="180" w:beforeLines="0" w:beforeAutospacing="0"/>
    </w:pPr>
    <w:rPr>
      <w:rFonts w:ascii="Arial" w:hAnsi="Arial" w:eastAsia="ＭＳ ゴシック"/>
      <w:sz w:val="24"/>
    </w:rPr>
  </w:style>
  <w:style w:type="paragraph" w:styleId="256">
    <w:name w:val="footnote text"/>
    <w:basedOn w:val="0"/>
    <w:next w:val="256"/>
    <w:link w:val="257"/>
    <w:uiPriority w:val="0"/>
    <w:semiHidden/>
    <w:pPr>
      <w:snapToGrid w:val="0"/>
      <w:jc w:val="left"/>
    </w:pPr>
  </w:style>
  <w:style w:type="character" w:styleId="257" w:customStyle="1">
    <w:name w:val="脚注文字列 (文字)"/>
    <w:basedOn w:val="10"/>
    <w:next w:val="257"/>
    <w:link w:val="256"/>
    <w:uiPriority w:val="0"/>
    <w:rPr>
      <w:rFonts w:ascii="ＭＳ 明朝" w:hAnsi="ＭＳ 明朝"/>
      <w:kern w:val="2"/>
      <w:sz w:val="22"/>
    </w:rPr>
  </w:style>
  <w:style w:type="paragraph" w:styleId="258">
    <w:name w:val="index 1"/>
    <w:basedOn w:val="0"/>
    <w:next w:val="0"/>
    <w:link w:val="0"/>
    <w:uiPriority w:val="0"/>
    <w:pPr>
      <w:ind w:left="220" w:hanging="220" w:hangingChars="100"/>
    </w:pPr>
  </w:style>
  <w:style w:type="paragraph" w:styleId="259">
    <w:name w:val="index 2"/>
    <w:basedOn w:val="0"/>
    <w:next w:val="0"/>
    <w:link w:val="0"/>
    <w:uiPriority w:val="0"/>
    <w:pPr>
      <w:ind w:left="100" w:leftChars="100" w:hanging="220" w:hangingChars="100"/>
    </w:pPr>
  </w:style>
  <w:style w:type="paragraph" w:styleId="260">
    <w:name w:val="index 3"/>
    <w:basedOn w:val="0"/>
    <w:next w:val="0"/>
    <w:link w:val="0"/>
    <w:uiPriority w:val="0"/>
    <w:pPr>
      <w:ind w:left="200" w:leftChars="200" w:hanging="220" w:hangingChars="100"/>
    </w:pPr>
  </w:style>
  <w:style w:type="paragraph" w:styleId="261">
    <w:name w:val="index 4"/>
    <w:basedOn w:val="0"/>
    <w:next w:val="0"/>
    <w:link w:val="0"/>
    <w:uiPriority w:val="0"/>
    <w:pPr>
      <w:ind w:left="300" w:leftChars="300" w:hanging="220" w:hangingChars="100"/>
    </w:pPr>
  </w:style>
  <w:style w:type="paragraph" w:styleId="262">
    <w:name w:val="index 5"/>
    <w:basedOn w:val="0"/>
    <w:next w:val="0"/>
    <w:link w:val="0"/>
    <w:uiPriority w:val="0"/>
    <w:pPr>
      <w:ind w:left="400" w:leftChars="400" w:hanging="220" w:hangingChars="100"/>
    </w:pPr>
  </w:style>
  <w:style w:type="paragraph" w:styleId="263">
    <w:name w:val="index 6"/>
    <w:basedOn w:val="0"/>
    <w:next w:val="0"/>
    <w:link w:val="0"/>
    <w:uiPriority w:val="0"/>
    <w:pPr>
      <w:ind w:left="500" w:leftChars="500" w:hanging="220" w:hangingChars="100"/>
    </w:pPr>
  </w:style>
  <w:style w:type="paragraph" w:styleId="264">
    <w:name w:val="index 7"/>
    <w:basedOn w:val="0"/>
    <w:next w:val="0"/>
    <w:link w:val="0"/>
    <w:uiPriority w:val="0"/>
    <w:pPr>
      <w:ind w:left="600" w:leftChars="600" w:hanging="220" w:hangingChars="100"/>
    </w:pPr>
  </w:style>
  <w:style w:type="paragraph" w:styleId="265">
    <w:name w:val="index 8"/>
    <w:basedOn w:val="0"/>
    <w:next w:val="0"/>
    <w:link w:val="0"/>
    <w:uiPriority w:val="0"/>
    <w:pPr>
      <w:ind w:left="700" w:leftChars="700" w:hanging="220" w:hangingChars="100"/>
    </w:pPr>
  </w:style>
  <w:style w:type="paragraph" w:styleId="266">
    <w:name w:val="index 9"/>
    <w:basedOn w:val="0"/>
    <w:next w:val="0"/>
    <w:link w:val="0"/>
    <w:uiPriority w:val="0"/>
    <w:pPr>
      <w:ind w:left="800" w:leftChars="800" w:hanging="220" w:hangingChars="100"/>
    </w:pPr>
  </w:style>
  <w:style w:type="paragraph" w:styleId="267">
    <w:name w:val="index heading"/>
    <w:basedOn w:val="0"/>
    <w:next w:val="258"/>
    <w:link w:val="0"/>
    <w:uiPriority w:val="0"/>
    <w:rPr>
      <w:rFonts w:ascii="Arial" w:hAnsi="Arial"/>
      <w:b w:val="1"/>
    </w:rPr>
  </w:style>
  <w:style w:type="paragraph" w:styleId="268">
    <w:name w:val="caption"/>
    <w:basedOn w:val="0"/>
    <w:next w:val="0"/>
    <w:link w:val="0"/>
    <w:uiPriority w:val="0"/>
    <w:semiHidden/>
    <w:qFormat/>
    <w:rPr>
      <w:b w:val="1"/>
      <w:sz w:val="21"/>
    </w:rPr>
  </w:style>
  <w:style w:type="paragraph" w:styleId="269">
    <w:name w:val="table of figures"/>
    <w:basedOn w:val="0"/>
    <w:next w:val="0"/>
    <w:link w:val="0"/>
    <w:uiPriority w:val="0"/>
    <w:semiHidden/>
    <w:pPr>
      <w:ind w:left="200" w:leftChars="200" w:hanging="200" w:hangingChars="200"/>
    </w:pPr>
  </w:style>
  <w:style w:type="paragraph" w:styleId="270">
    <w:name w:val="endnote text"/>
    <w:basedOn w:val="0"/>
    <w:next w:val="270"/>
    <w:link w:val="271"/>
    <w:uiPriority w:val="0"/>
    <w:semiHidden/>
    <w:pPr>
      <w:snapToGrid w:val="0"/>
      <w:jc w:val="left"/>
    </w:pPr>
  </w:style>
  <w:style w:type="character" w:styleId="271" w:customStyle="1">
    <w:name w:val="文末脚注文字列 (文字)"/>
    <w:basedOn w:val="10"/>
    <w:next w:val="271"/>
    <w:link w:val="270"/>
    <w:uiPriority w:val="0"/>
    <w:rPr>
      <w:rFonts w:ascii="ＭＳ 明朝" w:hAnsi="ＭＳ 明朝"/>
      <w:kern w:val="2"/>
      <w:sz w:val="22"/>
    </w:rPr>
  </w:style>
  <w:style w:type="paragraph" w:styleId="272" w:customStyle="1">
    <w:name w:val="_０_用語(本文)"/>
    <w:next w:val="272"/>
    <w:link w:val="0"/>
    <w:uiPriority w:val="0"/>
    <w:pPr>
      <w:spacing w:line="360" w:lineRule="exact"/>
      <w:ind w:left="629" w:leftChars="300" w:firstLine="250" w:firstLineChars="100"/>
      <w:jc w:val="both"/>
    </w:pPr>
    <w:rPr>
      <w:rFonts w:ascii="ＭＳ 明朝" w:hAnsi="ＭＳ 明朝"/>
      <w:spacing w:val="10"/>
      <w:sz w:val="24"/>
    </w:rPr>
  </w:style>
  <w:style w:type="paragraph" w:styleId="273" w:customStyle="1">
    <w:name w:val="_０_用語(用語)"/>
    <w:next w:val="273"/>
    <w:link w:val="0"/>
    <w:uiPriority w:val="0"/>
    <w:pPr>
      <w:spacing w:line="360" w:lineRule="exact"/>
      <w:ind w:left="629" w:leftChars="300"/>
      <w:jc w:val="both"/>
    </w:pPr>
    <w:rPr>
      <w:rFonts w:ascii="ＭＳ 明朝" w:hAnsi="ＭＳ 明朝" w:eastAsia="ＭＳ ゴシック"/>
      <w:spacing w:val="10"/>
      <w:sz w:val="24"/>
    </w:rPr>
  </w:style>
  <w:style w:type="paragraph" w:styleId="274" w:customStyle="1">
    <w:name w:val="_０_用語(索引)"/>
    <w:next w:val="274"/>
    <w:link w:val="0"/>
    <w:uiPriority w:val="0"/>
    <w:pPr>
      <w:spacing w:line="360" w:lineRule="exact"/>
      <w:ind w:left="314" w:leftChars="150"/>
      <w:jc w:val="both"/>
    </w:pPr>
    <w:rPr>
      <w:rFonts w:ascii="ＭＳ 明朝" w:hAnsi="ＭＳ 明朝" w:eastAsia="ＭＳ ゴシック"/>
      <w:spacing w:val="10"/>
      <w:sz w:val="24"/>
    </w:rPr>
  </w:style>
  <w:style w:type="paragraph" w:styleId="275">
    <w:name w:val="Note Heading"/>
    <w:basedOn w:val="0"/>
    <w:next w:val="0"/>
    <w:link w:val="276"/>
    <w:uiPriority w:val="0"/>
    <w:pPr>
      <w:jc w:val="center"/>
    </w:pPr>
    <w:rPr>
      <w:rFonts w:ascii="Century" w:hAnsi="Century"/>
      <w:sz w:val="21"/>
    </w:rPr>
  </w:style>
  <w:style w:type="character" w:styleId="276" w:customStyle="1">
    <w:name w:val="記 (文字)"/>
    <w:basedOn w:val="10"/>
    <w:next w:val="276"/>
    <w:link w:val="275"/>
    <w:uiPriority w:val="0"/>
    <w:rPr>
      <w:kern w:val="2"/>
      <w:sz w:val="21"/>
    </w:rPr>
  </w:style>
  <w:style w:type="paragraph" w:styleId="277">
    <w:name w:val="Closing"/>
    <w:basedOn w:val="0"/>
    <w:next w:val="277"/>
    <w:link w:val="278"/>
    <w:uiPriority w:val="0"/>
    <w:pPr>
      <w:jc w:val="right"/>
    </w:pPr>
    <w:rPr>
      <w:rFonts w:ascii="Century" w:hAnsi="Century"/>
      <w:sz w:val="21"/>
    </w:rPr>
  </w:style>
  <w:style w:type="character" w:styleId="278" w:customStyle="1">
    <w:name w:val="結語 (文字)"/>
    <w:basedOn w:val="10"/>
    <w:next w:val="278"/>
    <w:link w:val="277"/>
    <w:uiPriority w:val="0"/>
    <w:rPr>
      <w:kern w:val="2"/>
      <w:sz w:val="21"/>
    </w:rPr>
  </w:style>
  <w:style w:type="paragraph" w:styleId="279" w:customStyle="1">
    <w:name w:val="_99_02本文_"/>
    <w:next w:val="279"/>
    <w:link w:val="0"/>
    <w:uiPriority w:val="0"/>
    <w:pPr>
      <w:autoSpaceDE w:val="0"/>
      <w:autoSpaceDN w:val="0"/>
      <w:ind w:left="200" w:leftChars="200" w:firstLine="100" w:firstLineChars="100"/>
      <w:jc w:val="both"/>
    </w:pPr>
    <w:rPr>
      <w:rFonts w:ascii="ＭＳ 明朝" w:hAnsi="ＭＳ 明朝"/>
      <w:sz w:val="21"/>
    </w:rPr>
  </w:style>
  <w:style w:type="paragraph" w:styleId="280" w:customStyle="1">
    <w:name w:val="_4_0：ｱ)"/>
    <w:basedOn w:val="279"/>
    <w:next w:val="280"/>
    <w:link w:val="0"/>
    <w:uiPriority w:val="0"/>
    <w:qFormat/>
    <w:pPr>
      <w:ind w:left="774" w:leftChars="250" w:hanging="214" w:hangingChars="100"/>
      <w:outlineLvl w:val="6"/>
    </w:pPr>
    <w:rPr>
      <w:rFonts w:ascii="ＭＳ ゴシック" w:hAnsi="ＭＳ ゴシック" w:eastAsia="ＭＳ ゴシック"/>
      <w:color w:val="FF0000"/>
    </w:rPr>
  </w:style>
  <w:style w:type="table" w:styleId="281">
    <w:name w:val="Table Grid"/>
    <w:basedOn w:val="11"/>
    <w:next w:val="281"/>
    <w:link w:val="0"/>
    <w:uiPriority w:val="0"/>
    <w:pPr>
      <w:widowControl w:val="0"/>
      <w:jc w:val="both"/>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image" Target="media/image1.gif" /><Relationship Id="rId9" Type="http://schemas.openxmlformats.org/officeDocument/2006/relationships/image" Target="media/image2.emf" /><Relationship Id="rId10" Type="http://schemas.openxmlformats.org/officeDocument/2006/relationships/image" Target="media/image3.emf" /><Relationship Id="rId11" Type="http://schemas.openxmlformats.org/officeDocument/2006/relationships/image" Target="media/image4.emf" /><Relationship Id="rId12" Type="http://schemas.openxmlformats.org/officeDocument/2006/relationships/image" Target="media/image5.emf" /><Relationship Id="rId13" Type="http://schemas.openxmlformats.org/officeDocument/2006/relationships/image" Target="media/image6.jpg" /><Relationship Id="rId14" Type="http://schemas.openxmlformats.org/officeDocument/2006/relationships/image" Target="media/image7.emf" /><Relationship Id="rId15" Type="http://schemas.openxmlformats.org/officeDocument/2006/relationships/image" Target="media/image8.emf" /><Relationship Id="rId16" Type="http://schemas.openxmlformats.org/officeDocument/2006/relationships/image" Target="media/image9.emf" /><Relationship Id="rId17" Type="http://schemas.openxmlformats.org/officeDocument/2006/relationships/image" Target="media/image10.emf" /><Relationship Id="rId18" Type="http://schemas.openxmlformats.org/officeDocument/2006/relationships/image" Target="media/image11.emf" /><Relationship Id="rId19" Type="http://schemas.openxmlformats.org/officeDocument/2006/relationships/image" Target="media/image12.emf" /><Relationship Id="rId20" Type="http://schemas.openxmlformats.org/officeDocument/2006/relationships/image" Target="media/image13.emf" /><Relationship Id="rId21" Type="http://schemas.openxmlformats.org/officeDocument/2006/relationships/image" Target="media/image14.emf" /><Relationship Id="rId22" Type="http://schemas.openxmlformats.org/officeDocument/2006/relationships/image" Target="media/image15.emf" /><Relationship Id="rId23" Type="http://schemas.openxmlformats.org/officeDocument/2006/relationships/image" Target="media/image16.emf" /><Relationship Id="rId24" Type="http://schemas.openxmlformats.org/officeDocument/2006/relationships/image" Target="media/image17.emf" /><Relationship Id="rId25" Type="http://schemas.openxmlformats.org/officeDocument/2006/relationships/image" Target="media/image18.emf" /><Relationship Id="rId26" Type="http://schemas.openxmlformats.org/officeDocument/2006/relationships/image" Target="media/image19.emf" /><Relationship Id="rId27" Type="http://schemas.openxmlformats.org/officeDocument/2006/relationships/image" Target="media/image20.emf" /><Relationship Id="rId28" Type="http://schemas.openxmlformats.org/officeDocument/2006/relationships/image" Target="media/image21.emf" /><Relationship Id="rId29" Type="http://schemas.openxmlformats.org/officeDocument/2006/relationships/image" Target="media/image22.emf" /><Relationship Id="rId30" Type="http://schemas.openxmlformats.org/officeDocument/2006/relationships/image" Target="media/image23.emf" /><Relationship Id="rId31" Type="http://schemas.openxmlformats.org/officeDocument/2006/relationships/image" Target="media/image24.emf" /><Relationship Id="rId32" Type="http://schemas.openxmlformats.org/officeDocument/2006/relationships/image" Target="media/image25.emf" /><Relationship Id="rId33" Type="http://schemas.openxmlformats.org/officeDocument/2006/relationships/image" Target="media/image26.emf" /><Relationship Id="rId34" Type="http://schemas.openxmlformats.org/officeDocument/2006/relationships/image" Target="media/image27.emf" /><Relationship Id="rId35" Type="http://schemas.openxmlformats.org/officeDocument/2006/relationships/image" Target="media/image28.emf" /><Relationship Id="rId36" Type="http://schemas.openxmlformats.org/officeDocument/2006/relationships/image" Target="media/image29.emf" /><Relationship Id="rId37" Type="http://schemas.openxmlformats.org/officeDocument/2006/relationships/image" Target="media/image30.emf" /><Relationship Id="rId38" Type="http://schemas.openxmlformats.org/officeDocument/2006/relationships/image" Target="media/image31.emf" /><Relationship Id="rId39" Type="http://schemas.openxmlformats.org/officeDocument/2006/relationships/image" Target="media/image32.emf" /><Relationship Id="rId40" Type="http://schemas.openxmlformats.org/officeDocument/2006/relationships/image" Target="media/image33.emf" /><Relationship Id="rId41" Type="http://schemas.openxmlformats.org/officeDocument/2006/relationships/image" Target="media/image34.emf" /><Relationship Id="rId42" Type="http://schemas.openxmlformats.org/officeDocument/2006/relationships/image" Target="media/image35.emf" /><Relationship Id="rId43" Type="http://schemas.openxmlformats.org/officeDocument/2006/relationships/image" Target="media/image36.emf" /><Relationship Id="rId44" Type="http://schemas.openxmlformats.org/officeDocument/2006/relationships/image" Target="media/image37.emf" /><Relationship Id="rId45" Type="http://schemas.openxmlformats.org/officeDocument/2006/relationships/image" Target="media/image38.emf" /><Relationship Id="rId46" Type="http://schemas.openxmlformats.org/officeDocument/2006/relationships/image" Target="media/image39.emf" /><Relationship Id="rId47" Type="http://schemas.openxmlformats.org/officeDocument/2006/relationships/image" Target="media/image40.emf" /><Relationship Id="rId48" Type="http://schemas.openxmlformats.org/officeDocument/2006/relationships/image" Target="media/image41.emf" /><Relationship Id="rId49" Type="http://schemas.openxmlformats.org/officeDocument/2006/relationships/image" Target="media/image42.emf" /><Relationship Id="rId50" Type="http://schemas.openxmlformats.org/officeDocument/2006/relationships/image" Target="media/image43.emf" /><Relationship Id="rId51" Type="http://schemas.openxmlformats.org/officeDocument/2006/relationships/image" Target="media/image44.emf" /><Relationship Id="rId52" Type="http://schemas.openxmlformats.org/officeDocument/2006/relationships/image" Target="media/image45.emf" /><Relationship Id="rId53" Type="http://schemas.openxmlformats.org/officeDocument/2006/relationships/image" Target="media/image46.emf" /><Relationship Id="rId54" Type="http://schemas.openxmlformats.org/officeDocument/2006/relationships/image" Target="media/image47.emf" /><Relationship Id="rId55" Type="http://schemas.openxmlformats.org/officeDocument/2006/relationships/image" Target="media/image48.emf" /><Relationship Id="rId56" Type="http://schemas.openxmlformats.org/officeDocument/2006/relationships/image" Target="media/image49.emf" /><Relationship Id="rId57" Type="http://schemas.openxmlformats.org/officeDocument/2006/relationships/image" Target="media/image50.emf" /><Relationship Id="rId58" Type="http://schemas.openxmlformats.org/officeDocument/2006/relationships/image" Target="media/image51.emf" /><Relationship Id="rId59" Type="http://schemas.openxmlformats.org/officeDocument/2006/relationships/image" Target="media/image52.emf" /><Relationship Id="rId60" Type="http://schemas.openxmlformats.org/officeDocument/2006/relationships/image" Target="media/image53.emf" /><Relationship Id="rId61" Type="http://schemas.openxmlformats.org/officeDocument/2006/relationships/image" Target="media/image54.emf" /><Relationship Id="rId62" Type="http://schemas.openxmlformats.org/officeDocument/2006/relationships/image" Target="media/image55.emf" /><Relationship Id="rId63" Type="http://schemas.openxmlformats.org/officeDocument/2006/relationships/image" Target="media/image56.emf" /><Relationship Id="rId64" Type="http://schemas.openxmlformats.org/officeDocument/2006/relationships/image" Target="media/image57.emf" /><Relationship Id="rId65" Type="http://schemas.openxmlformats.org/officeDocument/2006/relationships/image" Target="media/image58.emf" /><Relationship Id="rId66" Type="http://schemas.openxmlformats.org/officeDocument/2006/relationships/image" Target="media/image59.emf" /><Relationship Id="rId67" Type="http://schemas.openxmlformats.org/officeDocument/2006/relationships/image" Target="media/image60.emf" /><Relationship Id="rId68" Type="http://schemas.openxmlformats.org/officeDocument/2006/relationships/image" Target="media/image61.emf" /><Relationship Id="rId69" Type="http://schemas.openxmlformats.org/officeDocument/2006/relationships/image" Target="media/image62.emf" /><Relationship Id="rId70" Type="http://schemas.openxmlformats.org/officeDocument/2006/relationships/image" Target="media/image63.emf" /><Relationship Id="rId71" Type="http://schemas.openxmlformats.org/officeDocument/2006/relationships/image" Target="media/image64.emf" /><Relationship Id="rId72" Type="http://schemas.openxmlformats.org/officeDocument/2006/relationships/image" Target="media/image65.emf" /><Relationship Id="rId73" Type="http://schemas.openxmlformats.org/officeDocument/2006/relationships/image" Target="media/image66.emf" /><Relationship Id="rId74" Type="http://schemas.openxmlformats.org/officeDocument/2006/relationships/image" Target="media/image67.emf" /><Relationship Id="rId75" Type="http://schemas.openxmlformats.org/officeDocument/2006/relationships/image" Target="media/image68.emf" /><Relationship Id="rId76" Type="http://schemas.openxmlformats.org/officeDocument/2006/relationships/image" Target="media/image69.emf" /><Relationship Id="rId77" Type="http://schemas.openxmlformats.org/officeDocument/2006/relationships/image" Target="media/image70.emf" /><Relationship Id="rId78" Type="http://schemas.openxmlformats.org/officeDocument/2006/relationships/image" Target="media/image71.emf" /><Relationship Id="rId79" Type="http://schemas.openxmlformats.org/officeDocument/2006/relationships/image" Target="media/image72.emf" /><Relationship Id="rId80" Type="http://schemas.openxmlformats.org/officeDocument/2006/relationships/image" Target="media/image73.emf" /><Relationship Id="rId81" Type="http://schemas.openxmlformats.org/officeDocument/2006/relationships/image" Target="media/image74.emf" /><Relationship Id="rId82" Type="http://schemas.openxmlformats.org/officeDocument/2006/relationships/image" Target="media/image75.emf" /><Relationship Id="rId83" Type="http://schemas.openxmlformats.org/officeDocument/2006/relationships/image" Target="media/image76.emf" /><Relationship Id="rId84" Type="http://schemas.openxmlformats.org/officeDocument/2006/relationships/image" Target="media/image77.emf" /><Relationship Id="rId85" Type="http://schemas.openxmlformats.org/officeDocument/2006/relationships/image" Target="media/image78.emf" /><Relationship Id="rId86" Type="http://schemas.openxmlformats.org/officeDocument/2006/relationships/image" Target="media/image79.emf" /><Relationship Id="rId87" Type="http://schemas.openxmlformats.org/officeDocument/2006/relationships/image" Target="media/image80.emf" /><Relationship Id="rId88" Type="http://schemas.openxmlformats.org/officeDocument/2006/relationships/image" Target="media/image81.emf" /><Relationship Id="rId89" Type="http://schemas.openxmlformats.org/officeDocument/2006/relationships/image" Target="media/image82.emf" /><Relationship Id="rId90" Type="http://schemas.openxmlformats.org/officeDocument/2006/relationships/image" Target="media/image83.emf" /><Relationship Id="rId91" Type="http://schemas.openxmlformats.org/officeDocument/2006/relationships/image" Target="media/image84.emf" /><Relationship Id="rId92" Type="http://schemas.openxmlformats.org/officeDocument/2006/relationships/image" Target="media/image85.png" /><Relationship Id="rId93"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1436</TotalTime>
  <Pages>145</Pages>
  <Words>3696</Words>
  <Characters>81924</Characters>
  <Application>JUST Note</Application>
  <Lines>895198</Lines>
  <Paragraphs>6686</Paragraphs>
  <CharactersWithSpaces>82333</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１</dc:title>
  <dc:creator>SYSTEM-EGG</dc:creator>
  <cp:lastModifiedBy>當間 しのぶ</cp:lastModifiedBy>
  <cp:lastPrinted>2021-03-12T04:51:00Z</cp:lastPrinted>
  <dcterms:created xsi:type="dcterms:W3CDTF">2024-01-23T01:51:00Z</dcterms:created>
  <dcterms:modified xsi:type="dcterms:W3CDTF">2024-02-13T04:19:59Z</dcterms:modified>
  <cp:revision>64</cp:revision>
</cp:coreProperties>
</file>